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9705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</w:rPr>
        <w:t>重庆市医疗保障局</w:t>
      </w:r>
    </w:p>
    <w:p w14:paraId="120D20D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shd w:val="clear" w:color="auto" w:fill="FFFFFF"/>
        </w:rPr>
        <w:t>规范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shd w:val="clear" w:color="auto" w:fill="FFFFFF"/>
          <w:lang w:eastAsia="zh-CN"/>
        </w:rPr>
        <w:t>产科类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shd w:val="clear" w:color="auto" w:fill="FFFFFF"/>
        </w:rPr>
        <w:t>医疗服务项目价格的通知</w:t>
      </w:r>
    </w:p>
    <w:p w14:paraId="1F0C597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微软雅黑" w:hAnsi="微软雅黑" w:eastAsia="微软雅黑" w:cs="微软雅黑"/>
          <w:color w:val="auto"/>
          <w:sz w:val="31"/>
          <w:szCs w:val="3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（征求意见稿）</w:t>
      </w:r>
    </w:p>
    <w:p w14:paraId="33D00BD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</w:pPr>
    </w:p>
    <w:p w14:paraId="1DB6319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各区县（自治县）医保局，两江新区社会保障局、高新区政务服务和社会事务中心、万盛经开区人力社保局，各公立医疗机构，有关单位：</w:t>
      </w:r>
    </w:p>
    <w:p w14:paraId="170096E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为贯彻落实国家医保局等八部门《深化医疗服务价格改革试点方案》（医保发〔</w:t>
      </w:r>
      <w:r>
        <w:rPr>
          <w:rFonts w:ascii="Times New Roman" w:hAnsi="Times New Roman" w:eastAsia="方正仿宋_GBK"/>
          <w:color w:val="auto"/>
          <w:sz w:val="32"/>
          <w:szCs w:val="32"/>
        </w:rPr>
        <w:t>2021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〕</w:t>
      </w:r>
      <w:r>
        <w:rPr>
          <w:rFonts w:ascii="Times New Roman" w:hAnsi="Times New Roman" w:eastAsia="方正仿宋_GBK"/>
          <w:color w:val="auto"/>
          <w:sz w:val="32"/>
          <w:szCs w:val="32"/>
        </w:rPr>
        <w:t>41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国家医保局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《产科类医疗服务价格项目立项指南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试行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》（医保价采中心函〔2024〕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号）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（以下简称《立项指南》）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等文件精神，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充分发挥价格调节作用，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加快落实产科医疗服务价格政策。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决定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对我市公立医疗机构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产科类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价格项目进行规范整合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现将有关事项通知如下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47932AB6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规范产科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shd w:val="clear" w:color="auto" w:fill="FFFFFF"/>
        </w:rPr>
        <w:t>类医疗服务价格项目</w:t>
      </w:r>
    </w:p>
    <w:p w14:paraId="6EB9492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执行国家医保局《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产科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类医疗服务价格项目立项指南（试行）》，按照项目名称、服务产出、价格构成等要素，整合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规范我市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现行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产科类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医疗服务价格项目。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设立产科类医疗服务价格项目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项（详见附件1），停用原执行医疗服务价格项目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项（详见附件2）。</w:t>
      </w:r>
    </w:p>
    <w:p w14:paraId="08C230C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二、医保支付政策</w:t>
      </w:r>
    </w:p>
    <w:p w14:paraId="5D59FC8F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综合考虑临床需要、基金支付能力和价格等因素，明确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产科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医疗服务价格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项目的医保支付政策（详见附件1）。</w:t>
      </w:r>
    </w:p>
    <w:p w14:paraId="7BA7E8F8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三、有关要求</w:t>
      </w:r>
    </w:p>
    <w:p w14:paraId="45E3D48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定点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医疗机构应按时做好医疗服务价格项目的相关调整工作，规范诊疗行为，不得扩大收费范围，凡在项目中包含的服务内容及耗材不得单独收费。各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定点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医疗机构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要严格按规定执行明码标价和医疗费用明细清单制度，通过电子显示屏等多种方式向患者公示医疗服务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价格，做好患者沟通解释工作，自觉接受社会监督。</w:t>
      </w:r>
    </w:p>
    <w:p w14:paraId="74864935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（二）各区县医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部门要督促辖区内公立医疗机构执行规范后的医疗服务价格项目，做好宣传解释工作，加强调研和现场检查核查，确保政策执行不走样。遇有重大问题及时向市医保局反馈。</w:t>
      </w:r>
    </w:p>
    <w:p w14:paraId="2F96ABA5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本通知自2025年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日起执行。原政策文件与本通知不符的，以本通知为准。</w:t>
      </w:r>
    </w:p>
    <w:p w14:paraId="4FCEE7E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    附件：1.重庆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产科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医疗服务项目价格表</w:t>
      </w:r>
    </w:p>
    <w:p w14:paraId="4240B96E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440" w:firstLineChars="45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2.停用部分医疗服务价格项目表</w:t>
      </w:r>
    </w:p>
    <w:p w14:paraId="5866CFC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 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bidi="ar"/>
        </w:rPr>
        <w:t xml:space="preserve">                    </w:t>
      </w:r>
    </w:p>
    <w:p w14:paraId="44DEEC5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right"/>
        <w:textAlignment w:val="auto"/>
        <w:rPr>
          <w:rFonts w:ascii="Times New Roman" w:hAnsi="Times New Roman" w:eastAsia="仿宋" w:cs="Times New Roman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bidi="ar"/>
        </w:rPr>
        <w:t>重庆市医疗保障局</w:t>
      </w:r>
    </w:p>
    <w:p w14:paraId="75ABAA0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20" w:firstLineChars="1600"/>
        <w:jc w:val="right"/>
        <w:textAlignment w:val="auto"/>
        <w:rPr>
          <w:rFonts w:ascii="Times New Roman" w:hAnsi="Times New Roman" w:eastAsia="仿宋" w:cs="Times New Roman"/>
          <w:color w:val="auto"/>
          <w:sz w:val="31"/>
          <w:szCs w:val="31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shd w:val="clear" w:color="auto" w:fill="FFFFFF"/>
          <w:lang w:bidi="ar"/>
        </w:rPr>
        <w:t>2025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bidi="ar"/>
        </w:rPr>
        <w:t>年  月  日  </w:t>
      </w:r>
    </w:p>
    <w:p w14:paraId="783628AC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</w:p>
    <w:p w14:paraId="558CA972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（此件公开发布）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1797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A10D3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3A10D3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939CF3"/>
    <w:multiLevelType w:val="singleLevel"/>
    <w:tmpl w:val="43939C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67385"/>
    <w:rsid w:val="2F467385"/>
    <w:rsid w:val="6F3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2025-03-20T01:40:00Z</dcterms:created>
  <dc:creator>why</dc:creator>
  <cp:lastModifiedBy>why</cp:lastModifiedBy>
  <dcterms:modified xsi:type="dcterms:W3CDTF">2025-03-20T01:53:47Z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D7E74CA4ED5846C4AB3276C1B80CAEB7_11</vt:lpwstr>
  </property>
  <property fmtid="{D5CDD505-2E9C-101B-9397-08002B2CF9AE}" pid="4" name="KSOTemplateDocerSaveRecord">
    <vt:lpwstr>eyJoZGlkIjoiMDI0MDdjNzkwZDVhYTAwZTgxZWFlZDEwZDg5ZDRkYmMiLCJ1c2VySWQiOiIxMDIwOTkzMDY1In0=</vt:lpwstr>
  </property>
</Properties>
</file>