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bidi w:val="0"/>
        <w:adjustRightInd/>
        <w:snapToGrid w:val="0"/>
        <w:spacing w:line="540" w:lineRule="exact"/>
        <w:textAlignment w:val="auto"/>
        <w:rPr>
          <w:rFonts w:hint="eastAsia" w:ascii="Times New Roman" w:hAnsi="Times New Roman"/>
        </w:rPr>
      </w:pPr>
      <w:r>
        <w:rPr>
          <w:rFonts w:hint="eastAsia" w:ascii="Times New Roman" w:hAnsi="Times New Roman"/>
        </w:rPr>
        <w:t>宁夏回族自治区公共数据资源授权运营</w:t>
      </w:r>
    </w:p>
    <w:p>
      <w:pPr>
        <w:pStyle w:val="2"/>
        <w:keepNext w:val="0"/>
        <w:keepLines w:val="0"/>
        <w:pageBreakBefore w:val="0"/>
        <w:widowControl w:val="0"/>
        <w:kinsoku/>
        <w:wordWrap/>
        <w:overflowPunct w:val="0"/>
        <w:topLinePunct w:val="0"/>
        <w:bidi w:val="0"/>
        <w:adjustRightInd/>
        <w:snapToGrid w:val="0"/>
        <w:spacing w:line="540" w:lineRule="exact"/>
        <w:textAlignment w:val="auto"/>
        <w:rPr>
          <w:rFonts w:hint="eastAsia" w:ascii="Times New Roman" w:hAnsi="Times New Roman"/>
        </w:rPr>
      </w:pPr>
      <w:r>
        <w:rPr>
          <w:rFonts w:hint="eastAsia" w:ascii="Times New Roman" w:hAnsi="Times New Roman"/>
        </w:rPr>
        <w:t>管理办法（试行）</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val="0"/>
        <w:spacing w:line="540" w:lineRule="exact"/>
        <w:ind w:leftChars="0"/>
        <w:jc w:val="center"/>
        <w:textAlignment w:val="auto"/>
        <w:outlineLvl w:val="0"/>
        <w:rPr>
          <w:rFonts w:hint="eastAsia" w:ascii="方正楷体_GBK" w:hAnsi="方正楷体_GBK" w:eastAsia="方正楷体_GBK" w:cs="方正楷体_GBK"/>
          <w:szCs w:val="32"/>
          <w:shd w:val="clear" w:color="auto" w:fill="FFFFFF"/>
          <w:lang w:eastAsia="zh-CN"/>
        </w:rPr>
      </w:pPr>
      <w:r>
        <w:rPr>
          <w:rFonts w:hint="eastAsia" w:ascii="方正楷体_GBK" w:hAnsi="方正楷体_GBK" w:eastAsia="方正楷体_GBK" w:cs="方正楷体_GBK"/>
          <w:szCs w:val="32"/>
          <w:shd w:val="clear" w:color="auto" w:fill="FFFFFF"/>
          <w:lang w:eastAsia="zh-CN"/>
        </w:rPr>
        <w:t>（征求意见稿）</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bookmarkStart w:id="0" w:name="_GoBack"/>
      <w:bookmarkEnd w:id="0"/>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第一章 总则</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第一</w:t>
      </w:r>
      <w:r>
        <w:rPr>
          <w:rFonts w:hint="eastAsia" w:ascii="黑体" w:hAnsi="黑体" w:eastAsia="黑体" w:cs="黑体"/>
          <w:szCs w:val="32"/>
          <w:shd w:val="clear" w:color="auto" w:fill="FFFFFF"/>
          <w:lang w:eastAsia="zh-CN"/>
        </w:rPr>
        <w:t xml:space="preserve">条 </w:t>
      </w:r>
      <w:r>
        <w:rPr>
          <w:rFonts w:hint="eastAsia"/>
        </w:rPr>
        <w:t>为规范公共数据资源授权运营管理，加快培育数据要素市场，根据《中共中央办公厅</w:t>
      </w:r>
      <w:r>
        <w:rPr>
          <w:rFonts w:hint="eastAsia"/>
          <w:lang w:val="en-US" w:eastAsia="zh-CN"/>
        </w:rPr>
        <w:t xml:space="preserve"> </w:t>
      </w:r>
      <w:r>
        <w:rPr>
          <w:rFonts w:hint="eastAsia"/>
        </w:rPr>
        <w:t>国务院办公厅关于加快公共数据资源开发利用的意见》《公共数据资源授权运营实施规范</w:t>
      </w:r>
      <w:r>
        <w:rPr>
          <w:rFonts w:hint="eastAsia"/>
          <w:lang w:eastAsia="zh-CN"/>
        </w:rPr>
        <w:t>（试行）</w:t>
      </w:r>
      <w:r>
        <w:rPr>
          <w:rFonts w:hint="eastAsia"/>
        </w:rPr>
        <w:t>》等有关规定，制定本办法。</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w:t>
      </w:r>
      <w:r>
        <w:rPr>
          <w:rFonts w:hint="eastAsia" w:ascii="黑体" w:hAnsi="黑体" w:eastAsia="黑体" w:cs="黑体"/>
          <w:szCs w:val="32"/>
          <w:shd w:val="clear" w:color="auto" w:fill="FFFFFF"/>
          <w:lang w:eastAsia="zh-CN"/>
        </w:rPr>
        <w:t xml:space="preserve">条 </w:t>
      </w:r>
      <w:r>
        <w:rPr>
          <w:rFonts w:hint="eastAsia"/>
        </w:rPr>
        <w:t>在自治区行政区域内开展公共数据资源授权运营活动，适用本办法。</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第三</w:t>
      </w:r>
      <w:r>
        <w:rPr>
          <w:rFonts w:hint="eastAsia" w:ascii="黑体" w:hAnsi="黑体" w:eastAsia="黑体" w:cs="黑体"/>
          <w:szCs w:val="32"/>
          <w:shd w:val="clear" w:color="auto" w:fill="FFFFFF"/>
          <w:lang w:eastAsia="zh-CN"/>
        </w:rPr>
        <w:t xml:space="preserve">条 </w:t>
      </w:r>
      <w:r>
        <w:rPr>
          <w:rFonts w:hint="eastAsia"/>
        </w:rPr>
        <w:t>公共数据资源授权运营应当建立监管机构、实施机构、运营机构、数据开发商相互协调的公共数据资源授权运营机制。</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第四</w:t>
      </w:r>
      <w:r>
        <w:rPr>
          <w:rFonts w:hint="eastAsia" w:ascii="黑体" w:hAnsi="黑体" w:eastAsia="黑体" w:cs="黑体"/>
          <w:szCs w:val="32"/>
          <w:shd w:val="clear" w:color="auto" w:fill="FFFFFF"/>
          <w:lang w:eastAsia="zh-CN"/>
        </w:rPr>
        <w:t xml:space="preserve">条 </w:t>
      </w:r>
      <w:r>
        <w:rPr>
          <w:rFonts w:hint="eastAsia"/>
        </w:rPr>
        <w:t>公共数据资源授权运营坚持安全与发展并重，</w:t>
      </w:r>
      <w:r>
        <w:rPr>
          <w:rFonts w:hint="eastAsia"/>
          <w:u w:val="none"/>
          <w:lang w:eastAsia="zh-CN"/>
        </w:rPr>
        <w:t>遵循依法合规、公平公正、公益优先、合理收益、安全可控</w:t>
      </w:r>
      <w:r>
        <w:rPr>
          <w:rFonts w:hint="eastAsia"/>
        </w:rPr>
        <w:t>和“谁运营谁负责、谁使用谁负责”的原则，按照“原始数据不出域、数据可用不可见”的要求，在保护个人隐私、个人信息、商业秘密、国家秘密和确保公共安全的前提下，推动公共数据有序流动与开发利用。</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eastAsia="仿宋_GB2312"/>
          <w:b w:val="0"/>
          <w:bCs w:val="0"/>
          <w:u w:val="none"/>
          <w:lang w:eastAsia="zh-CN"/>
        </w:rPr>
      </w:pPr>
      <w:r>
        <w:rPr>
          <w:rFonts w:hint="eastAsia" w:ascii="黑体" w:hAnsi="黑体" w:eastAsia="黑体" w:cs="黑体"/>
          <w:szCs w:val="32"/>
          <w:shd w:val="clear" w:color="auto" w:fill="FFFFFF"/>
        </w:rPr>
        <w:t>第五</w:t>
      </w:r>
      <w:r>
        <w:rPr>
          <w:rFonts w:hint="eastAsia" w:ascii="黑体" w:hAnsi="黑体" w:eastAsia="黑体" w:cs="黑体"/>
          <w:szCs w:val="32"/>
          <w:shd w:val="clear" w:color="auto" w:fill="FFFFFF"/>
          <w:lang w:eastAsia="zh-CN"/>
        </w:rPr>
        <w:t xml:space="preserve">条 </w:t>
      </w:r>
      <w:r>
        <w:rPr>
          <w:rFonts w:hint="eastAsia"/>
          <w:u w:val="none"/>
          <w:lang w:eastAsia="zh-CN"/>
        </w:rPr>
        <w:t>全区公共数据资源授权运营在试行期间采取整体授权模式开展，后续根据发展实际可采取分领域或依场景授权等模式。</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第二章 授权运营的审批程序</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第六</w:t>
      </w:r>
      <w:r>
        <w:rPr>
          <w:rFonts w:hint="eastAsia" w:ascii="黑体" w:hAnsi="黑体" w:eastAsia="黑体" w:cs="黑体"/>
          <w:szCs w:val="32"/>
          <w:shd w:val="clear" w:color="auto" w:fill="FFFFFF"/>
          <w:lang w:eastAsia="zh-CN"/>
        </w:rPr>
        <w:t xml:space="preserve">条 </w:t>
      </w:r>
      <w:r>
        <w:rPr>
          <w:rFonts w:hint="eastAsia"/>
        </w:rPr>
        <w:t>授权运营工作按照方案编制、研究审议、运营机构选择确定、协议签订、备案管理、运营实施、终止退出的程序进行。</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第七</w:t>
      </w:r>
      <w:r>
        <w:rPr>
          <w:rFonts w:hint="eastAsia" w:ascii="黑体" w:hAnsi="黑体" w:eastAsia="黑体" w:cs="黑体"/>
          <w:szCs w:val="32"/>
          <w:shd w:val="clear" w:color="auto" w:fill="FFFFFF"/>
          <w:lang w:eastAsia="zh-CN"/>
        </w:rPr>
        <w:t xml:space="preserve">条 </w:t>
      </w:r>
      <w:r>
        <w:rPr>
          <w:rFonts w:hint="eastAsia"/>
        </w:rPr>
        <w:t>公共数据资源授权运营实施方案由</w:t>
      </w:r>
      <w:r>
        <w:rPr>
          <w:rFonts w:hint="eastAsia"/>
          <w:lang w:eastAsia="zh-CN"/>
        </w:rPr>
        <w:t>自治区数据管理部</w:t>
      </w:r>
      <w:r>
        <w:rPr>
          <w:rFonts w:hint="eastAsia"/>
          <w:u w:val="none"/>
          <w:lang w:eastAsia="zh-CN"/>
        </w:rPr>
        <w:t>门牵头编制或指导</w:t>
      </w:r>
      <w:r>
        <w:rPr>
          <w:rFonts w:hint="eastAsia"/>
          <w:u w:val="none"/>
        </w:rPr>
        <w:t>实施机</w:t>
      </w:r>
      <w:r>
        <w:rPr>
          <w:rFonts w:hint="eastAsia"/>
        </w:rPr>
        <w:t>构编制。</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实施方案应包括授权运营公共数据资源名称、必要性和可行性论证、运营机构的选择条件、授权运营的数据资源范围、授权运营期限、拟提供的公共数据产品和服务清单、实施机构、运营机构及相关参与方权利义务</w:t>
      </w:r>
      <w:r>
        <w:rPr>
          <w:rFonts w:hint="eastAsia"/>
          <w:lang w:eastAsia="zh-CN"/>
        </w:rPr>
        <w:t>、</w:t>
      </w:r>
      <w:r>
        <w:rPr>
          <w:rFonts w:hint="eastAsia"/>
          <w:u w:val="none"/>
          <w:lang w:eastAsia="zh-CN"/>
        </w:rPr>
        <w:t>运营机构授权范围内经营成本和收入等核算机制、收益分配机制</w:t>
      </w:r>
      <w:r>
        <w:rPr>
          <w:rFonts w:hint="eastAsia"/>
          <w:u w:val="none"/>
        </w:rPr>
        <w:t>等内容</w:t>
      </w:r>
      <w:r>
        <w:rPr>
          <w:rFonts w:hint="eastAsia"/>
        </w:rPr>
        <w:t>。</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第八</w:t>
      </w:r>
      <w:r>
        <w:rPr>
          <w:rFonts w:hint="eastAsia" w:ascii="黑体" w:hAnsi="黑体" w:eastAsia="黑体" w:cs="黑体"/>
          <w:szCs w:val="32"/>
          <w:shd w:val="clear" w:color="auto" w:fill="FFFFFF"/>
          <w:lang w:eastAsia="zh-CN"/>
        </w:rPr>
        <w:t xml:space="preserve">条 </w:t>
      </w:r>
      <w:r>
        <w:rPr>
          <w:rFonts w:hint="eastAsia"/>
        </w:rPr>
        <w:t>实施方案</w:t>
      </w:r>
      <w:r>
        <w:rPr>
          <w:rFonts w:hint="eastAsia"/>
          <w:lang w:eastAsia="zh-CN"/>
        </w:rPr>
        <w:t>编制后应</w:t>
      </w:r>
      <w:r>
        <w:rPr>
          <w:rFonts w:hint="eastAsia"/>
        </w:rPr>
        <w:t>报</w:t>
      </w:r>
      <w:r>
        <w:rPr>
          <w:rFonts w:hint="eastAsia"/>
          <w:lang w:eastAsia="zh-CN"/>
        </w:rPr>
        <w:t>同级</w:t>
      </w:r>
      <w:r>
        <w:rPr>
          <w:rFonts w:hint="eastAsia"/>
        </w:rPr>
        <w:t>人民政府，按照“三重一大”决策机制审议通过后实施。</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原则上经审定的实施方案不得随意变更，确需变更或发生重大调整的，应当重报自治区人民政府审议。</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第九</w:t>
      </w:r>
      <w:r>
        <w:rPr>
          <w:rFonts w:hint="eastAsia" w:ascii="黑体" w:hAnsi="黑体" w:eastAsia="黑体" w:cs="黑体"/>
          <w:szCs w:val="32"/>
          <w:shd w:val="clear" w:color="auto" w:fill="FFFFFF"/>
          <w:lang w:eastAsia="zh-CN"/>
        </w:rPr>
        <w:t xml:space="preserve">条 </w:t>
      </w:r>
      <w:r>
        <w:rPr>
          <w:rFonts w:hint="eastAsia"/>
        </w:rPr>
        <w:t>实施机构按照国家、自治区相关法律法规要求，依据实施方案规定的内容，采取公平竞争方式择优确定运营机构。</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运营机构的确定应按照信息发布、资质申请、评审公示等程序进行。</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（一）信息发布。实施机构发布公共数据资源授权运营征集通告，明确运营机构的申报条件和要求；</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（二）资质申请。意向申请单位应当在规定时间内，向实施机构提交相关申请资料；</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（三）评审公示。实施机构会同相关管理部门建立专家评审机制，组织开展公共数据资源授权运营综合评审，评审结果在官方网站进行公示，公示期不少于5个工作日。</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w:t>
      </w:r>
      <w:r>
        <w:rPr>
          <w:rFonts w:hint="eastAsia" w:ascii="黑体" w:hAnsi="黑体" w:eastAsia="黑体" w:cs="黑体"/>
          <w:szCs w:val="32"/>
          <w:shd w:val="clear" w:color="auto" w:fill="FFFFFF"/>
          <w:lang w:eastAsia="zh-CN"/>
        </w:rPr>
        <w:t xml:space="preserve">条 </w:t>
      </w:r>
      <w:r>
        <w:rPr>
          <w:rFonts w:hint="eastAsia"/>
        </w:rPr>
        <w:t>公示完成后，实施机构应及时与运营机构签订公共数据资源授权运营协议。</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公共数据资源授权运营协议应包括授权运营的公共数据资源范围及数据资源目录、运营期限、拟提供的公共数据产品和服务清单及其技术标准、安全审核要求、业务规范性审核要求、公共数据资源授权运营工作的技术支撑平台、资产权属、授权运营情况信息披露要求、经营成本和收入核算要求、收益分配机制、违约责任等内容。</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授权运营协议签订前，应经实施机构“三重一大”决策机制审议通过。协议签订后，</w:t>
      </w:r>
      <w:r>
        <w:rPr>
          <w:rFonts w:hint="eastAsia"/>
          <w:color w:val="auto"/>
        </w:rPr>
        <w:t>实施机构应向</w:t>
      </w:r>
      <w:r>
        <w:rPr>
          <w:rFonts w:hint="eastAsia"/>
          <w:color w:val="auto"/>
          <w:u w:val="none"/>
          <w:lang w:eastAsia="zh-CN"/>
        </w:rPr>
        <w:t>同级</w:t>
      </w:r>
      <w:r>
        <w:rPr>
          <w:rFonts w:hint="eastAsia"/>
          <w:color w:val="auto"/>
        </w:rPr>
        <w:t>数据管理部门备案</w:t>
      </w:r>
      <w:r>
        <w:rPr>
          <w:rFonts w:hint="eastAsia"/>
        </w:rPr>
        <w:t>。</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第十一</w:t>
      </w:r>
      <w:r>
        <w:rPr>
          <w:rFonts w:hint="eastAsia" w:ascii="黑体" w:hAnsi="黑体" w:eastAsia="黑体" w:cs="黑体"/>
          <w:szCs w:val="32"/>
          <w:shd w:val="clear" w:color="auto" w:fill="FFFFFF"/>
          <w:lang w:eastAsia="zh-CN"/>
        </w:rPr>
        <w:t xml:space="preserve">条 </w:t>
      </w:r>
      <w:r>
        <w:rPr>
          <w:rFonts w:hint="eastAsia"/>
        </w:rPr>
        <w:t>运营机构违反授权运营协议的，由数据管理部门会同实施机构上报</w:t>
      </w:r>
      <w:r>
        <w:rPr>
          <w:rFonts w:hint="eastAsia"/>
          <w:lang w:eastAsia="zh-CN"/>
        </w:rPr>
        <w:t>同级</w:t>
      </w:r>
      <w:r>
        <w:rPr>
          <w:rFonts w:hint="eastAsia"/>
        </w:rPr>
        <w:t>人民政府同意后，暂停或终止公共数据资源授权运营协议。</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eastAsia="仿宋_GB2312"/>
          <w:u w:val="none"/>
          <w:lang w:eastAsia="zh-CN"/>
        </w:rPr>
      </w:pPr>
      <w:r>
        <w:rPr>
          <w:rFonts w:hint="eastAsia"/>
          <w:u w:val="none"/>
          <w:lang w:eastAsia="zh-CN"/>
        </w:rPr>
        <w:t>数据管理部门应当牵头或指导实施机构建立运营考核机制，考核不合格的终止公共数据资源运营授权或考虑采用其他授权运营模式。</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第三章 开发利用的审批程序</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第十二</w:t>
      </w:r>
      <w:r>
        <w:rPr>
          <w:rFonts w:hint="eastAsia" w:ascii="黑体" w:hAnsi="黑体" w:eastAsia="黑体" w:cs="黑体"/>
          <w:szCs w:val="32"/>
          <w:shd w:val="clear" w:color="auto" w:fill="FFFFFF"/>
          <w:lang w:eastAsia="zh-CN"/>
        </w:rPr>
        <w:t xml:space="preserve">条 </w:t>
      </w:r>
      <w:r>
        <w:rPr>
          <w:rFonts w:hint="eastAsia"/>
        </w:rPr>
        <w:t>开发利用按照申请审批、签订协议、备案管理的程序进行。</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color w:val="auto"/>
        </w:rPr>
      </w:pPr>
      <w:r>
        <w:rPr>
          <w:rFonts w:hint="eastAsia" w:ascii="黑体" w:hAnsi="黑体" w:eastAsia="黑体" w:cs="黑体"/>
          <w:color w:val="auto"/>
          <w:szCs w:val="32"/>
          <w:shd w:val="clear" w:color="auto" w:fill="FFFFFF"/>
        </w:rPr>
        <w:t>第十三</w:t>
      </w:r>
      <w:r>
        <w:rPr>
          <w:rFonts w:hint="eastAsia" w:ascii="黑体" w:hAnsi="黑体" w:eastAsia="黑体" w:cs="黑体"/>
          <w:color w:val="auto"/>
          <w:szCs w:val="32"/>
          <w:shd w:val="clear" w:color="auto" w:fill="FFFFFF"/>
          <w:lang w:eastAsia="zh-CN"/>
        </w:rPr>
        <w:t xml:space="preserve">条 </w:t>
      </w:r>
      <w:r>
        <w:rPr>
          <w:rFonts w:hint="eastAsia"/>
          <w:color w:val="auto"/>
        </w:rPr>
        <w:t>数据开发商由企业注册地所在市级数据管理部门按照自治区相关认定办法审核认定。自治区及自治区以外数据开发商由自治区数据管理部门进行审核认定。</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第十四</w:t>
      </w:r>
      <w:r>
        <w:rPr>
          <w:rFonts w:hint="eastAsia" w:ascii="黑体" w:hAnsi="黑体" w:eastAsia="黑体" w:cs="黑体"/>
          <w:szCs w:val="32"/>
          <w:shd w:val="clear" w:color="auto" w:fill="FFFFFF"/>
          <w:lang w:eastAsia="zh-CN"/>
        </w:rPr>
        <w:t xml:space="preserve">条 </w:t>
      </w:r>
      <w:r>
        <w:rPr>
          <w:rFonts w:hint="eastAsia"/>
        </w:rPr>
        <w:t>经认定的数据开发商可向运营机构提交开发利用申请，运营机构应当自收到申请材料之日起5个工作日内提请</w:t>
      </w:r>
      <w:r>
        <w:rPr>
          <w:rFonts w:hint="eastAsia"/>
          <w:lang w:eastAsia="zh-CN"/>
        </w:rPr>
        <w:t>同级</w:t>
      </w:r>
      <w:r>
        <w:rPr>
          <w:rFonts w:hint="eastAsia"/>
        </w:rPr>
        <w:t>数据管理</w:t>
      </w:r>
      <w:r>
        <w:rPr>
          <w:rFonts w:hint="eastAsia"/>
          <w:color w:val="auto"/>
          <w:lang w:eastAsia="zh-CN"/>
        </w:rPr>
        <w:t>部门</w:t>
      </w:r>
      <w:r>
        <w:rPr>
          <w:rFonts w:hint="eastAsia"/>
        </w:rPr>
        <w:t>和数源单位审批。申请材料应包括主体资质、应用场景、公共数据需求、开发利用方式、安全保障措施等内容。</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第十五</w:t>
      </w:r>
      <w:r>
        <w:rPr>
          <w:rFonts w:hint="eastAsia" w:ascii="黑体" w:hAnsi="黑体" w:eastAsia="黑体" w:cs="黑体"/>
          <w:szCs w:val="32"/>
          <w:shd w:val="clear" w:color="auto" w:fill="FFFFFF"/>
          <w:lang w:eastAsia="zh-CN"/>
        </w:rPr>
        <w:t xml:space="preserve">条 </w:t>
      </w:r>
      <w:r>
        <w:rPr>
          <w:rFonts w:hint="eastAsia"/>
        </w:rPr>
        <w:t>审批完成后5个工作日内，运营机构应与数据开发商签订公共数据开发利用协议。</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协议内容应包括双方权利义务、应用场景、公共数据范围、开发利用条件、数据安全要求、服务费用、违约责任等。</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协议签订后5个工作日内，运营机构向自治区数据管理部门备案，并为数据开发商开通相关数据的开发利用权限。</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第十六</w:t>
      </w:r>
      <w:r>
        <w:rPr>
          <w:rFonts w:hint="eastAsia" w:ascii="黑体" w:hAnsi="黑体" w:eastAsia="黑体" w:cs="黑体"/>
          <w:szCs w:val="32"/>
          <w:shd w:val="clear" w:color="auto" w:fill="FFFFFF"/>
          <w:lang w:eastAsia="zh-CN"/>
        </w:rPr>
        <w:t xml:space="preserve">条 </w:t>
      </w:r>
      <w:r>
        <w:rPr>
          <w:rFonts w:hint="eastAsia"/>
        </w:rPr>
        <w:t>数据开发商违反开发利用协议的，自治区数据管理部门有权暂停其开发利用活动，并要求其限期整改。数据开发商应当在约定期限内完成整改，经数据管理部门验收合格后，可按协议继续开展公共数据开发利用活动。未按照要求整改的，数据管理部门有权终止协议。</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第四章 实施机构职责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第十七</w:t>
      </w:r>
      <w:r>
        <w:rPr>
          <w:rFonts w:hint="eastAsia" w:ascii="黑体" w:hAnsi="黑体" w:eastAsia="黑体" w:cs="黑体"/>
          <w:szCs w:val="32"/>
          <w:shd w:val="clear" w:color="auto" w:fill="FFFFFF"/>
          <w:lang w:eastAsia="zh-CN"/>
        </w:rPr>
        <w:t xml:space="preserve">条 </w:t>
      </w:r>
      <w:r>
        <w:rPr>
          <w:rFonts w:hint="eastAsia"/>
        </w:rPr>
        <w:t>实施机构由数据管理</w:t>
      </w:r>
      <w:r>
        <w:rPr>
          <w:rFonts w:hint="eastAsia"/>
          <w:color w:val="auto"/>
          <w:lang w:eastAsia="zh-CN"/>
        </w:rPr>
        <w:t>部门</w:t>
      </w:r>
      <w:r>
        <w:rPr>
          <w:rFonts w:hint="eastAsia"/>
        </w:rPr>
        <w:t>选定，原则上应为具备的一定数据管理能力和技术支撑能力的单位，负责组织开展授权运营活动，重点完成</w:t>
      </w:r>
      <w:r>
        <w:rPr>
          <w:rFonts w:hint="eastAsia"/>
          <w:lang w:eastAsia="zh-CN"/>
        </w:rPr>
        <w:t>实施方案制定</w:t>
      </w:r>
      <w:r>
        <w:rPr>
          <w:rFonts w:hint="eastAsia"/>
        </w:rPr>
        <w:t>、运营业务指导、</w:t>
      </w:r>
      <w:r>
        <w:rPr>
          <w:rFonts w:hint="eastAsia"/>
          <w:lang w:eastAsia="zh-CN"/>
        </w:rPr>
        <w:t>数据</w:t>
      </w:r>
      <w:r>
        <w:rPr>
          <w:rFonts w:hint="eastAsia"/>
        </w:rPr>
        <w:t>服务平台建设管理等工作。</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第十八</w:t>
      </w:r>
      <w:r>
        <w:rPr>
          <w:rFonts w:hint="eastAsia" w:ascii="黑体" w:hAnsi="黑体" w:eastAsia="黑体" w:cs="黑体"/>
          <w:szCs w:val="32"/>
          <w:shd w:val="clear" w:color="auto" w:fill="FFFFFF"/>
          <w:lang w:eastAsia="zh-CN"/>
        </w:rPr>
        <w:t xml:space="preserve">条 </w:t>
      </w:r>
      <w:r>
        <w:rPr>
          <w:rFonts w:hint="eastAsia"/>
        </w:rPr>
        <w:t>实施机构应当履行以下职责：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（一）严格执行国家、自治区有关规定，公开透明、科学审慎确定授权运营机构；</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（二）建立健全安全可控的开发利用环境，确保数据资源开发利用全过程可</w:t>
      </w:r>
      <w:r>
        <w:rPr>
          <w:rFonts w:hint="eastAsia"/>
          <w:lang w:eastAsia="zh-CN"/>
        </w:rPr>
        <w:t>管</w:t>
      </w:r>
      <w:r>
        <w:rPr>
          <w:rFonts w:hint="eastAsia"/>
        </w:rPr>
        <w:t>、</w:t>
      </w:r>
      <w:r>
        <w:rPr>
          <w:rFonts w:hint="eastAsia"/>
          <w:lang w:eastAsia="zh-CN"/>
        </w:rPr>
        <w:t>可控、</w:t>
      </w:r>
      <w:r>
        <w:rPr>
          <w:rFonts w:hint="eastAsia"/>
        </w:rPr>
        <w:t>可追溯；</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（三）及时开展或组织运营机构、具备相应资质的第三方机构对由公共数据开发形成的数据应用和产品，进行安全合规审核；</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（四）配合数据管理部门制定完善全区统一的数据治理标准规范，会同各行业主管部门、运营机构开展数据治理活动；</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（五）配合数据管理部门建立公共数据资源授权运营情况披露机制，按规定公开授权对象、内容、范围和时限等授权运营情况；</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（六）配合数据管理部门建立公共数据贡献评价指标体系和绩效评估体系，从数据质量、应用场景等维度，对数据汇聚治理、开发开放等进行评价；</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（七）履行公共数据资源授权运营过程中的其他职责。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第十九</w:t>
      </w:r>
      <w:r>
        <w:rPr>
          <w:rFonts w:hint="eastAsia" w:ascii="黑体" w:hAnsi="黑体" w:eastAsia="黑体" w:cs="黑体"/>
          <w:szCs w:val="32"/>
          <w:shd w:val="clear" w:color="auto" w:fill="FFFFFF"/>
          <w:lang w:eastAsia="zh-CN"/>
        </w:rPr>
        <w:t xml:space="preserve">条 </w:t>
      </w:r>
      <w:r>
        <w:rPr>
          <w:rFonts w:hint="eastAsia"/>
        </w:rPr>
        <w:t>实施机构</w:t>
      </w:r>
      <w:r>
        <w:rPr>
          <w:rFonts w:hint="eastAsia"/>
          <w:lang w:eastAsia="zh-CN"/>
        </w:rPr>
        <w:t>在开展</w:t>
      </w:r>
      <w:r>
        <w:rPr>
          <w:rFonts w:hint="eastAsia"/>
        </w:rPr>
        <w:t>公共数据资源授权运营</w:t>
      </w:r>
      <w:r>
        <w:rPr>
          <w:rFonts w:hint="eastAsia"/>
          <w:lang w:eastAsia="zh-CN"/>
        </w:rPr>
        <w:t>活动</w:t>
      </w:r>
      <w:r>
        <w:rPr>
          <w:rFonts w:hint="eastAsia"/>
        </w:rPr>
        <w:t>中，不得排除、限制市场公平竞争，不得干扰、影响公共数据资源授权运营开发生态。</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第五章 运营机构职责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条 </w:t>
      </w:r>
      <w:r>
        <w:rPr>
          <w:rFonts w:hint="eastAsia"/>
        </w:rPr>
        <w:t>运营机构应当经营状况良好，具备</w:t>
      </w:r>
      <w:r>
        <w:rPr>
          <w:rFonts w:hint="eastAsia"/>
          <w:lang w:eastAsia="zh-CN"/>
        </w:rPr>
        <w:t>数据资源</w:t>
      </w:r>
      <w:r>
        <w:rPr>
          <w:rFonts w:hint="eastAsia"/>
        </w:rPr>
        <w:t>运营所需的专业资质、高技能人才和运营服务能力。</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第二十一</w:t>
      </w:r>
      <w:r>
        <w:rPr>
          <w:rFonts w:hint="eastAsia" w:ascii="黑体" w:hAnsi="黑体" w:eastAsia="黑体" w:cs="黑体"/>
          <w:szCs w:val="32"/>
          <w:shd w:val="clear" w:color="auto" w:fill="FFFFFF"/>
          <w:lang w:eastAsia="zh-CN"/>
        </w:rPr>
        <w:t xml:space="preserve">条 </w:t>
      </w:r>
      <w:r>
        <w:rPr>
          <w:rFonts w:hint="eastAsia"/>
        </w:rPr>
        <w:t>运营机构应当履行以下职责：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（一）</w:t>
      </w:r>
      <w:r>
        <w:rPr>
          <w:rFonts w:hint="eastAsia"/>
          <w:lang w:eastAsia="zh-CN"/>
        </w:rPr>
        <w:t>严格</w:t>
      </w:r>
      <w:r>
        <w:rPr>
          <w:rFonts w:hint="eastAsia"/>
        </w:rPr>
        <w:t>落实数据安全</w:t>
      </w:r>
      <w:r>
        <w:rPr>
          <w:rFonts w:hint="eastAsia"/>
          <w:lang w:eastAsia="zh-CN"/>
        </w:rPr>
        <w:t>主体</w:t>
      </w:r>
      <w:r>
        <w:rPr>
          <w:rFonts w:hint="eastAsia"/>
        </w:rPr>
        <w:t>责任，建立公共数据资源授权运营内部管理和安全保障制度；</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（二）建立健全公共数据市场运营日常监测、风险评估、安全审查等机制，形成公共数据使用的全程记录，确保公共数据管理、开发利用、服务支撑等全过程安全可控；</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u w:val="none"/>
        </w:rPr>
      </w:pPr>
      <w:r>
        <w:rPr>
          <w:rFonts w:hint="eastAsia"/>
          <w:u w:val="none"/>
        </w:rPr>
        <w:t>（三）</w:t>
      </w:r>
      <w:r>
        <w:rPr>
          <w:rFonts w:hint="eastAsia"/>
          <w:u w:val="none"/>
          <w:lang w:eastAsia="zh-CN"/>
        </w:rPr>
        <w:t>制定数据安全事件应急处置预案，</w:t>
      </w:r>
      <w:r>
        <w:rPr>
          <w:rFonts w:hint="eastAsia"/>
          <w:u w:val="none"/>
        </w:rPr>
        <w:t>发生数据丢失、泄露、篡改、毁损等数据安全事件或重大风险时，应当立即启动应急处置预案，</w:t>
      </w:r>
      <w:r>
        <w:rPr>
          <w:rFonts w:hint="eastAsia"/>
          <w:u w:val="none"/>
          <w:lang w:eastAsia="zh-CN"/>
        </w:rPr>
        <w:t>并向实施机构、数据管理部门和同级网信部门报告</w:t>
      </w:r>
      <w:r>
        <w:rPr>
          <w:rFonts w:hint="eastAsia"/>
          <w:u w:val="none"/>
        </w:rPr>
        <w:t>；</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（四）在数据处理、提供服务和使用过程</w:t>
      </w:r>
      <w:r>
        <w:rPr>
          <w:rFonts w:hint="eastAsia"/>
          <w:lang w:eastAsia="zh-CN"/>
        </w:rPr>
        <w:t>中，</w:t>
      </w:r>
      <w:r>
        <w:rPr>
          <w:rFonts w:hint="eastAsia"/>
        </w:rPr>
        <w:t>发现数据间隐含关系与规律可能危害国家安全、公共利益，或侵犯个人隐私、</w:t>
      </w:r>
      <w:r>
        <w:rPr>
          <w:rFonts w:hint="eastAsia"/>
          <w:lang w:eastAsia="zh-CN"/>
        </w:rPr>
        <w:t>泄露商业秘密</w:t>
      </w:r>
      <w:r>
        <w:rPr>
          <w:rFonts w:hint="eastAsia"/>
        </w:rPr>
        <w:t>的，应立即停止</w:t>
      </w:r>
      <w:r>
        <w:rPr>
          <w:rFonts w:hint="eastAsia"/>
          <w:lang w:eastAsia="zh-CN"/>
        </w:rPr>
        <w:t>相关</w:t>
      </w:r>
      <w:r>
        <w:rPr>
          <w:rFonts w:hint="eastAsia"/>
        </w:rPr>
        <w:t>活动，并及时向实施机构、数据管理部门报告风险情况；</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（五）公开公共数据产品和服务清单，披露公共数据资源使用情况，接受社会监督；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（六）在运营期限内向实施机构提交公共数据运营年度报告。报告内容包括与运营相关的数据产品和服务存储、加工处理、分析利用、安全管理及市场运营情况等；</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eastAsia="仿宋_GB2312"/>
          <w:lang w:eastAsia="zh-CN"/>
        </w:rPr>
      </w:pPr>
      <w:r>
        <w:rPr>
          <w:rFonts w:hint="eastAsia"/>
        </w:rPr>
        <w:t>（七）坚持依法合规、普惠公平、收益合理的原则，按照国家有关规定</w:t>
      </w:r>
      <w:r>
        <w:rPr>
          <w:rFonts w:hint="eastAsia"/>
          <w:lang w:eastAsia="zh-CN"/>
        </w:rPr>
        <w:t>和价格主管部门核定的指导价收取数据运营服务费；</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（八）按照财务管理制度，加强用于公共数据运营服务的成本、收入和支出的内部管理，依法接受监督。</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第二十二</w:t>
      </w:r>
      <w:r>
        <w:rPr>
          <w:rFonts w:hint="eastAsia" w:ascii="黑体" w:hAnsi="黑体" w:eastAsia="黑体" w:cs="黑体"/>
          <w:szCs w:val="32"/>
          <w:shd w:val="clear" w:color="auto" w:fill="FFFFFF"/>
          <w:lang w:eastAsia="zh-CN"/>
        </w:rPr>
        <w:t xml:space="preserve">条 </w:t>
      </w:r>
      <w:r>
        <w:rPr>
          <w:rFonts w:hint="eastAsia"/>
        </w:rPr>
        <w:t>运营机构应依法依规在授权范围内开展业务，不得实施与其他经营主体达成垄断协议或滥用市场支配地位等垄断行为，不得实施不正当竞争行为，不得直接或间接参与授权范围内公共数据产品和服务的二次开发。</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第六章 数据开发商权利义务</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第二十三</w:t>
      </w:r>
      <w:r>
        <w:rPr>
          <w:rFonts w:hint="eastAsia" w:ascii="黑体" w:hAnsi="黑体" w:eastAsia="黑体" w:cs="黑体"/>
          <w:szCs w:val="32"/>
          <w:shd w:val="clear" w:color="auto" w:fill="FFFFFF"/>
          <w:lang w:eastAsia="zh-CN"/>
        </w:rPr>
        <w:t xml:space="preserve">条 </w:t>
      </w:r>
      <w:r>
        <w:rPr>
          <w:rFonts w:hint="eastAsia"/>
        </w:rPr>
        <w:t>数据开发商应在申请的应用场景内对公共数据进行开发利用，形成数据产品和服务，不得随意扩大数据应用范围。</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第二十四</w:t>
      </w:r>
      <w:r>
        <w:rPr>
          <w:rFonts w:hint="eastAsia" w:ascii="黑体" w:hAnsi="黑体" w:eastAsia="黑体" w:cs="黑体"/>
          <w:szCs w:val="32"/>
          <w:shd w:val="clear" w:color="auto" w:fill="FFFFFF"/>
          <w:lang w:eastAsia="zh-CN"/>
        </w:rPr>
        <w:t xml:space="preserve">条 </w:t>
      </w:r>
      <w:r>
        <w:rPr>
          <w:rFonts w:hint="eastAsia"/>
          <w:color w:val="auto"/>
        </w:rPr>
        <w:t>数据开发商所开发的公共数据经营性产品和服务，确需收费的，实行政府指导定价管理。</w:t>
      </w:r>
      <w:r>
        <w:rPr>
          <w:rFonts w:hint="eastAsia"/>
        </w:rPr>
        <w:t>数据开发商依法开发的产品或服务所获得的财产收益，受法律保护。但有下列情形之一的除外：</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（一）数据产品和服务包含个人数据未依法获得授权的；</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（二）数据产品和服务包含未经授权许可的公共数据的；</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（三）法律、法规规定的其他情形。</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color w:val="auto"/>
          <w:szCs w:val="32"/>
          <w:shd w:val="clear" w:color="auto" w:fill="FFFFFF"/>
        </w:rPr>
        <w:t>第二十</w:t>
      </w:r>
      <w:r>
        <w:rPr>
          <w:rFonts w:hint="eastAsia" w:ascii="黑体" w:hAnsi="黑体" w:eastAsia="黑体" w:cs="黑体"/>
          <w:color w:val="auto"/>
          <w:szCs w:val="32"/>
          <w:shd w:val="clear" w:color="auto" w:fill="FFFFFF"/>
          <w:lang w:eastAsia="zh-CN"/>
        </w:rPr>
        <w:t>五条</w:t>
      </w:r>
      <w:r>
        <w:rPr>
          <w:rFonts w:hint="eastAsia" w:ascii="黑体" w:hAnsi="黑体" w:eastAsia="黑体" w:cs="黑体"/>
          <w:color w:val="FF0000"/>
          <w:szCs w:val="32"/>
          <w:shd w:val="clear" w:color="auto" w:fill="FFFFFF"/>
          <w:lang w:eastAsia="zh-CN"/>
        </w:rPr>
        <w:t xml:space="preserve"> </w:t>
      </w:r>
      <w:r>
        <w:rPr>
          <w:rFonts w:hint="eastAsia"/>
        </w:rPr>
        <w:t>数据开发商应当遵守公平竞争原则，不得实施下列侵害其他市场主体合法权益的行为：</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（一）使用非法手段获取其他市场主体的数据；</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（二）利用非法收集的其他市场主体数据提供替代性产品或者服务；</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rPr>
        <w:t>（三）法律、法规规定禁止的其他行为。</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第七章 数据安全与监督管理</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六条 </w:t>
      </w:r>
      <w:r>
        <w:rPr>
          <w:rFonts w:hint="eastAsia"/>
        </w:rPr>
        <w:t>实施机构、运营机构、数据开发商应履行数据安全主体责任，加强内控管理、技术管理和人员管理，严防数据加工、处理、运营、服务等环节的安全风险。</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七条 </w:t>
      </w:r>
      <w:r>
        <w:rPr>
          <w:rFonts w:hint="eastAsia"/>
        </w:rPr>
        <w:t>数据服务平台是自治区公共数据资源授权运营的统一通道</w:t>
      </w:r>
      <w:r>
        <w:rPr>
          <w:rFonts w:hint="eastAsia"/>
          <w:lang w:eastAsia="zh-CN"/>
        </w:rPr>
        <w:t>，各市（县、区）无需重复建设，可</w:t>
      </w:r>
      <w:r>
        <w:rPr>
          <w:rFonts w:hint="eastAsia"/>
        </w:rPr>
        <w:t>通过分级部署、开设专区等方式</w:t>
      </w:r>
      <w:r>
        <w:rPr>
          <w:rFonts w:hint="eastAsia"/>
          <w:lang w:eastAsia="zh-CN"/>
        </w:rPr>
        <w:t>接入使用</w:t>
      </w:r>
      <w:r>
        <w:rPr>
          <w:rFonts w:hint="eastAsia"/>
        </w:rPr>
        <w:t>。</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第二十</w:t>
      </w:r>
      <w:r>
        <w:rPr>
          <w:rFonts w:hint="eastAsia" w:ascii="黑体" w:hAnsi="黑体" w:eastAsia="黑体" w:cs="黑体"/>
          <w:szCs w:val="32"/>
          <w:shd w:val="clear" w:color="auto" w:fill="FFFFFF"/>
          <w:lang w:eastAsia="zh-CN"/>
        </w:rPr>
        <w:t xml:space="preserve">八条 </w:t>
      </w:r>
      <w:r>
        <w:rPr>
          <w:rFonts w:hint="eastAsia"/>
        </w:rPr>
        <w:t>授权运营应有效识别和管控数据资产化、数据资产资本化以及证券化的潜在风险，切实防范化解金融风险。</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rPr>
      </w:pPr>
      <w:r>
        <w:rPr>
          <w:rFonts w:hint="eastAsia" w:ascii="黑体" w:hAnsi="黑体" w:eastAsia="黑体" w:cs="黑体"/>
          <w:szCs w:val="32"/>
          <w:shd w:val="clear" w:color="auto" w:fill="FFFFFF"/>
        </w:rPr>
        <w:t>第</w:t>
      </w:r>
      <w:r>
        <w:rPr>
          <w:rFonts w:hint="eastAsia" w:ascii="黑体" w:hAnsi="黑体" w:eastAsia="黑体" w:cs="黑体"/>
          <w:szCs w:val="32"/>
          <w:shd w:val="clear" w:color="auto" w:fill="FFFFFF"/>
          <w:lang w:eastAsia="zh-CN"/>
        </w:rPr>
        <w:t xml:space="preserve">二十九条 </w:t>
      </w:r>
      <w:r>
        <w:rPr>
          <w:rFonts w:hint="eastAsia" w:ascii="Times New Roman" w:hAnsi="Times New Roman"/>
        </w:rPr>
        <w:t>数据开</w:t>
      </w:r>
      <w:r>
        <w:rPr>
          <w:rFonts w:hint="eastAsia"/>
        </w:rPr>
        <w:t>发商违反网络安全、数据安全、个人信息保护有关法律法规规定的，依照有关法律法规进行处罚。</w:t>
      </w:r>
    </w:p>
    <w:p>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40" w:lineRule="exact"/>
        <w:ind w:leftChars="0"/>
        <w:jc w:val="center"/>
        <w:textAlignment w:val="auto"/>
        <w:outlineLvl w:val="0"/>
        <w:rPr>
          <w:rFonts w:hint="eastAsia" w:ascii="黑体" w:hAnsi="黑体" w:eastAsia="黑体" w:cs="黑体"/>
          <w:szCs w:val="32"/>
          <w:shd w:val="clear" w:color="auto" w:fill="FFFFFF"/>
        </w:rPr>
      </w:pPr>
      <w:r>
        <w:rPr>
          <w:rFonts w:hint="eastAsia" w:ascii="黑体" w:hAnsi="黑体" w:eastAsia="黑体" w:cs="黑体"/>
          <w:szCs w:val="32"/>
          <w:shd w:val="clear" w:color="auto" w:fill="FFFFFF"/>
        </w:rPr>
        <w:t>第八章 附则</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w w:val="98"/>
          <w:sz w:val="32"/>
        </w:rPr>
      </w:pPr>
      <w:r>
        <w:rPr>
          <w:rFonts w:hint="eastAsia" w:ascii="黑体" w:hAnsi="黑体" w:eastAsia="黑体" w:cs="黑体"/>
          <w:szCs w:val="32"/>
          <w:shd w:val="clear" w:color="auto" w:fill="FFFFFF"/>
        </w:rPr>
        <w:t>第三十</w:t>
      </w:r>
      <w:r>
        <w:rPr>
          <w:rFonts w:hint="eastAsia" w:ascii="黑体" w:hAnsi="黑体" w:eastAsia="黑体" w:cs="黑体"/>
          <w:szCs w:val="32"/>
          <w:shd w:val="clear" w:color="auto" w:fill="FFFFFF"/>
          <w:lang w:eastAsia="zh-CN"/>
        </w:rPr>
        <w:t xml:space="preserve">条 </w:t>
      </w:r>
      <w:r>
        <w:rPr>
          <w:rFonts w:hint="eastAsia"/>
          <w:w w:val="98"/>
          <w:sz w:val="32"/>
        </w:rPr>
        <w:t>本办法由自治区发展改革委负责解释。</w:t>
      </w:r>
    </w:p>
    <w:p>
      <w:pPr>
        <w:keepNext w:val="0"/>
        <w:keepLines w:val="0"/>
        <w:pageBreakBefore w:val="0"/>
        <w:widowControl w:val="0"/>
        <w:kinsoku/>
        <w:wordWrap/>
        <w:overflowPunct w:val="0"/>
        <w:topLinePunct w:val="0"/>
        <w:bidi w:val="0"/>
        <w:adjustRightInd/>
        <w:snapToGrid/>
        <w:spacing w:line="540" w:lineRule="exact"/>
        <w:jc w:val="both"/>
        <w:textAlignment w:val="auto"/>
        <w:rPr>
          <w:rFonts w:hint="eastAsia" w:eastAsia="仿宋_GB2312"/>
          <w:w w:val="98"/>
          <w:sz w:val="32"/>
          <w:lang w:eastAsia="zh-CN"/>
        </w:rPr>
      </w:pPr>
      <w:r>
        <w:rPr>
          <w:rFonts w:hint="eastAsia" w:ascii="黑体" w:hAnsi="黑体" w:eastAsia="黑体" w:cs="黑体"/>
          <w:szCs w:val="32"/>
          <w:shd w:val="clear" w:color="auto" w:fill="FFFFFF"/>
        </w:rPr>
        <w:t>第三十</w:t>
      </w:r>
      <w:r>
        <w:rPr>
          <w:rFonts w:hint="eastAsia" w:ascii="黑体" w:hAnsi="黑体" w:eastAsia="黑体" w:cs="黑体"/>
          <w:szCs w:val="32"/>
          <w:shd w:val="clear" w:color="auto" w:fill="FFFFFF"/>
          <w:lang w:eastAsia="zh-CN"/>
        </w:rPr>
        <w:t xml:space="preserve">一条 </w:t>
      </w:r>
      <w:r>
        <w:rPr>
          <w:rFonts w:hint="eastAsia"/>
        </w:rPr>
        <w:t>本办法自印发之日起施行。</w:t>
      </w: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D392D"/>
    <w:multiLevelType w:val="multilevel"/>
    <w:tmpl w:val="2EBD392D"/>
    <w:lvl w:ilvl="0" w:tentative="0">
      <w:start w:val="1"/>
      <w:numFmt w:val="chineseCountingThousand"/>
      <w:lvlText w:val="第%1章"/>
      <w:lvlJc w:val="left"/>
      <w:pPr>
        <w:ind w:left="432" w:hanging="432"/>
      </w:pPr>
      <w:rPr>
        <w:rFonts w:hint="eastAsia"/>
      </w:rPr>
    </w:lvl>
    <w:lvl w:ilvl="1" w:tentative="0">
      <w:start w:val="1"/>
      <w:numFmt w:val="decimal"/>
      <w:isLgl/>
      <w:lvlText w:val="%1.%2"/>
      <w:lvlJc w:val="left"/>
      <w:rPr>
        <w:rFonts w:hint="eastAsia"/>
        <w:b w:val="0"/>
        <w:bCs w:val="0"/>
        <w:i w:val="0"/>
        <w:iCs w:val="0"/>
        <w:caps w:val="0"/>
        <w:smallCaps w:val="0"/>
        <w:strike w:val="0"/>
        <w:dstrike w:val="0"/>
        <w:vanish w:val="0"/>
        <w:color w:val="000000"/>
        <w:spacing w:val="0"/>
        <w:position w:val="0"/>
        <w:u w:val="none"/>
        <w:vertAlign w:val="baseline"/>
      </w:rPr>
    </w:lvl>
    <w:lvl w:ilvl="2" w:tentative="0">
      <w:start w:val="1"/>
      <w:numFmt w:val="decimal"/>
      <w:isLgl/>
      <w:lvlText w:val="%1.%2.%3"/>
      <w:lvlJc w:val="left"/>
      <w:pPr>
        <w:ind w:left="720" w:hanging="720"/>
      </w:pPr>
      <w:rPr>
        <w:rFonts w:hint="eastAsia"/>
      </w:rPr>
    </w:lvl>
    <w:lvl w:ilvl="3" w:tentative="0">
      <w:start w:val="1"/>
      <w:numFmt w:val="decimal"/>
      <w:pStyle w:val="17"/>
      <w:isLgl/>
      <w:lvlText w:val="%1.%2.%3.%4"/>
      <w:lvlJc w:val="left"/>
      <w:rPr>
        <w:rFonts w:hint="eastAsia"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pStyle w:val="18"/>
      <w:isLgl/>
      <w:lvlText w:val="%1.%2.%3.%4.%5"/>
      <w:lvlJc w:val="left"/>
      <w:rPr>
        <w:rFonts w:hint="eastAsia"/>
        <w:b w:val="0"/>
        <w:bCs w:val="0"/>
        <w:i w:val="0"/>
        <w:iCs w:val="0"/>
        <w:caps w:val="0"/>
        <w:smallCaps w:val="0"/>
        <w:strike w:val="0"/>
        <w:dstrike w:val="0"/>
        <w:vanish w:val="0"/>
        <w:color w:val="000000"/>
        <w:spacing w:val="0"/>
        <w:position w:val="0"/>
        <w:u w:val="none"/>
        <w:vertAlign w:val="baseline"/>
      </w:rPr>
    </w:lvl>
    <w:lvl w:ilvl="5" w:tentative="0">
      <w:start w:val="1"/>
      <w:numFmt w:val="decimal"/>
      <w:isLgl/>
      <w:lvlText w:val="%1.%2.%3.%4.%5.%6"/>
      <w:lvlJc w:val="left"/>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35DD3"/>
    <w:rsid w:val="01211B1D"/>
    <w:rsid w:val="012546EE"/>
    <w:rsid w:val="04E9313A"/>
    <w:rsid w:val="06CA6FA3"/>
    <w:rsid w:val="06F4431B"/>
    <w:rsid w:val="0B2C34F8"/>
    <w:rsid w:val="0B7C4C65"/>
    <w:rsid w:val="0BDC5423"/>
    <w:rsid w:val="0BF81227"/>
    <w:rsid w:val="0E211C32"/>
    <w:rsid w:val="0F814D77"/>
    <w:rsid w:val="1067759D"/>
    <w:rsid w:val="128B114C"/>
    <w:rsid w:val="14D92A7C"/>
    <w:rsid w:val="18FC5CC6"/>
    <w:rsid w:val="1C7903AF"/>
    <w:rsid w:val="1C870A91"/>
    <w:rsid w:val="1DD94587"/>
    <w:rsid w:val="1DF835B3"/>
    <w:rsid w:val="1E6D326D"/>
    <w:rsid w:val="208E704F"/>
    <w:rsid w:val="2116094D"/>
    <w:rsid w:val="21163566"/>
    <w:rsid w:val="21495A63"/>
    <w:rsid w:val="23F27182"/>
    <w:rsid w:val="24644645"/>
    <w:rsid w:val="276F81FC"/>
    <w:rsid w:val="294908BA"/>
    <w:rsid w:val="2AFFCB82"/>
    <w:rsid w:val="2B477D58"/>
    <w:rsid w:val="2CDA44F2"/>
    <w:rsid w:val="315174A9"/>
    <w:rsid w:val="330F2D44"/>
    <w:rsid w:val="33643C89"/>
    <w:rsid w:val="33E22146"/>
    <w:rsid w:val="35D95109"/>
    <w:rsid w:val="36486115"/>
    <w:rsid w:val="36987D10"/>
    <w:rsid w:val="388A0B3F"/>
    <w:rsid w:val="3B05243D"/>
    <w:rsid w:val="3B562D10"/>
    <w:rsid w:val="3D5D11C3"/>
    <w:rsid w:val="3E3E231E"/>
    <w:rsid w:val="3EDFA2A5"/>
    <w:rsid w:val="3F335DD3"/>
    <w:rsid w:val="3FC64962"/>
    <w:rsid w:val="409368BD"/>
    <w:rsid w:val="42A6360C"/>
    <w:rsid w:val="441D2AA6"/>
    <w:rsid w:val="45037E5A"/>
    <w:rsid w:val="450541A1"/>
    <w:rsid w:val="457667CA"/>
    <w:rsid w:val="46645D95"/>
    <w:rsid w:val="47120827"/>
    <w:rsid w:val="4A4B148F"/>
    <w:rsid w:val="4C6251E1"/>
    <w:rsid w:val="4DCE5DB5"/>
    <w:rsid w:val="4DFD7735"/>
    <w:rsid w:val="4FB12813"/>
    <w:rsid w:val="4FFE74AB"/>
    <w:rsid w:val="53696B93"/>
    <w:rsid w:val="54C24E52"/>
    <w:rsid w:val="551D5C24"/>
    <w:rsid w:val="573006BE"/>
    <w:rsid w:val="588D40FA"/>
    <w:rsid w:val="589B327F"/>
    <w:rsid w:val="5CF6AD9E"/>
    <w:rsid w:val="5F8D3732"/>
    <w:rsid w:val="604D0A9F"/>
    <w:rsid w:val="61863410"/>
    <w:rsid w:val="632B64E7"/>
    <w:rsid w:val="64441D71"/>
    <w:rsid w:val="6556729D"/>
    <w:rsid w:val="675A2EC1"/>
    <w:rsid w:val="677828FE"/>
    <w:rsid w:val="691A568A"/>
    <w:rsid w:val="69EC1AA0"/>
    <w:rsid w:val="6AAD5E11"/>
    <w:rsid w:val="6CE212AF"/>
    <w:rsid w:val="6E8B4C69"/>
    <w:rsid w:val="6F517979"/>
    <w:rsid w:val="729B1F09"/>
    <w:rsid w:val="72C35BD6"/>
    <w:rsid w:val="73571B88"/>
    <w:rsid w:val="74C53798"/>
    <w:rsid w:val="74EF280B"/>
    <w:rsid w:val="7534184A"/>
    <w:rsid w:val="75E67815"/>
    <w:rsid w:val="77150234"/>
    <w:rsid w:val="778E46C4"/>
    <w:rsid w:val="77FF8BC1"/>
    <w:rsid w:val="786B7F9B"/>
    <w:rsid w:val="78F5B6C2"/>
    <w:rsid w:val="7A504A59"/>
    <w:rsid w:val="7C1428DD"/>
    <w:rsid w:val="7CBB8A10"/>
    <w:rsid w:val="7D0050EB"/>
    <w:rsid w:val="7D69270B"/>
    <w:rsid w:val="7EB3A3A1"/>
    <w:rsid w:val="7F5F07EF"/>
    <w:rsid w:val="97FBC3E1"/>
    <w:rsid w:val="AFF50C17"/>
    <w:rsid w:val="B6FC21CC"/>
    <w:rsid w:val="BEAB8096"/>
    <w:rsid w:val="DEFF7CD4"/>
    <w:rsid w:val="DFEF3894"/>
    <w:rsid w:val="EACFABB7"/>
    <w:rsid w:val="F4DF7D09"/>
    <w:rsid w:val="F563EAC6"/>
    <w:rsid w:val="FCD2D587"/>
    <w:rsid w:val="FEF73FF1"/>
    <w:rsid w:val="FEFEE87F"/>
    <w:rsid w:val="FFEE0E46"/>
    <w:rsid w:val="FFFFA8FA"/>
    <w:rsid w:val="FFFFB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79"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6"/>
    <w:qFormat/>
    <w:uiPriority w:val="0"/>
    <w:pPr>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link w:val="21"/>
    <w:semiHidden/>
    <w:unhideWhenUsed/>
    <w:qFormat/>
    <w:uiPriority w:val="0"/>
    <w:pPr>
      <w:ind w:firstLine="880"/>
      <w:outlineLvl w:val="0"/>
    </w:pPr>
    <w:rPr>
      <w:rFonts w:ascii="Times New Roman" w:hAnsi="Times New Roman" w:eastAsia="黑体"/>
    </w:rPr>
  </w:style>
  <w:style w:type="paragraph" w:styleId="4">
    <w:name w:val="heading 3"/>
    <w:basedOn w:val="1"/>
    <w:next w:val="1"/>
    <w:link w:val="20"/>
    <w:semiHidden/>
    <w:unhideWhenUsed/>
    <w:qFormat/>
    <w:uiPriority w:val="0"/>
    <w:pPr>
      <w:ind w:firstLine="640"/>
      <w:outlineLvl w:val="1"/>
    </w:pPr>
    <w:rPr>
      <w:rFonts w:ascii="Times New Roman" w:hAnsi="Times New Roman" w:eastAsia="楷体_GB2312"/>
      <w:b/>
    </w:rPr>
  </w:style>
  <w:style w:type="paragraph" w:styleId="5">
    <w:name w:val="heading 4"/>
    <w:basedOn w:val="1"/>
    <w:next w:val="1"/>
    <w:semiHidden/>
    <w:unhideWhenUsed/>
    <w:qFormat/>
    <w:uiPriority w:val="0"/>
    <w:pPr>
      <w:keepNext w:val="0"/>
      <w:keepLines w:val="0"/>
      <w:spacing w:beforeLines="0" w:beforeAutospacing="0" w:afterLines="0" w:afterAutospacing="0" w:line="579" w:lineRule="exact"/>
      <w:ind w:firstLine="880" w:firstLineChars="200"/>
      <w:jc w:val="both"/>
      <w:outlineLvl w:val="2"/>
    </w:pPr>
    <w:rPr>
      <w:rFonts w:ascii="Times New Roman" w:hAnsi="Times New Roman"/>
      <w:b/>
      <w:szCs w:val="32"/>
    </w:rPr>
  </w:style>
  <w:style w:type="paragraph" w:styleId="6">
    <w:name w:val="heading 5"/>
    <w:basedOn w:val="1"/>
    <w:next w:val="1"/>
    <w:semiHidden/>
    <w:unhideWhenUsed/>
    <w:qFormat/>
    <w:uiPriority w:val="0"/>
    <w:pPr>
      <w:keepNext/>
      <w:keepLines/>
      <w:spacing w:beforeLines="0" w:beforeAutospacing="0" w:afterLines="0" w:afterAutospacing="0" w:line="579" w:lineRule="exact"/>
      <w:ind w:firstLine="0" w:firstLineChars="0"/>
      <w:jc w:val="center"/>
      <w:outlineLvl w:val="9"/>
    </w:pPr>
    <w:rPr>
      <w:rFonts w:ascii="Times New Roman" w:hAnsi="Times New Roman" w:eastAsia="楷体_GB2312"/>
      <w:sz w:val="32"/>
    </w:rPr>
  </w:style>
  <w:style w:type="character" w:default="1" w:styleId="15">
    <w:name w:val="Default Paragraph Font"/>
    <w:semiHidden/>
    <w:qFormat/>
    <w:uiPriority w:val="0"/>
    <w:rPr>
      <w:rFonts w:ascii="Times New Roman" w:hAnsi="Times New Roman" w:eastAsia="仿宋_GB2312"/>
      <w:sz w:val="32"/>
      <w:szCs w:val="32"/>
    </w:rPr>
  </w:style>
  <w:style w:type="table" w:default="1" w:styleId="14">
    <w:name w:val="Normal Table"/>
    <w:semiHidden/>
    <w:qFormat/>
    <w:uiPriority w:val="0"/>
    <w:tblPr>
      <w:tblCellMar>
        <w:top w:w="0" w:type="dxa"/>
        <w:left w:w="108" w:type="dxa"/>
        <w:bottom w:w="0" w:type="dxa"/>
        <w:right w:w="108" w:type="dxa"/>
      </w:tblCellMar>
    </w:tblPr>
  </w:style>
  <w:style w:type="paragraph" w:styleId="7">
    <w:name w:val="caption"/>
    <w:basedOn w:val="1"/>
    <w:next w:val="1"/>
    <w:semiHidden/>
    <w:unhideWhenUsed/>
    <w:qFormat/>
    <w:uiPriority w:val="0"/>
    <w:pPr>
      <w:ind w:firstLine="0" w:firstLineChars="0"/>
      <w:jc w:val="center"/>
    </w:pPr>
    <w:rPr>
      <w:rFonts w:ascii="Times New Roman" w:hAnsi="Times New Roman" w:eastAsia="仿宋_GB2312"/>
      <w:sz w:val="32"/>
      <w:szCs w:val="32"/>
    </w:rPr>
  </w:style>
  <w:style w:type="paragraph" w:styleId="8">
    <w:name w:val="Body Text"/>
    <w:basedOn w:val="1"/>
    <w:next w:val="1"/>
    <w:qFormat/>
    <w:uiPriority w:val="0"/>
    <w:rPr>
      <w:rFonts w:ascii="Times New Roman" w:hAnsi="Times New Roman" w:eastAsia="仿宋_GB2312"/>
      <w:sz w:val="32"/>
    </w:rPr>
  </w:style>
  <w:style w:type="paragraph" w:styleId="9">
    <w:name w:val="footer"/>
    <w:basedOn w:val="1"/>
    <w:next w:val="1"/>
    <w:qFormat/>
    <w:uiPriority w:val="0"/>
    <w:pPr>
      <w:snapToGrid w:val="0"/>
      <w:ind w:firstLine="0" w:firstLineChars="0"/>
      <w:jc w:val="center"/>
    </w:pPr>
    <w:rPr>
      <w:rFonts w:ascii="Times New Roman" w:hAnsi="Times New Roman" w:eastAsia="楷体_GB2312" w:cs="Times New Roman"/>
      <w:sz w:val="28"/>
      <w:szCs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center"/>
      <w:outlineLvl w:val="9"/>
    </w:pPr>
    <w:rPr>
      <w:rFonts w:ascii="Times New Roman" w:hAnsi="Times New Roman"/>
      <w:sz w:val="28"/>
    </w:rPr>
  </w:style>
  <w:style w:type="paragraph" w:styleId="11">
    <w:name w:val="toc 1"/>
    <w:basedOn w:val="1"/>
    <w:next w:val="1"/>
    <w:qFormat/>
    <w:uiPriority w:val="0"/>
    <w:pPr>
      <w:ind w:firstLine="0" w:firstLineChars="0"/>
    </w:pPr>
    <w:rPr>
      <w:rFonts w:ascii="Times New Roman" w:hAnsi="Times New Roman"/>
      <w:sz w:val="28"/>
    </w:rPr>
  </w:style>
  <w:style w:type="paragraph" w:styleId="12">
    <w:name w:val="toc 2"/>
    <w:basedOn w:val="1"/>
    <w:next w:val="1"/>
    <w:qFormat/>
    <w:uiPriority w:val="0"/>
    <w:pPr>
      <w:ind w:left="420" w:leftChars="200" w:firstLine="0" w:firstLineChars="0"/>
    </w:pPr>
    <w:rPr>
      <w:rFonts w:ascii="Times New Roman" w:hAnsi="Times New Roman"/>
      <w:sz w:val="28"/>
    </w:rPr>
  </w:style>
  <w:style w:type="paragraph" w:styleId="13">
    <w:name w:val="Normal (Web)"/>
    <w:basedOn w:val="1"/>
    <w:qFormat/>
    <w:uiPriority w:val="0"/>
    <w:pPr>
      <w:widowControl/>
      <w:spacing w:beforeAutospacing="0" w:afterAutospacing="0" w:line="579" w:lineRule="exact"/>
      <w:jc w:val="left"/>
    </w:pPr>
    <w:rPr>
      <w:rFonts w:ascii="Times New Roman" w:hAnsi="Times New Roman" w:eastAsia="仿宋_GB2312" w:cs="仿宋_GB2312"/>
      <w:kern w:val="0"/>
      <w:sz w:val="32"/>
      <w:szCs w:val="32"/>
    </w:rPr>
  </w:style>
  <w:style w:type="character" w:customStyle="1" w:styleId="16">
    <w:name w:val="标题 1 字符"/>
    <w:link w:val="2"/>
    <w:qFormat/>
    <w:uiPriority w:val="0"/>
    <w:rPr>
      <w:rFonts w:ascii="Times New Roman" w:hAnsi="Times New Roman" w:eastAsia="方正小标宋简体" w:cstheme="minorBidi"/>
      <w:bCs/>
      <w:kern w:val="44"/>
      <w:sz w:val="44"/>
      <w:szCs w:val="44"/>
    </w:rPr>
  </w:style>
  <w:style w:type="paragraph" w:customStyle="1" w:styleId="17">
    <w:name w:val="标题1.1.1.1"/>
    <w:basedOn w:val="1"/>
    <w:qFormat/>
    <w:uiPriority w:val="0"/>
    <w:pPr>
      <w:numPr>
        <w:ilvl w:val="3"/>
        <w:numId w:val="1"/>
      </w:numPr>
      <w:ind w:firstLine="0" w:firstLineChars="0"/>
    </w:pPr>
  </w:style>
  <w:style w:type="paragraph" w:customStyle="1" w:styleId="18">
    <w:name w:val="标题5"/>
    <w:basedOn w:val="1"/>
    <w:qFormat/>
    <w:uiPriority w:val="0"/>
    <w:pPr>
      <w:numPr>
        <w:ilvl w:val="4"/>
        <w:numId w:val="1"/>
      </w:numPr>
      <w:ind w:firstLine="0" w:firstLineChars="0"/>
    </w:pPr>
  </w:style>
  <w:style w:type="paragraph" w:customStyle="1" w:styleId="19">
    <w:name w:val="BodyText1I2"/>
    <w:basedOn w:val="1"/>
    <w:qFormat/>
    <w:uiPriority w:val="0"/>
    <w:pPr>
      <w:spacing w:line="579" w:lineRule="exact"/>
      <w:ind w:left="0" w:leftChars="0" w:firstLine="420" w:firstLineChars="200"/>
      <w:jc w:val="both"/>
      <w:textAlignment w:val="baseline"/>
    </w:pPr>
    <w:rPr>
      <w:rFonts w:ascii="Times New Roman" w:hAnsi="Times New Roman" w:eastAsia="仿宋_GB2312" w:cs="Times New Roman"/>
      <w:sz w:val="32"/>
      <w:szCs w:val="24"/>
    </w:rPr>
  </w:style>
  <w:style w:type="character" w:customStyle="1" w:styleId="20">
    <w:name w:val="标题 3 Char"/>
    <w:link w:val="4"/>
    <w:qFormat/>
    <w:uiPriority w:val="0"/>
    <w:rPr>
      <w:rFonts w:ascii="Times New Roman" w:hAnsi="Times New Roman" w:eastAsia="楷体_GB2312"/>
      <w:b/>
    </w:rPr>
  </w:style>
  <w:style w:type="character" w:customStyle="1" w:styleId="21">
    <w:name w:val="标题 2 字符"/>
    <w:link w:val="3"/>
    <w:qFormat/>
    <w:uiPriority w:val="0"/>
    <w:rPr>
      <w:rFonts w:ascii="Times New Roman" w:hAnsi="Times New Roman" w:eastAsia="黑体"/>
    </w:rPr>
  </w:style>
  <w:style w:type="paragraph" w:customStyle="1" w:styleId="22">
    <w:name w:val="WPSOffice手动目录 1"/>
    <w:qFormat/>
    <w:uiPriority w:val="0"/>
    <w:pPr>
      <w:overflowPunct w:val="0"/>
      <w:ind w:leftChars="0"/>
    </w:pPr>
    <w:rPr>
      <w:rFonts w:ascii="Times New Roman" w:hAnsi="Times New Roman" w:eastAsia="仿宋_GB2312" w:cstheme="minorBidi"/>
      <w:sz w:val="28"/>
      <w:szCs w:val="28"/>
    </w:rPr>
  </w:style>
  <w:style w:type="paragraph" w:customStyle="1" w:styleId="23">
    <w:name w:val="WPSOffice手动目录 2"/>
    <w:qFormat/>
    <w:uiPriority w:val="0"/>
    <w:pPr>
      <w:ind w:leftChars="200"/>
    </w:pPr>
    <w:rPr>
      <w:rFonts w:ascii="Times New Roman" w:hAnsi="Times New Roman" w:eastAsia="仿宋_GB2312" w:cstheme="minorBidi"/>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2024-12-25T11:29:00Z</dcterms:created>
  <dc:creator>C</dc:creator>
  <cp:lastModifiedBy>用户</cp:lastModifiedBy>
  <cp:lastPrinted>2025-03-13T09:33:37Z</cp:lastPrinted>
  <dcterms:modified xsi:type="dcterms:W3CDTF">2025-03-13T11:00:49Z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4652AE75AA1024692673D1670E8F6B48_43</vt:lpwstr>
  </property>
</Properties>
</file>