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四川省医疗保障局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关于规范器官移植类医疗服务价格项目</w:t>
      </w:r>
      <w:r>
        <w:rPr>
          <w:rFonts w:hint="eastAsia" w:ascii="Times New Roman" w:hAnsi="Times New Roman" w:eastAsia="方正小标宋简体" w:cs="Times New Roman"/>
          <w:sz w:val="44"/>
          <w:szCs w:val="44"/>
          <w:highlight w:val="none"/>
          <w:lang w:val="en-US" w:eastAsia="zh-CN"/>
        </w:rPr>
        <w:t>及医保支付类别</w:t>
      </w:r>
      <w:r>
        <w:rPr>
          <w:rFonts w:hint="default" w:ascii="Times New Roman" w:hAnsi="Times New Roman" w:eastAsia="方正小标宋简体" w:cs="Times New Roman"/>
          <w:sz w:val="44"/>
          <w:szCs w:val="44"/>
          <w:lang w:eastAsia="zh-CN"/>
        </w:rPr>
        <w:t>的通知</w:t>
      </w:r>
    </w:p>
    <w:p>
      <w:pPr>
        <w:jc w:val="center"/>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征求意见稿</w:t>
      </w:r>
      <w:r>
        <w:rPr>
          <w:rFonts w:hint="default" w:ascii="Times New Roman" w:hAnsi="Times New Roman" w:eastAsia="楷体" w:cs="Times New Roman"/>
          <w:sz w:val="32"/>
          <w:szCs w:val="32"/>
          <w:lang w:eastAsia="zh-CN"/>
        </w:rPr>
        <w:t>）</w:t>
      </w:r>
      <w:bookmarkEnd w:id="0"/>
    </w:p>
    <w:p>
      <w:pPr>
        <w:jc w:val="center"/>
        <w:rPr>
          <w:rFonts w:hint="default" w:ascii="Times New Roman" w:hAnsi="Times New Roman" w:eastAsia="楷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各市（州）医疗保障局，各省管公立医疗机构、西部战区总医院、西部战区空军医院：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为贯彻落实国家医疗保障局等3部门《关于完善器官移植医疗服务价格政策的意见》（医保发〔2021〕17号）精神，根据国家医疗保障局《关于印发〈器官移植环节手术价格项目立项指南〉的通知》（医保价采中心函〔</w:t>
      </w:r>
      <w:r>
        <w:rPr>
          <w:rFonts w:hint="eastAsia" w:ascii="方正仿宋_GB2312" w:hAnsi="方正仿宋_GB2312" w:eastAsia="方正仿宋_GB2312" w:cs="方正仿宋_GB2312"/>
          <w:sz w:val="32"/>
          <w:szCs w:val="32"/>
          <w:lang w:val="en-US" w:eastAsia="zh-CN"/>
        </w:rPr>
        <w:t>2021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12号</w:t>
      </w:r>
      <w:r>
        <w:rPr>
          <w:rFonts w:hint="eastAsia" w:ascii="方正仿宋_GB2312" w:hAnsi="方正仿宋_GB2312" w:eastAsia="方正仿宋_GB2312" w:cs="方正仿宋_GB2312"/>
          <w:sz w:val="32"/>
          <w:szCs w:val="32"/>
          <w:lang w:eastAsia="zh-CN"/>
        </w:rPr>
        <w:t>）等</w:t>
      </w:r>
      <w:r>
        <w:rPr>
          <w:rFonts w:hint="eastAsia" w:ascii="方正仿宋_GB2312" w:hAnsi="方正仿宋_GB2312" w:eastAsia="方正仿宋_GB2312" w:cs="方正仿宋_GB2312"/>
          <w:sz w:val="32"/>
          <w:szCs w:val="32"/>
          <w:lang w:val="en-US" w:eastAsia="zh-CN"/>
        </w:rPr>
        <w:t>文件要求，经研究，决定规范我省器官移植类医疗服务价格项目，现就有关事项通知如下。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整合“心脏移植术”等28项医疗服务价格项目（详见附件1），新增“供小肠切取术”1项医疗服务价格项目（详见附件2）。附件1、2所列项目价格为省管公立医疗机构收费标准，各市（州）医疗保障局可根据当地医疗水平、医疗机构等级和经济发展水平，在医疗机构具备开展相应诊疗项目资质的情况下，严格对照本通知规定的项目编码、项目名称、服务产出、价格构成等项目要素，按照《四川省医疗保障局关于印发全省医疗服务价格区域划分与价格浮动区间方案（试行）的通知》要求，拟定辖区内公立医疗机构收费标准，且不得超过同等级省管公立医疗机构收费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二、停用“心肺移植术”等22项医疗服务价格项目（详见附件3）。</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三、将肝脏移植术等10项医疗服务项目</w:t>
      </w:r>
      <w:r>
        <w:rPr>
          <w:rFonts w:hint="eastAsia" w:ascii="方正仿宋_GB2312" w:hAnsi="方正仿宋_GB2312" w:eastAsia="方正仿宋_GB2312" w:cs="方正仿宋_GB2312"/>
          <w:color w:val="auto"/>
          <w:kern w:val="2"/>
          <w:sz w:val="32"/>
          <w:szCs w:val="32"/>
          <w:highlight w:val="none"/>
          <w:lang w:val="en-US" w:eastAsia="zh-CN" w:bidi="ar-SA"/>
        </w:rPr>
        <w:t>纳入基本医疗保险支付范围（详见附件4），按乙类管理。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四、施行时间。本通知自  年  月  日起施行。附件2所列医疗服务价格项目为试行项目，试行期间出现达不到预期效果、投诉纠纷较多等情况，各市（州）医疗保障局应及时向省医疗保障局报告，省医疗保障局将按程序予以暂停、调整或撤销。省医疗保障局自  年  月  日起收集附件2所列医疗服务价格项目在公立医疗机构试行情况及意见建议，履行项目转归工作流程后正式发布。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五、公立医疗机构应严格执行价格公示和明码标价制度，接受社会监督。凡以前规定与本通知不一致的，按本通知规定执行。执行期间如国家和省有新规定，从其规定。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18" w:leftChars="304" w:hanging="1280" w:hangingChars="4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附件：1.</w:t>
      </w: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"http://ylbzj.sc.gov.cn/scsybj/nc010416/2022/12/16/e4d649f0cb784a39a0a05ed3ea31669e/files/c8b97493972040959ce2163c3a43b53c.pdf"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四川省整合器官移植类医疗服务价格项目省管公立医疗</w:t>
      </w:r>
      <w:r>
        <w:rPr>
          <w:rFonts w:hint="eastAsia" w:ascii="方正仿宋_GB2312" w:hAnsi="方正仿宋_GB2312" w:eastAsia="方正仿宋_GB2312" w:cs="方正仿宋_GB2312"/>
          <w:sz w:val="32"/>
          <w:szCs w:val="32"/>
          <w:lang w:val="en-US" w:eastAsia="zh-CN"/>
        </w:rPr>
        <w:fldChar w:fldCharType="end"/>
      </w:r>
      <w:r>
        <w:rPr>
          <w:rFonts w:hint="eastAsia" w:ascii="方正仿宋_GB2312" w:hAnsi="方正仿宋_GB2312" w:eastAsia="方正仿宋_GB2312" w:cs="方正仿宋_GB2312"/>
          <w:sz w:val="32"/>
          <w:szCs w:val="32"/>
          <w:lang w:val="en-US" w:eastAsia="zh-CN"/>
        </w:rPr>
        <w:t>机构价格表</w:t>
      </w:r>
    </w:p>
    <w:p>
      <w:pPr>
        <w:keepNext w:val="0"/>
        <w:keepLines w:val="0"/>
        <w:pageBreakBefore w:val="0"/>
        <w:widowControl w:val="0"/>
        <w:kinsoku/>
        <w:wordWrap/>
        <w:overflowPunct/>
        <w:topLinePunct w:val="0"/>
        <w:autoSpaceDE/>
        <w:autoSpaceDN/>
        <w:bidi w:val="0"/>
        <w:adjustRightInd/>
        <w:snapToGrid/>
        <w:spacing w:line="520" w:lineRule="exact"/>
        <w:ind w:left="1916" w:leftChars="760" w:hanging="320" w:hangingChars="1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"http://ylbzj.sc.gov.cn/scsybj/nc010416/2022/12/16/e4d649f0cb784a39a0a05ed3ea31669e/files/c8b97493972040959ce2163c3a43b53c.pdf"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四川省新增器官移植类医疗服务价格项目省管公立医疗</w:t>
      </w:r>
      <w:r>
        <w:rPr>
          <w:rFonts w:hint="eastAsia" w:ascii="方正仿宋_GB2312" w:hAnsi="方正仿宋_GB2312" w:eastAsia="方正仿宋_GB2312" w:cs="方正仿宋_GB2312"/>
          <w:sz w:val="32"/>
          <w:szCs w:val="32"/>
          <w:lang w:val="en-US" w:eastAsia="zh-CN"/>
        </w:rPr>
        <w:fldChar w:fldCharType="end"/>
      </w:r>
      <w:r>
        <w:rPr>
          <w:rFonts w:hint="eastAsia" w:ascii="方正仿宋_GB2312" w:hAnsi="方正仿宋_GB2312" w:eastAsia="方正仿宋_GB2312" w:cs="方正仿宋_GB2312"/>
          <w:sz w:val="32"/>
          <w:szCs w:val="32"/>
          <w:lang w:val="en-US" w:eastAsia="zh-CN"/>
        </w:rPr>
        <w:t>机构试行价格表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3.四川省停用器官移植类医疗服务价格项目表</w:t>
      </w:r>
    </w:p>
    <w:p>
      <w:pPr>
        <w:spacing w:line="520" w:lineRule="exact"/>
        <w:ind w:left="1920" w:hanging="1920" w:hangingChars="6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4.四川省整合器官移植类医疗服务项目医保支付类别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四川省医疗保障局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sectPr>
          <w:pgSz w:w="11906" w:h="16838"/>
          <w:pgMar w:top="1440" w:right="1800" w:bottom="1440" w:left="1800" w:header="720" w:footer="720" w:gutter="0"/>
          <w:cols w:space="720" w:num="1"/>
          <w:docGrid w:type="lines" w:linePitch="312" w:charSpace="0"/>
        </w:sectPr>
      </w:pPr>
      <w:r>
        <w:rPr>
          <w:rFonts w:hint="eastAsia" w:ascii="方正仿宋_GB2312" w:hAnsi="方正仿宋_GB2312" w:eastAsia="方正仿宋_GB2312" w:cs="方正仿宋_GB2312"/>
          <w:sz w:val="32"/>
          <w:szCs w:val="32"/>
          <w:lang w:val="en-US" w:eastAsia="zh-CN"/>
        </w:rPr>
        <w:t xml:space="preserve">                             2025年  月  日  </w:t>
      </w:r>
    </w:p>
    <w:p>
      <w:pPr>
        <w:shd w:val="clear" w:color="auto" w:fill="auto"/>
        <w:suppressAutoHyphens/>
        <w:bidi w:val="0"/>
        <w:spacing w:line="240" w:lineRule="auto"/>
        <w:ind w:firstLine="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shd w:val="clear" w:color="auto" w:fill="auto"/>
        <w:suppressAutoHyphens/>
        <w:bidi w:val="0"/>
        <w:spacing w:line="240" w:lineRule="auto"/>
        <w:ind w:firstLine="0"/>
        <w:jc w:val="center"/>
        <w:rPr>
          <w:rFonts w:hint="default" w:ascii="Times New Roman" w:hAnsi="Times New Roman" w:eastAsia="方正小标宋_GBK" w:cs="Times New Roman"/>
          <w:snapToGrid w:val="0"/>
          <w:color w:val="auto"/>
          <w:sz w:val="44"/>
          <w:szCs w:val="44"/>
          <w:lang w:val="en-US" w:eastAsia="zh-CN"/>
        </w:rPr>
      </w:pPr>
      <w:r>
        <w:rPr>
          <w:rFonts w:hint="default" w:ascii="Times New Roman" w:hAnsi="Times New Roman" w:eastAsia="方正小标宋_GBK" w:cs="Times New Roman"/>
          <w:snapToGrid w:val="0"/>
          <w:color w:val="auto"/>
          <w:sz w:val="44"/>
          <w:szCs w:val="44"/>
          <w:lang w:val="en-US" w:eastAsia="zh-CN"/>
        </w:rPr>
        <w:t>四川省整合器官移植类医疗服务价格项目省管公立医疗机构价格表</w:t>
      </w:r>
    </w:p>
    <w:tbl>
      <w:tblPr>
        <w:tblStyle w:val="3"/>
        <w:tblW w:w="55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
        <w:gridCol w:w="1124"/>
        <w:gridCol w:w="1096"/>
        <w:gridCol w:w="1560"/>
        <w:gridCol w:w="1571"/>
        <w:gridCol w:w="2585"/>
        <w:gridCol w:w="779"/>
        <w:gridCol w:w="933"/>
        <w:gridCol w:w="760"/>
        <w:gridCol w:w="760"/>
        <w:gridCol w:w="720"/>
        <w:gridCol w:w="760"/>
        <w:gridCol w:w="814"/>
        <w:gridCol w:w="760"/>
        <w:gridCol w:w="786"/>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 w:hRule="atLeast"/>
          <w:tblHeader/>
          <w:jc w:val="center"/>
        </w:trPr>
        <w:tc>
          <w:tcPr>
            <w:tcW w:w="14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序号</w:t>
            </w:r>
          </w:p>
        </w:tc>
        <w:tc>
          <w:tcPr>
            <w:tcW w:w="344"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国家项目编码</w:t>
            </w:r>
          </w:p>
        </w:tc>
        <w:tc>
          <w:tcPr>
            <w:tcW w:w="335"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项目编码</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项目名称</w:t>
            </w:r>
          </w:p>
        </w:tc>
        <w:tc>
          <w:tcPr>
            <w:tcW w:w="481"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服务产出</w:t>
            </w:r>
          </w:p>
        </w:tc>
        <w:tc>
          <w:tcPr>
            <w:tcW w:w="792"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价格构成</w:t>
            </w:r>
          </w:p>
        </w:tc>
        <w:tc>
          <w:tcPr>
            <w:tcW w:w="23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lang w:val="en-US"/>
              </w:rPr>
            </w:pPr>
            <w:r>
              <w:rPr>
                <w:rFonts w:hint="default" w:ascii="Times New Roman" w:hAnsi="Times New Roman" w:eastAsia="黑体" w:cs="Times New Roman"/>
                <w:i w:val="0"/>
                <w:color w:val="auto"/>
                <w:kern w:val="0"/>
                <w:sz w:val="21"/>
                <w:szCs w:val="21"/>
                <w:u w:val="none"/>
                <w:lang w:val="en-US" w:eastAsia="zh-CN" w:bidi="ar"/>
              </w:rPr>
              <w:t>加收项</w:t>
            </w:r>
          </w:p>
        </w:tc>
        <w:tc>
          <w:tcPr>
            <w:tcW w:w="285"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扩展项</w:t>
            </w:r>
          </w:p>
        </w:tc>
        <w:tc>
          <w:tcPr>
            <w:tcW w:w="232"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计价单位</w:t>
            </w:r>
          </w:p>
        </w:tc>
        <w:tc>
          <w:tcPr>
            <w:tcW w:w="2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计价说明</w:t>
            </w:r>
          </w:p>
        </w:tc>
        <w:tc>
          <w:tcPr>
            <w:tcW w:w="22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eastAsia" w:ascii="Times New Roman" w:hAnsi="Times New Roman" w:eastAsia="黑体" w:cs="Times New Roman"/>
                <w:i w:val="0"/>
                <w:color w:val="auto"/>
                <w:sz w:val="21"/>
                <w:szCs w:val="21"/>
                <w:u w:val="none"/>
                <w:lang w:eastAsia="zh-CN"/>
              </w:rPr>
            </w:pPr>
            <w:r>
              <w:rPr>
                <w:rFonts w:hint="eastAsia" w:ascii="Times New Roman" w:hAnsi="Times New Roman" w:eastAsia="黑体" w:cs="Times New Roman"/>
                <w:i w:val="0"/>
                <w:color w:val="auto"/>
                <w:sz w:val="21"/>
                <w:szCs w:val="21"/>
                <w:u w:val="none"/>
                <w:lang w:eastAsia="zh-CN"/>
              </w:rPr>
              <w:t>除外内容</w:t>
            </w:r>
          </w:p>
        </w:tc>
        <w:tc>
          <w:tcPr>
            <w:tcW w:w="121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省管公立医疗机构价格（元）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143"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344"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p>
        </w:tc>
        <w:tc>
          <w:tcPr>
            <w:tcW w:w="33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481"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792"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黑体" w:cs="Times New Roman"/>
                <w:i w:val="0"/>
                <w:color w:val="auto"/>
                <w:sz w:val="21"/>
                <w:szCs w:val="21"/>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85"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32"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三甲</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三乙</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二甲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二乙</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二乙以下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17.器官移植及切取手术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_GB2312" w:cs="Times New Roman"/>
                <w:i w:val="0"/>
                <w:color w:val="auto"/>
                <w:kern w:val="0"/>
                <w:sz w:val="21"/>
                <w:szCs w:val="21"/>
                <w:u w:val="none"/>
                <w:lang w:val="en-US" w:eastAsia="zh-CN" w:bidi="ar"/>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auto"/>
              <w:rPr>
                <w:rFonts w:hint="default" w:ascii="Times New Roman" w:hAnsi="Times New Roman" w:eastAsia="仿宋_GB2312" w:cs="Times New Roman"/>
                <w:i w:val="0"/>
                <w:color w:val="auto"/>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kern w:val="0"/>
                <w:sz w:val="21"/>
                <w:szCs w:val="21"/>
                <w:u w:val="none"/>
                <w:lang w:bidi="ar"/>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013317000010000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心脏移植术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异体同种心脏移植，实现患者原位心脏切除和供体心脏植入</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auto"/>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所定价格涵盖患者原位心脏切除、供体心脏术前或术中整复、供体心脏植入，以及切开、吻合、关闭、缝合等手术步骤的人力资源和基本物质资源消耗。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uppressAutoHyphens/>
              <w:bidi w:val="0"/>
              <w:spacing w:line="240" w:lineRule="auto"/>
              <w:ind w:firstLine="0"/>
              <w:rPr>
                <w:rFonts w:hint="default" w:ascii="Times New Roman" w:hAnsi="Times New Roman" w:eastAsia="宋体"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01儿童手术</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kern w:val="0"/>
                <w:sz w:val="21"/>
                <w:szCs w:val="21"/>
                <w:u w:val="none"/>
                <w:lang w:bidi="ar"/>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01异种器官</w:t>
            </w:r>
          </w:p>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02异位移植</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供体</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19096</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17505</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15913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14322</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013317000010001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331700001-1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心脏移植术-儿童手术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013317000010100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心脏移植术-异种器官</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19096</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17505</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15913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14322</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013317000010200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331700001-3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心脏移植术-异位移植</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19096</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17505</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15913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14322</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013317000020000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肝脏移植术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异体同种肝脏（全肝）移植，实现患者原位肝脏切除和供体肝脏植入</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所定价格涵盖患者原位肝脏切除、供体肝脏术前或术中整复、供体肝脏植入，以及切开、吻合、关闭、缝合等手术步骤的人力资源和基本物质资源消耗。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01儿童手术</w:t>
            </w:r>
          </w:p>
          <w:p>
            <w:pPr>
              <w:shd w:val="clear" w:color="auto" w:fill="auto"/>
              <w:suppressAutoHyphens/>
              <w:bidi w:val="0"/>
              <w:spacing w:line="240" w:lineRule="auto"/>
              <w:ind w:firstLine="0"/>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auto"/>
                <w:kern w:val="0"/>
                <w:sz w:val="21"/>
                <w:szCs w:val="21"/>
                <w:lang w:val="en-US" w:eastAsia="zh-CN" w:bidi="ar"/>
              </w:rPr>
              <w:t>02部分肝脏（器官段）移植</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auto"/>
                <w:kern w:val="0"/>
                <w:sz w:val="21"/>
                <w:szCs w:val="21"/>
                <w:lang w:val="en-US" w:eastAsia="zh-CN" w:bidi="ar"/>
              </w:rPr>
              <w:t>01异种器官</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供体</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19428</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17809</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16190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14571</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013317000020001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331700002-1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肝脏移植术-儿童手术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7</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013317000020002</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331700002-2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肝脏移植术-部分肝脏</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highlight w:val="none"/>
                <w:u w:val="none"/>
                <w:lang w:val="en-US" w:eastAsia="zh-CN" w:bidi="ar"/>
              </w:rPr>
              <w:t>器官段</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highlight w:val="none"/>
                <w:u w:val="none"/>
                <w:lang w:val="en-US" w:eastAsia="zh-CN" w:bidi="ar"/>
              </w:rPr>
              <w:t>移植</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013317000020100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331700002-3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肝脏移植术-异种器官</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19428</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17809</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16190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14571</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9</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013317000030000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肺脏移植术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异体同种肺脏（单侧）移植，实现患者原位肺脏切除和供体肺脏植入</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价格构成：所定价格涵盖患者原位肺脏切除、供体肺脏术前或术中整复、供体肺脏植入，以及切开、吻合、关闭、缝合等手术步骤的人力资源和基本物质资源消耗。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01儿童手术</w:t>
            </w:r>
          </w:p>
          <w:p>
            <w:pPr>
              <w:shd w:val="clear" w:color="auto" w:fill="auto"/>
              <w:suppressAutoHyphens/>
              <w:bidi w:val="0"/>
              <w:spacing w:line="240" w:lineRule="auto"/>
              <w:ind w:firstLine="0"/>
              <w:rPr>
                <w:rFonts w:hint="default" w:ascii="Times New Roman" w:hAnsi="Times New Roman" w:eastAsia="宋体"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02部分肺脏（器官段）</w:t>
            </w:r>
          </w:p>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auto"/>
                <w:kern w:val="0"/>
                <w:sz w:val="21"/>
                <w:szCs w:val="21"/>
                <w:lang w:val="en-US" w:eastAsia="zh-CN" w:bidi="ar"/>
              </w:rPr>
              <w:t>移植</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auto"/>
                <w:kern w:val="0"/>
                <w:sz w:val="21"/>
                <w:szCs w:val="21"/>
                <w:lang w:val="en-US" w:eastAsia="zh-CN" w:bidi="ar"/>
              </w:rPr>
              <w:t>01异种器官</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供体</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10457</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9586</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8714</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7843</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013317000030001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331700003-1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肺脏移植术-儿童手术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11</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013317000030002</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331700003-2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肺脏移植术-部分肺脏</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器官段</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移植</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013317000030100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331700003-3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肺脏移植术-异种器官</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10457</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9586</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8714</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7843</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13</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013317000040000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肾脏移植术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异体同种肾脏（单侧）移植，实现供体肾脏植入</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所定价格涵盖供体肾脏术前或术中整复、患者原位肾脏处理、供体肾脏植入，以及切开、吻合、关闭、缝合等手术步骤的人力资源和基本物质资源消耗。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01儿童手术</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kern w:val="0"/>
                <w:sz w:val="21"/>
                <w:szCs w:val="21"/>
                <w:u w:val="none"/>
                <w:lang w:bidi="ar"/>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01异种器官</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kern w:val="0"/>
                <w:sz w:val="21"/>
                <w:szCs w:val="21"/>
                <w:u w:val="none"/>
                <w:lang w:bidi="ar"/>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供体</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6743</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6181</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5619</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5057</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013317000040001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331700004-1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肾脏移植术-儿童手术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013317000040100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331700004-2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肾脏移植术-异种器官</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6743</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6181</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5619</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5057</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16</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013317000050000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小肠移植术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异体同种小肠（器官段）移植，实现患者原位小肠切除和供体小肠植入</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所定价格涵盖患者原位小肠切除、供体小肠术前或术中整复、供体小肠植入，以及切开、吻合、关闭、缝合等手术步骤的人力资源和基本物质资源消耗。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01儿童手术</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01异种器官</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供体</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4655</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4267</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3879</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3491</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17</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013317000050001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331700005-1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小肠移植术-儿童手术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18</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013317000050100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331700005-2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小肠移植术-异种器官</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4655</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4267</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3879</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3491</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19</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013317000060000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胰腺移植术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异体同种胰腺移植，实现供体胰腺植入</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所定价格涵盖供体胰腺术前或术中整复、患者原位胰腺处理、供体胰腺植入，以及切开、吻合、关闭、缝合等手术步骤的人力资源和基本物质资源消耗。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01儿童手术</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01异种器官</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供体</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7893</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7235</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6578</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5920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013317000060001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331700006-1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胰腺移植术-儿童手术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013317000060100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331700006-2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胰腺移植术-异种器官</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7893</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7235</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6578</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5920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013317000070000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角膜移植术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异体同种角膜（单侧）移植，实现患者原位角膜切除和供体角膜植入</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所定价格涵盖患者原位角膜切除、供体角膜术前或术中整复、供体角膜植入，以及切开、吻合、关闭、缝合等手术步骤的人力资源和基本物质资源消耗。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01儿童手术</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01异种组织</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供体、粘弹剂</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3348</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3069</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2790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2511</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23</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013317000070001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331700007-1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角膜移植术-儿童手术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24</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013317000070100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331700007-2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角膜移植术-异种组织</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3348</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3069</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2790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2511</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013317000080000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供肝切取术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活体供者肝脏（器官段）切取</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所定价格涵盖活体供者肝脏切取，以及切开、吻合、关闭、缝合等手术步骤的人力资源和基本物质资源消耗。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仅限于合法进行的活体器官捐献</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3282</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3009</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2735</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2462</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26</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013317000090000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331700009</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供肺切取术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活体供者肺脏（器官段）切取</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所定价格涵盖活体供者肺脏切取，以及切开、吻合、关闭、缝合等手术步骤的人力资源和基本物质资源消耗。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仅限于合法进行的活体器官捐献</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3637</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3334</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3031</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2728</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27</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013317000100000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331700010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供肾切取术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活体供者肾脏（单侧）切取</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所定价格涵盖活体供者肾脏切取，以及切开、吻合、关闭、缝合等手术步骤的人力资源和基本物质资源消耗。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仅限于合法进行的活体器官捐献</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2879</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2639</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2399</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2159</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28</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013317000120000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供胰腺切取术</w:t>
            </w:r>
          </w:p>
        </w:tc>
        <w:tc>
          <w:tcPr>
            <w:tcW w:w="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活体供者胰腺（器官段）切取</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所定价格涵盖活体供者胰腺切取，以及切开、吻合、关闭、缝合等手术步骤的人力资源和基本物质资源消耗。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仅限于合法进行的活体器官捐献</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3071</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2815</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2559</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2303</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5000" w:type="pct"/>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使用说明：</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1.“移植”是指移植医院将供体器官或组织植入受体；“切取”是指合法进行的活体捐献中，移植医院从供体体内取得相应的器官或组织。</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2.“价格构成”指项目价格应涵盖的各类资源消耗，用于确定计价单元的边界，不应作为临床技术标准理解，不是手术实际操作方式、路径、步骤、程序的强制性要求。</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3.“儿童”指6周岁及以下。周岁的计算方法以法律的相关规定为准。</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4.“异种器官”，指不摘自人体的器官，包括但不限于动物器官，机械器官，以及3D打印等技术人工制造的器官。</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基本物耗”原则上限于不应或不必要与医疗服务项目分割的易耗品，如碘酒、酒精、消毒液、冲洗液、棉花、纱布、普通敷料、帽子、口罩、鞋套、袜套、手套、手术衣、绷带、床垫、各种护垫、各种衬垫、手术巾、治疗巾、普通注射器、压舌板、滑石粉等。基本物耗成本计入项目价格，不另行收费。</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6.手术过程中的具体操作步骤，不另行立项收费；术前术后指导、手术方案设计等亦在手术价格项目的定价中体现，不另行立项及收费。</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7.合法的活体器官捐献指符合《人体器官移植条例》第十条规定的情形。</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8.以上医疗服务价格项目参照现行各级分类“说明”执行。</w:t>
            </w:r>
          </w:p>
        </w:tc>
      </w:tr>
    </w:tbl>
    <w:p>
      <w:pPr>
        <w:shd w:val="clear" w:color="auto" w:fill="auto"/>
        <w:suppressAutoHyphens/>
        <w:bidi w:val="0"/>
        <w:spacing w:line="240" w:lineRule="auto"/>
        <w:ind w:firstLine="0"/>
        <w:jc w:val="left"/>
        <w:rPr>
          <w:rFonts w:hint="default" w:ascii="Times New Roman" w:hAnsi="Times New Roman" w:eastAsia="方正小标宋_GBK" w:cs="Times New Roman"/>
          <w:snapToGrid w:val="0"/>
          <w:color w:val="auto"/>
          <w:sz w:val="44"/>
          <w:szCs w:val="44"/>
          <w:lang w:val="en-US" w:eastAsia="zh-CN"/>
        </w:rPr>
      </w:pPr>
    </w:p>
    <w:p>
      <w:pPr>
        <w:jc w:val="left"/>
        <w:rPr>
          <w:rFonts w:hint="default" w:ascii="Times New Roman" w:hAnsi="Times New Roman" w:eastAsia="仿宋_GB2312" w:cs="Times New Roman"/>
          <w:sz w:val="32"/>
          <w:szCs w:val="32"/>
          <w:lang w:eastAsia="zh-CN"/>
        </w:rPr>
        <w:sectPr>
          <w:pgSz w:w="16838" w:h="11906" w:orient="landscape"/>
          <w:pgMar w:top="1803" w:right="1134" w:bottom="1803" w:left="1134" w:header="720" w:footer="720" w:gutter="0"/>
          <w:cols w:space="720" w:num="1"/>
          <w:rtlGutter w:val="0"/>
          <w:docGrid w:type="lines" w:linePitch="312" w:charSpace="0"/>
        </w:sectPr>
      </w:pPr>
    </w:p>
    <w:p>
      <w:pPr>
        <w:shd w:val="clear" w:color="auto" w:fill="auto"/>
        <w:suppressAutoHyphens/>
        <w:bidi w:val="0"/>
        <w:spacing w:line="240" w:lineRule="auto"/>
        <w:ind w:firstLine="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shd w:val="clear" w:color="auto" w:fill="auto"/>
        <w:suppressAutoHyphens/>
        <w:bidi w:val="0"/>
        <w:spacing w:line="240" w:lineRule="auto"/>
        <w:ind w:firstLine="0"/>
        <w:jc w:val="center"/>
        <w:rPr>
          <w:rFonts w:hint="default" w:ascii="Times New Roman" w:hAnsi="Times New Roman" w:eastAsia="方正小标宋_GBK" w:cs="Times New Roman"/>
          <w:snapToGrid w:val="0"/>
          <w:color w:val="auto"/>
          <w:sz w:val="44"/>
          <w:szCs w:val="44"/>
          <w:lang w:val="en-US" w:eastAsia="zh-CN"/>
        </w:rPr>
      </w:pPr>
      <w:r>
        <w:rPr>
          <w:rFonts w:hint="default" w:ascii="Times New Roman" w:hAnsi="Times New Roman" w:eastAsia="方正小标宋_GBK" w:cs="Times New Roman"/>
          <w:snapToGrid w:val="0"/>
          <w:color w:val="auto"/>
          <w:sz w:val="44"/>
          <w:szCs w:val="44"/>
          <w:lang w:val="en-US" w:eastAsia="zh-CN"/>
        </w:rPr>
        <w:t>四川省新增器官移植类医疗服务价格项目省管公立医疗机构试行价格表</w:t>
      </w:r>
    </w:p>
    <w:p>
      <w:pPr>
        <w:jc w:val="left"/>
        <w:rPr>
          <w:rFonts w:hint="default" w:ascii="Times New Roman" w:hAnsi="Times New Roman" w:eastAsia="仿宋_GB2312" w:cs="Times New Roman"/>
          <w:sz w:val="32"/>
          <w:szCs w:val="32"/>
          <w:lang w:eastAsia="zh-CN"/>
        </w:rPr>
      </w:pPr>
    </w:p>
    <w:tbl>
      <w:tblPr>
        <w:tblStyle w:val="3"/>
        <w:tblW w:w="55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
        <w:gridCol w:w="1124"/>
        <w:gridCol w:w="1096"/>
        <w:gridCol w:w="1560"/>
        <w:gridCol w:w="1571"/>
        <w:gridCol w:w="2585"/>
        <w:gridCol w:w="779"/>
        <w:gridCol w:w="933"/>
        <w:gridCol w:w="760"/>
        <w:gridCol w:w="760"/>
        <w:gridCol w:w="720"/>
        <w:gridCol w:w="760"/>
        <w:gridCol w:w="814"/>
        <w:gridCol w:w="760"/>
        <w:gridCol w:w="786"/>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 w:hRule="atLeast"/>
          <w:tblHeader/>
          <w:jc w:val="center"/>
        </w:trPr>
        <w:tc>
          <w:tcPr>
            <w:tcW w:w="14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序号</w:t>
            </w:r>
          </w:p>
        </w:tc>
        <w:tc>
          <w:tcPr>
            <w:tcW w:w="344"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国家项目编码</w:t>
            </w:r>
          </w:p>
        </w:tc>
        <w:tc>
          <w:tcPr>
            <w:tcW w:w="335"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项目编码</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项目名称</w:t>
            </w:r>
          </w:p>
        </w:tc>
        <w:tc>
          <w:tcPr>
            <w:tcW w:w="481"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服务产出</w:t>
            </w:r>
          </w:p>
        </w:tc>
        <w:tc>
          <w:tcPr>
            <w:tcW w:w="792"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价格构成</w:t>
            </w:r>
          </w:p>
        </w:tc>
        <w:tc>
          <w:tcPr>
            <w:tcW w:w="23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lang w:val="en-US"/>
              </w:rPr>
            </w:pPr>
            <w:r>
              <w:rPr>
                <w:rFonts w:hint="default" w:ascii="Times New Roman" w:hAnsi="Times New Roman" w:eastAsia="黑体" w:cs="Times New Roman"/>
                <w:i w:val="0"/>
                <w:color w:val="auto"/>
                <w:kern w:val="0"/>
                <w:sz w:val="21"/>
                <w:szCs w:val="21"/>
                <w:u w:val="none"/>
                <w:lang w:val="en-US" w:eastAsia="zh-CN" w:bidi="ar"/>
              </w:rPr>
              <w:t>加收项</w:t>
            </w:r>
          </w:p>
        </w:tc>
        <w:tc>
          <w:tcPr>
            <w:tcW w:w="285"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扩展项</w:t>
            </w:r>
          </w:p>
        </w:tc>
        <w:tc>
          <w:tcPr>
            <w:tcW w:w="76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计价单位</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计价说明</w:t>
            </w:r>
          </w:p>
        </w:tc>
        <w:tc>
          <w:tcPr>
            <w:tcW w:w="22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eastAsia" w:ascii="Times New Roman" w:hAnsi="Times New Roman" w:eastAsia="黑体" w:cs="Times New Roman"/>
                <w:i w:val="0"/>
                <w:color w:val="auto"/>
                <w:sz w:val="21"/>
                <w:szCs w:val="21"/>
                <w:u w:val="none"/>
                <w:lang w:eastAsia="zh-CN"/>
              </w:rPr>
            </w:pPr>
            <w:r>
              <w:rPr>
                <w:rFonts w:hint="eastAsia" w:ascii="Times New Roman" w:hAnsi="Times New Roman" w:eastAsia="黑体" w:cs="Times New Roman"/>
                <w:i w:val="0"/>
                <w:color w:val="auto"/>
                <w:sz w:val="21"/>
                <w:szCs w:val="21"/>
                <w:u w:val="none"/>
                <w:lang w:eastAsia="zh-CN"/>
              </w:rPr>
              <w:t>除外内容</w:t>
            </w:r>
          </w:p>
        </w:tc>
        <w:tc>
          <w:tcPr>
            <w:tcW w:w="121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省管公立医疗机构价格（元）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143"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344"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p>
        </w:tc>
        <w:tc>
          <w:tcPr>
            <w:tcW w:w="33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481"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792"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黑体" w:cs="Times New Roman"/>
                <w:i w:val="0"/>
                <w:color w:val="auto"/>
                <w:sz w:val="21"/>
                <w:szCs w:val="21"/>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85"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32"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三甲</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三乙</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二甲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二乙</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二乙以下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17.器官移植及切取手术</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_GB2312" w:cs="Times New Roman"/>
                <w:i w:val="0"/>
                <w:color w:val="auto"/>
                <w:kern w:val="0"/>
                <w:sz w:val="21"/>
                <w:szCs w:val="21"/>
                <w:u w:val="none"/>
                <w:lang w:val="en-US" w:eastAsia="zh-CN" w:bidi="ar"/>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auto"/>
              <w:rPr>
                <w:rFonts w:hint="default" w:ascii="Times New Roman" w:hAnsi="Times New Roman" w:eastAsia="仿宋_GB2312" w:cs="Times New Roman"/>
                <w:i w:val="0"/>
                <w:color w:val="auto"/>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kern w:val="0"/>
                <w:sz w:val="21"/>
                <w:szCs w:val="21"/>
                <w:u w:val="none"/>
                <w:lang w:bidi="ar"/>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013317000110000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331700011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供小肠切取术</w:t>
            </w:r>
          </w:p>
        </w:tc>
        <w:tc>
          <w:tcPr>
            <w:tcW w:w="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活体供者小肠（器官段）切取</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所定价格涵盖活体供者小肠切取，以及切开、吻合、关闭、缝合等手术步骤的人力资源和基本物质资源消耗。</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仅限于合法进行的活体器官捐献</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2557</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2344</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2131</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1918</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5000" w:type="pct"/>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使用说明：</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1.“切取”是指合法进行的活体捐献中，移植医院从供体体内取得相应的器官或组织。</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2.“价格构成”指项目价格应涵盖的各类资源消耗，用于确定计价单元的边界，不应作为临床技术标准理解，不是手术实际操作方式、路径、步骤、程序的强制性要求。</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基本物耗”原则上限于不应或不必要与医疗服务项目分割的易耗品，如碘酒、酒精、消毒液、冲洗液、棉花、纱布、普通敷料、帽子、口罩、鞋套、袜套、手套、手术衣、绷带、床垫、各种护垫、各种衬垫、手术巾、治疗巾、普通注射器、压舌板、滑石粉等。基本物耗成本计入项目价格，不另行收费。</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4.手术过程中的具体操作步骤，不另行立项收费；术前术后指导、手术方案设计等亦在手术价格项目的定价中体现，不另行立项及收费。</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5.合法的活体器官捐献指符合《人体器官移植条例》第十条规定的情形。</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6.以上医疗服务价格项目参照现行各级分类“说明”执行。</w:t>
            </w:r>
          </w:p>
        </w:tc>
      </w:tr>
    </w:tbl>
    <w:p>
      <w:pPr>
        <w:jc w:val="both"/>
        <w:rPr>
          <w:rFonts w:hint="default" w:ascii="Times New Roman" w:hAnsi="Times New Roman" w:eastAsia="仿宋_GB2312" w:cs="Times New Roman"/>
          <w:sz w:val="32"/>
          <w:szCs w:val="32"/>
          <w:lang w:eastAsia="zh-CN"/>
        </w:rPr>
        <w:sectPr>
          <w:pgSz w:w="16838" w:h="11906" w:orient="landscape"/>
          <w:pgMar w:top="1803" w:right="1134" w:bottom="1803" w:left="1134" w:header="720" w:footer="720" w:gutter="0"/>
          <w:cols w:space="720" w:num="1"/>
          <w:rtlGutter w:val="0"/>
          <w:docGrid w:type="lines" w:linePitch="312" w:charSpace="0"/>
        </w:sectPr>
      </w:pPr>
    </w:p>
    <w:p>
      <w:pPr>
        <w:shd w:val="clear" w:color="auto" w:fill="auto"/>
        <w:suppressAutoHyphens/>
        <w:bidi w:val="0"/>
        <w:spacing w:line="240" w:lineRule="auto"/>
        <w:ind w:firstLine="0"/>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附件3</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600" w:lineRule="exact"/>
        <w:ind w:firstLine="0"/>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四川省停用器官移植类医疗服务价格项目表</w:t>
      </w:r>
    </w:p>
    <w:tbl>
      <w:tblPr>
        <w:tblStyle w:val="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0"/>
        <w:gridCol w:w="1911"/>
        <w:gridCol w:w="5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项目编码</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330803020</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心脏移植术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330803021</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心肺移植术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331005018</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肝移植术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4</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331005019</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移植肝切除术+再移植术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5</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330702012</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肺移植术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6</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331101019</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异体肾移植术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7</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331003010</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小肠移植术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8</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331007015</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胰腺移植术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9</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331007015-1</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胰腺移植术（胎儿胰腺移植术）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10</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330404008</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翼状胬肉切除+角膜移植术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11</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330404008-1</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翼状胬肉切除+角膜移植术（干细胞移植加收）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12</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330404008-2</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翼状胬肉切除＋角膜移植术（角膜肿物切除+角膜移植术）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13</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330404010</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角膜移植术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14</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330404010-1</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角膜移植术（干细胞移植加收）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15</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330404010-2</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角膜移植术（穿透）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16</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330404010-3</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角膜移植术（板层）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17</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330404012</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角膜移植联合视网膜复位术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18</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330404014</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角膜内皮移植术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19</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331005017</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异体供肝切除术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20</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330702014</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供肺切除术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21</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331101020</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异体供肾取肾术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22</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331007014</w:t>
            </w:r>
          </w:p>
        </w:tc>
        <w:tc>
          <w:tcPr>
            <w:tcW w:w="3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异体供胰切除术</w:t>
            </w:r>
          </w:p>
        </w:tc>
      </w:tr>
    </w:tbl>
    <w:p>
      <w:pPr>
        <w:pStyle w:val="2"/>
        <w:rPr>
          <w:rFonts w:hint="default" w:ascii="Times New Roman" w:hAnsi="Times New Roman" w:eastAsia="仿宋_GB2312" w:cs="Times New Roman"/>
          <w:sz w:val="32"/>
          <w:szCs w:val="32"/>
          <w:lang w:eastAsia="zh-CN"/>
        </w:rPr>
        <w:sectPr>
          <w:pgSz w:w="11906" w:h="16838"/>
          <w:pgMar w:top="1440" w:right="1803" w:bottom="1440" w:left="1803" w:header="720" w:footer="720" w:gutter="0"/>
          <w:cols w:space="720" w:num="1"/>
          <w:rtlGutter w:val="0"/>
          <w:docGrid w:type="lines" w:linePitch="312" w:charSpace="0"/>
        </w:sectPr>
      </w:pPr>
    </w:p>
    <w:p>
      <w:pPr>
        <w:ind w:left="0" w:firstLine="0" w:firstLineChars="0"/>
        <w:jc w:val="both"/>
        <w:rPr>
          <w:rFonts w:hint="eastAsia" w:ascii="方正小标宋_GBK" w:hAnsi="方正小标宋_GBK" w:eastAsia="方正小标宋_GBK" w:cs="方正小标宋_GBK"/>
          <w:b/>
          <w:bCs/>
          <w:sz w:val="36"/>
          <w:szCs w:val="36"/>
          <w:lang w:val="en-US" w:eastAsia="zh-CN"/>
        </w:rPr>
      </w:pPr>
    </w:p>
    <w:p>
      <w:pPr>
        <w:ind w:left="1920" w:hanging="2168" w:hangingChars="600"/>
        <w:jc w:val="center"/>
        <w:rPr>
          <w:rFonts w:hint="eastAsia" w:ascii="方正小标宋_GBK" w:hAnsi="方正小标宋_GBK" w:eastAsia="方正小标宋_GBK" w:cs="方正小标宋_GBK"/>
          <w:b/>
          <w:bCs/>
          <w:sz w:val="36"/>
          <w:szCs w:val="36"/>
          <w:lang w:val="en-US" w:eastAsia="zh-CN"/>
        </w:rPr>
      </w:pPr>
    </w:p>
    <w:p>
      <w:pPr>
        <w:ind w:left="0" w:firstLine="2168" w:firstLineChars="600"/>
        <w:jc w:val="both"/>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四川省整合器官移植类医疗服务价格项目医保支付类别</w:t>
      </w:r>
    </w:p>
    <w:tbl>
      <w:tblPr>
        <w:tblStyle w:val="3"/>
        <w:tblW w:w="44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1077"/>
        <w:gridCol w:w="1051"/>
        <w:gridCol w:w="1495"/>
        <w:gridCol w:w="1506"/>
        <w:gridCol w:w="2478"/>
        <w:gridCol w:w="747"/>
        <w:gridCol w:w="894"/>
        <w:gridCol w:w="729"/>
        <w:gridCol w:w="729"/>
        <w:gridCol w:w="69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序号</w:t>
            </w:r>
          </w:p>
        </w:tc>
        <w:tc>
          <w:tcPr>
            <w:tcW w:w="42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国家项目编码</w:t>
            </w:r>
          </w:p>
        </w:tc>
        <w:tc>
          <w:tcPr>
            <w:tcW w:w="41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项目编码</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项目名称</w:t>
            </w:r>
          </w:p>
        </w:tc>
        <w:tc>
          <w:tcPr>
            <w:tcW w:w="600" w:type="pc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服务产出</w:t>
            </w:r>
          </w:p>
        </w:tc>
        <w:tc>
          <w:tcPr>
            <w:tcW w:w="988" w:type="pc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价格构成</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lang w:val="en-US"/>
              </w:rPr>
            </w:pPr>
            <w:r>
              <w:rPr>
                <w:rFonts w:hint="default" w:ascii="Times New Roman" w:hAnsi="Times New Roman" w:eastAsia="黑体" w:cs="Times New Roman"/>
                <w:i w:val="0"/>
                <w:color w:val="auto"/>
                <w:kern w:val="0"/>
                <w:sz w:val="21"/>
                <w:szCs w:val="21"/>
                <w:u w:val="none"/>
                <w:lang w:val="en-US" w:eastAsia="zh-CN" w:bidi="ar"/>
              </w:rPr>
              <w:t>加收项</w:t>
            </w:r>
          </w:p>
        </w:tc>
        <w:tc>
          <w:tcPr>
            <w:tcW w:w="356" w:type="pc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扩展项</w:t>
            </w:r>
          </w:p>
        </w:tc>
        <w:tc>
          <w:tcPr>
            <w:tcW w:w="290" w:type="pc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计价单位</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计价说明</w:t>
            </w:r>
          </w:p>
        </w:tc>
        <w:tc>
          <w:tcPr>
            <w:tcW w:w="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eastAsia" w:ascii="Times New Roman" w:hAnsi="Times New Roman" w:eastAsia="黑体" w:cs="Times New Roman"/>
                <w:i w:val="0"/>
                <w:color w:val="auto"/>
                <w:sz w:val="21"/>
                <w:szCs w:val="21"/>
                <w:u w:val="none"/>
                <w:lang w:eastAsia="zh-CN"/>
              </w:rPr>
            </w:pPr>
            <w:r>
              <w:rPr>
                <w:rFonts w:hint="eastAsia" w:ascii="Times New Roman" w:hAnsi="Times New Roman" w:eastAsia="黑体" w:cs="Times New Roman"/>
                <w:i w:val="0"/>
                <w:color w:val="auto"/>
                <w:sz w:val="21"/>
                <w:szCs w:val="21"/>
                <w:u w:val="none"/>
                <w:lang w:eastAsia="zh-CN"/>
              </w:rPr>
              <w:t>除外内容</w:t>
            </w:r>
          </w:p>
        </w:tc>
        <w:tc>
          <w:tcPr>
            <w:tcW w:w="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1"/>
                <w:szCs w:val="21"/>
                <w:u w:val="none"/>
                <w:lang w:val="en-US" w:eastAsia="zh-CN"/>
              </w:rPr>
            </w:pPr>
            <w:r>
              <w:rPr>
                <w:rFonts w:hint="eastAsia" w:ascii="Times New Roman" w:hAnsi="Times New Roman" w:eastAsia="黑体" w:cs="Times New Roman"/>
                <w:i w:val="0"/>
                <w:color w:val="auto"/>
                <w:sz w:val="21"/>
                <w:szCs w:val="21"/>
                <w:u w:val="none"/>
                <w:lang w:val="en-US" w:eastAsia="zh-CN"/>
              </w:rPr>
              <w:t>医保支付类别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kern w:val="0"/>
                <w:sz w:val="21"/>
                <w:szCs w:val="21"/>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013317000020000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331700002</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肝脏移植术</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异体同种肝脏（全肝）移植，实现患者原位肝脏切除和供体肝脏植入</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所定价格涵盖患者原位肝脏切除、供体肝脏术前或术中整复、供体肝脏植入，以及切开、吻合、关闭、缝合等手术步骤的人力资源和基本物质资源消耗。</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01儿童手术</w:t>
            </w:r>
          </w:p>
          <w:p>
            <w:pPr>
              <w:shd w:val="clear" w:color="auto" w:fill="auto"/>
              <w:suppressAutoHyphens/>
              <w:bidi w:val="0"/>
              <w:spacing w:line="240" w:lineRule="auto"/>
              <w:ind w:firstLine="0"/>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auto"/>
                <w:kern w:val="0"/>
                <w:sz w:val="21"/>
                <w:szCs w:val="21"/>
                <w:lang w:val="en-US" w:eastAsia="zh-CN" w:bidi="ar"/>
              </w:rPr>
              <w:t>02部分肝脏（器官段）移植</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auto"/>
                <w:kern w:val="0"/>
                <w:sz w:val="21"/>
                <w:szCs w:val="21"/>
                <w:lang w:val="en-US" w:eastAsia="zh-CN" w:bidi="ar"/>
              </w:rPr>
              <w:t>01异种器官</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供体</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kern w:val="0"/>
                <w:sz w:val="21"/>
                <w:szCs w:val="21"/>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013317000020001</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331700002-1</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肝脏移植术-儿童手术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highlight w:val="none"/>
                <w:u w:val="none"/>
              </w:rPr>
            </w:pPr>
            <w:r>
              <w:rPr>
                <w:rFonts w:hint="eastAsia" w:ascii="Times New Roman" w:hAnsi="Times New Roman" w:eastAsia="仿宋_GB2312" w:cs="Times New Roman"/>
                <w:i w:val="0"/>
                <w:color w:val="auto"/>
                <w:kern w:val="0"/>
                <w:sz w:val="21"/>
                <w:szCs w:val="21"/>
                <w:highlight w:val="none"/>
                <w:u w:val="none"/>
                <w:lang w:val="en-US" w:eastAsia="zh-CN" w:bidi="ar"/>
              </w:rPr>
              <w:t>3</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013317000020002</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331700002-2</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肝脏移植术-部分肝脏</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highlight w:val="none"/>
                <w:u w:val="none"/>
                <w:lang w:val="en-US" w:eastAsia="zh-CN" w:bidi="ar"/>
              </w:rPr>
              <w:t>器官段</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highlight w:val="none"/>
                <w:u w:val="none"/>
                <w:lang w:val="en-US" w:eastAsia="zh-CN" w:bidi="ar"/>
              </w:rPr>
              <w:t>移植</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kern w:val="0"/>
                <w:sz w:val="21"/>
                <w:szCs w:val="21"/>
                <w:u w:val="none"/>
                <w:lang w:val="en-US" w:eastAsia="zh-CN" w:bidi="ar"/>
              </w:rPr>
              <w:t>4</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013317000020100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331700002-3</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肝脏移植术-异种器官</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kern w:val="0"/>
                <w:sz w:val="21"/>
                <w:szCs w:val="21"/>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013317000040000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331700004</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肾脏移植术</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异体同种肾脏（单侧）移植，实现供体肾脏植入</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所定价格涵盖供体肾脏术前或术中整复、患者原位肾脏处理、供体肾脏植入，以及切开、吻合、关闭、缝合等手术步骤的人力资源和基本物质资源消耗。</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01儿童手术</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kern w:val="0"/>
                <w:sz w:val="21"/>
                <w:szCs w:val="21"/>
                <w:u w:val="none"/>
                <w:lang w:bidi="ar"/>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01异种器官</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kern w:val="0"/>
                <w:sz w:val="21"/>
                <w:szCs w:val="21"/>
                <w:u w:val="none"/>
                <w:lang w:bidi="ar"/>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供体</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kern w:val="0"/>
                <w:sz w:val="21"/>
                <w:szCs w:val="21"/>
                <w:u w:val="none"/>
                <w:lang w:val="en-US" w:eastAsia="zh-CN" w:bidi="ar"/>
              </w:rPr>
              <w:t>6</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013317000040001</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331700004-1</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肾脏移植术-儿童手术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kern w:val="0"/>
                <w:sz w:val="21"/>
                <w:szCs w:val="21"/>
                <w:u w:val="none"/>
                <w:lang w:val="en-US" w:eastAsia="zh-CN" w:bidi="ar"/>
              </w:rPr>
              <w:t>7</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013317000040100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331700004-2</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肾脏移植术-异种器官</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kern w:val="0"/>
                <w:sz w:val="21"/>
                <w:szCs w:val="21"/>
                <w:u w:val="none"/>
                <w:lang w:val="en-US" w:eastAsia="zh-CN" w:bidi="ar"/>
              </w:rPr>
              <w:t>8</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013317000070000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331700007</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角膜移植术</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异体同种角膜（单侧）移植，实现患者原位角膜切除和供体角膜植入</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所定价格涵盖患者原位角膜切除、供体角膜术前或术中整复、供体角膜植入，以及切开、吻合、关闭、缝合等手术步骤的人力资源和基本物质资源消耗。</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01儿童手术</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color="auto" w:fill="auto"/>
              <w:suppressAutoHyphens/>
              <w:bidi w:val="0"/>
              <w:adjustRightInd w:val="0"/>
              <w:snapToGrid w:val="0"/>
              <w:spacing w:line="240" w:lineRule="auto"/>
              <w:ind w:firstLine="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val="en-US" w:eastAsia="zh-CN" w:bidi="ar"/>
              </w:rPr>
              <w:t>01异种组织</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供体、粘弹剂</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乙类</w:t>
            </w:r>
          </w:p>
        </w:tc>
      </w:tr>
    </w:tbl>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rPr>
        <w:br w:type="page"/>
      </w:r>
    </w:p>
    <w:tbl>
      <w:tblPr>
        <w:tblStyle w:val="3"/>
        <w:tblW w:w="44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1077"/>
        <w:gridCol w:w="1051"/>
        <w:gridCol w:w="1495"/>
        <w:gridCol w:w="1506"/>
        <w:gridCol w:w="2478"/>
        <w:gridCol w:w="747"/>
        <w:gridCol w:w="894"/>
        <w:gridCol w:w="729"/>
        <w:gridCol w:w="729"/>
        <w:gridCol w:w="69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rPr>
                <w:rFonts w:hint="eastAsia"/>
                <w:lang w:val="en-US" w:eastAsia="zh-CN"/>
              </w:rPr>
            </w:pPr>
            <w:r>
              <w:rPr>
                <w:rFonts w:hint="eastAsia"/>
                <w:lang w:val="en-US" w:eastAsia="zh-CN"/>
              </w:rPr>
              <w:t>9</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013317000070001</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331700007-1</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角膜移植术-儿童手术</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加收</w:t>
            </w:r>
            <w:r>
              <w:rPr>
                <w:rFonts w:hint="default" w:ascii="Times New Roman" w:hAnsi="Times New Roman" w:cs="Times New Roman"/>
                <w:i w:val="0"/>
                <w:color w:val="auto"/>
                <w:kern w:val="0"/>
                <w:sz w:val="21"/>
                <w:szCs w:val="21"/>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lang w:val="en-US"/>
              </w:rPr>
            </w:pPr>
            <w:r>
              <w:rPr>
                <w:rFonts w:hint="eastAsia" w:ascii="Times New Roman" w:hAnsi="Times New Roman" w:eastAsia="仿宋_GB2312" w:cs="Times New Roman"/>
                <w:i w:val="0"/>
                <w:color w:val="auto"/>
                <w:kern w:val="0"/>
                <w:sz w:val="21"/>
                <w:szCs w:val="21"/>
                <w:u w:val="none"/>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013317000070100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331700007-2</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角膜移植术-异种组织</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扩展</w:t>
            </w:r>
            <w:r>
              <w:rPr>
                <w:rFonts w:hint="default" w:ascii="Times New Roman" w:hAnsi="Times New Roman" w:cs="Times New Roman"/>
                <w:i w:val="0"/>
                <w:color w:val="auto"/>
                <w:kern w:val="0"/>
                <w:sz w:val="21"/>
                <w:szCs w:val="21"/>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auto"/>
                <w:sz w:val="21"/>
                <w:szCs w:val="21"/>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auto"/>
              <w:ind w:firstLine="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乙类</w:t>
            </w:r>
          </w:p>
        </w:tc>
      </w:tr>
    </w:tbl>
    <w:p>
      <w:pPr>
        <w:shd w:val="clear" w:color="auto" w:fill="auto"/>
        <w:adjustRightInd w:val="0"/>
        <w:snapToGrid w:val="0"/>
        <w:spacing w:line="600" w:lineRule="exact"/>
        <w:jc w:val="both"/>
        <w:rPr>
          <w:rFonts w:hint="default" w:ascii="Times New Roman" w:hAnsi="Times New Roman" w:eastAsia="方正小标宋_GBK"/>
          <w:sz w:val="36"/>
          <w:szCs w:val="36"/>
          <w:lang w:eastAsia="zh-CN"/>
        </w:rPr>
        <w:sectPr>
          <w:pgSz w:w="16838" w:h="11906" w:orient="landscape"/>
          <w:pgMar w:top="1803" w:right="1440" w:bottom="1803" w:left="1440" w:header="720" w:footer="720" w:gutter="0"/>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DFB0A3B"/>
    <w:rsid w:val="8DFB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9"/>
    <w:pPr>
      <w:spacing w:before="141" w:after="141"/>
      <w:jc w:val="left"/>
      <w:outlineLvl w:val="0"/>
    </w:pPr>
    <w:rPr>
      <w:rFonts w:ascii="宋体" w:hAnsi="宋体" w:cs="宋体"/>
      <w:b/>
      <w:bCs/>
      <w:kern w:val="44"/>
      <w:sz w:val="42"/>
      <w:szCs w:val="4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2025-02-25T16:33:00Z</dcterms:created>
  <dc:creator>ylbzj</dc:creator>
  <cp:lastModifiedBy>ylbzj</cp:lastModifiedBy>
  <dcterms:modified xsi:type="dcterms:W3CDTF">2025-02-25T16:36:07Z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A7C0BEF7856E56016B80BD67776A449E</vt:lpwstr>
  </property>
</Properties>
</file>