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6202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87"/>
        <w:gridCol w:w="1511"/>
        <w:gridCol w:w="3589"/>
        <w:gridCol w:w="2088"/>
        <w:gridCol w:w="690"/>
        <w:gridCol w:w="6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2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left"/>
              <w:textAlignment w:val="baseline"/>
              <w:rPr>
                <w:rFonts w:ascii="Nimbus Roman" w:hAnsi="Nimbus Roman" w:eastAsia="CESI仿宋-GB2312" w:cs="Nimbus Roman"/>
                <w:sz w:val="32"/>
                <w:szCs w:val="32"/>
              </w:rPr>
            </w:pPr>
            <w:r>
              <w:rPr>
                <w:rFonts w:ascii="Nimbus Roman" w:hAnsi="Nimbus Roman" w:eastAsia="CESI仿宋-GB2312" w:cs="Nimbus Roman"/>
                <w:sz w:val="32"/>
                <w:szCs w:val="32"/>
              </w:rPr>
              <w:t xml:space="preserve">附件1   </w:t>
            </w:r>
          </w:p>
          <w:p>
            <w:pPr>
              <w:spacing w:line="600" w:lineRule="exact"/>
              <w:ind w:firstLine="1080" w:firstLineChars="300"/>
              <w:textAlignment w:val="baseline"/>
              <w:rPr>
                <w:rStyle w:val="12"/>
                <w:rFonts w:ascii="Nimbus Roman" w:hAnsi="Nimbus Roman" w:cs="Nimbus Roman"/>
              </w:rPr>
            </w:pPr>
            <w:r>
              <w:rPr>
                <w:rFonts w:ascii="Nimbus Roman" w:hAnsi="Nimbus Roman" w:eastAsia="方正小标宋简体" w:cs="Nimbus Roman"/>
                <w:sz w:val="36"/>
                <w:szCs w:val="36"/>
              </w:rPr>
              <w:t>生物分析平台2025年服务能力和设备清单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检验方法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检验项目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设备型号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光谱法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紫外-可见分光光度法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鉴别和检查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紫外可见分光光度计UV-2700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含量测定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红外分光光度法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原料药鉴别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傅里叶红外光谱仪IS20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制剂鉴别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多组分原料药鉴别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晶型、异构体限度检查或含量测定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荧光分光光度法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元素测定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荧光分光光度计F-380A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原子吸收分光光度法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第一法（标准曲线法）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原子吸收分光光度ZEEnit700P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第二法（标准加入法）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火焰光度法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含量测定和杂质限量检查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电感耦合等离子体原子发射光谱法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定性鉴别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电感耦合等离子体原子发射光谱仪ICP-OES5800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定量测定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电感耦合等离子体质谱谱法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重金属及有害元素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电感耦合等离子体质谱仪Agilent7700x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拉曼光谱法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定性鉴别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拉曼光谱仪DXR3 smart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含量测定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质谱法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气相色谱-质谱联用法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气相色谱串联三重四极杆质谱仪Agilent8890-7010B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液相色谱-质谱联用法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二维液相色谱三重四级杆质谱联用仪1290-6475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X射线衍射法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第二法（粉末X射线衍射法）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X射线粉末衍射仪Empyrean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色谱法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纸色谱法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鉴别和检查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薄层色谱系统ATS 4,ADC 2.Derivatizer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薄层色谱法</w:t>
            </w:r>
          </w:p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鉴别和检查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三用紫外线分析仪ZF-2型、薄层色谱系统ATS 4,ADC 2.Derivatizer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柱色谱法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鉴别和检查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高效液相色谱法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鉴别和检查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高效液相色谱仪1260 InifinityⅡ、超高效液相色谱仪Vanquish Flex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含量测定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离子色谱法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含量测定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离子色谱仪ICS-900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分子排阻色谱法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1.分子量测定法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高效液相色谱仪（分子排阻色谱）1260 InifinityⅡ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2.生物大分子聚合物分子量与分子量分布的测定法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3.高分子杂质测定法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气相色谱法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鉴别和检查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气相色谱仪GC-2030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含量测定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电泳法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第三法  琼脂糖凝胶电泳法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通用电泳仪PowerPac Basic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第四法  聚丙烯酰胺凝胶电泳法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第五法  SDS-聚丙烯酰胺凝胶电泳法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第六法 等电聚焦电泳法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等电聚焦电泳系统I12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毛细管电泳法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定性分析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毛细管电泳仪G7100A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定量测定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物理常数测定法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相对密度测定法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比重瓶法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韦氏比重法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振荡型密度计法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密度计DMA1001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馏程测定法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馏程测定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熔点测定法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第一法  测定易粉碎的固体药品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全自动熔点仪MP70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第二法  测定不易粉碎的固体药品（如脂肪、脂肪酸、石蜡、羊毛脂等）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第三法  测定凡士林或其他类似物质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凝点测定法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凝点测定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自动药物凝点测定仪HCR-YN2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旋光度测定法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鉴别和检查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全自动旋光仪MCP4100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含量测定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折光率测定法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折光率测定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阿贝折射仪WYA-2S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PH值测定法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PH值测定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pH计PHS-3E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渗透压摩尔浓度测定法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1.渗透压摩尔浓度测定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渗透压测定仪STY-1A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2.渗透压摩尔浓度比的测定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黏度测定法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黏度测定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数字显示黏度计NDJ-8S-I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热分析法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1.热重法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同步热分析仪TGA/DSC3+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2.差热法与差示扫描量热法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制药用水电导率测定法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电导率测定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电导率仪DDSJ-318T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制药用水中总有机碳测定法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总有机碳测定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总有机碳测定仪Sievers*M9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其他测定法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电位滴定法与永停滴定法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含量测定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电位滴定仪905+814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水分测定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卡尔费休水分仪890 Titrando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非水溶液滴定法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含量测定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电位滴定仪905+814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氧瓶燃烧法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含量测定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氮测定法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（1）常量法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凯氏定氮仪K-360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（2）半微量法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（3）定氮仪法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乙醇量测定法</w:t>
            </w:r>
          </w:p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气相色谱法（1）毛细管柱法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气相色谱质谱仪Agilent 8890-5977C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气相色谱法（2）填充柱法</w:t>
            </w:r>
          </w:p>
        </w:tc>
        <w:tc>
          <w:tcPr>
            <w:tcW w:w="208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蒸馏法（1）含乙醇量低于30%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全自动智能蒸馏仪600pro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蒸馏法（1）含乙醇量高于30%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蒸馏法（2）含乙醇量低于30%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蒸馏法（2）含乙醇量高于30%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甲氧基、乙氧基与羟丙氧基测定法</w:t>
            </w:r>
          </w:p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（1）气相色谱法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气相色谱质谱仪Agilent 8890-5977C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69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（2）容量法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甲氧基测定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纯度测定（气相色谱法）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气相色谱质谱仪Agilent 8890-5977C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含量测定（容量法）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脂肪与脂肪油测定法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用于脂类物质及类似物（不包括挥发油）的测定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维生素A测定法</w:t>
            </w:r>
          </w:p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（1）紫外-可见分光光度法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紫外可见分光光度计UV-2700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（2）高效液相色谱法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高效液相色谱仪Vanquish Core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维生素D测定法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第一法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第二法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制备高效液相色谱仪GX-271A；高效液相色谱仪Vanquish Core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第三法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高效液相色谱仪Vanquish Core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第四法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二维高效液相色谱仪Agilent1290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蛋白质含量测定法</w:t>
            </w:r>
          </w:p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（1）凯氏定氮法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凯氏定氮仪K-360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（2）福林酚法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紫外可见分光光度计UV-2700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（3）双缩脲法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83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（4）BCA法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（5）考马斯亮蓝法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（6）紫外-可见分光光度法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86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限量检查法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氯化物检查法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硫酸盐检查法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硫化物检查法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水浴锅LWB-28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89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硒检查法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紫外可见分光光度计UV-2700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氟检查法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紫外可见分光光度计UV-2700、热风循环烘箱UF260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氰化物检查法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第一法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第二法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紫外可见分光光度计UV-2700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第三法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铁盐检查法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铵盐检查法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重金属检查法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第一法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第二法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马弗炉L15/11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第三法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砷盐检查法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第一法（古蔡氏法）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第二法（二乙基二硫代氨基甲酸银法）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紫外可见分光光度计UV-2700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101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干燥失重测定法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热风循环烘箱UF260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水分测定法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第一法（费休氏法）-容量滴定法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卡尔费休水分仪890 Titrando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第二法（烘干法）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热风循环烘箱UF260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106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第四法（甲苯法）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甲苯法仪器装置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炽灼残渣检查法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马弗炉L15/11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109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易炭化物检查法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残留溶剂测定法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第一法(毛细管柱顶空进样等温法)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气相色谱仪GC-2030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111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第二法(毛细管柱顶空进样程序升温法)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112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第三法(溶液直接进样法)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113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甲醇量检查法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第一法（毛细管柱法）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115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合成多肽中的醋酸测定法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测定合成多肽中醋酸或醋酸盐的含量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高效液相色谱仪1260 InifinityⅡ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116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2-乙基己酸测定法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测定β-内酰胺类药物中的2-乙基己酸的量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气相色谱仪GC-2030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117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特性检查法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溶液颜色检查法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第一法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118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第二法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紫外可见分光光度计UV-2700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119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第三法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全自动色差计CS-810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澄清度检查法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第一法（目视法）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紫外可见分光光度计UV-2700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121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第二法（浊度仪法）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浊度仪WZS-180A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122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不溶性微粒检查法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第一法（光阻法）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微粒检测仪GWJ-8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123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第二法（显微计数法）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高倍检测系统RX-100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124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可见异物检查法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第一法（灯检法）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澄明度检测仪YB-2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126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崩解时限检查法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一、片剂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智能崩解仪ZBS-6E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127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二、胶囊剂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129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融变时限检查法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一、栓剂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融变时限检查仪RBY-4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130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二、阴道片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131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片剂脆碎度检查法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脆碎度检查仪FT-2000AE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132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溶出度与释放度测定法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第一法（篮法）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自动取样溶出系统FADT-1202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133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第二法（桨法）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134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第三法（小杯法）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135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第四法（桨碟法）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136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第五法（转筒法）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137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第六法（流池法）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溶出仪CE7S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139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含量均匀度检查法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用于检查单剂量的固体、半固体和非均相液体制剂含量符合</w:t>
            </w: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br w:type="textWrapping"/>
            </w: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标示量的程度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根据各品种标准确定适配仪器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140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最低装量检查法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结晶性检查法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第二法（粉末X射线衍射法）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X射线粉末衍射仪Empyrean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145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第三法（差示扫描量热法）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同步热分析仪TGA/DSC3+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146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粒度和粒度分布测定法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第一法（显微镜法）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高倍检测系统RX-100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147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第二法（筛分法）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只有筛网筛分法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只能做筛网筛分法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148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第三法（光散射法）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激光粒度仪Mastersizer3000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149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锥入度测定法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锥入度测定仪ZHR-2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152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堆密度和振实密度测定法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1.堆密度测定法：第一法 固定质量法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159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分子生物学检查法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聚合酶链式反应法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定量PCR仪Quantstudio 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160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细菌DNA特征序列鉴定法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161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中药其他方法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显微鉴别法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生物显微镜 XD-101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162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膨胀度测定法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膏药软化点测定法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膏药软化点测定仪 GYC3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164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浸出物测定法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热风循环烘箱 UF260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165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鞣质含量测定法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紫外可见分光光度计 UV-2700i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166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桉油精含量测定法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气相色谱仪 Agilent GC7890B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167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挥发油测定法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168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杂质检查法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药典筛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169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灰分测定法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马弗炉 L15/11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170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酸败度测定法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紫外可见分光光度计 UV-2700i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171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铅、镉、砷、汞、铜测定法</w:t>
            </w:r>
          </w:p>
        </w:tc>
        <w:tc>
          <w:tcPr>
            <w:tcW w:w="35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原子吸收分光光度法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微波消解仪 Mars6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172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原子吸收光谱仪 AA240Duo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173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电感耦合等离子体质谱法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微波消解仪 Mars6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174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8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电感耦合等离子体质谱仪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175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汞、砷元素形态及价态测定法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汞元素形态及价态测定法</w:t>
            </w:r>
          </w:p>
        </w:tc>
        <w:tc>
          <w:tcPr>
            <w:tcW w:w="208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176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砷元素形态及价态测定法</w:t>
            </w:r>
          </w:p>
        </w:tc>
        <w:tc>
          <w:tcPr>
            <w:tcW w:w="208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177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二氧化硫残留量测定法</w:t>
            </w:r>
          </w:p>
        </w:tc>
        <w:tc>
          <w:tcPr>
            <w:tcW w:w="3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第一法(酸碱滴定法)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178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第二法(气相色谱法)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气相色谱仪 Agilent GC7890B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179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第三法（离子色谱法）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离子色谱仪 ICS-6000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农药残留量测定法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第一法   有机氯类农药残留量测定法（色谱法）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气相色谱仪 Agilent GC7890B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181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第二法   有机磷类农药残留量测定法（色谱法）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182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第三法   拟除虫菊酯类农药残留量测定法（色谱法）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183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第四法   农药多残留量测定法（质谱法）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气相色谱串联三重四极杆质谱仪 Agilent8890-7010B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184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二维液相色谱三重四级杆质谱联用仪 1290-6475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185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第五法   药材及饮片（植物类）中禁用农药多残留测定法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气相色谱串联三重四极杆质谱仪 Agilent8890-7010B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186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二维液相色谱三重四级杆质谱联用仪 1290-6475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187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真菌毒素测定法</w:t>
            </w:r>
          </w:p>
        </w:tc>
        <w:tc>
          <w:tcPr>
            <w:tcW w:w="3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黄曲霉毒素测定法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高效液相色谱仪 1260 InifinityⅡ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二维液相色谱三重四级杆质谱联用仪 1290-6475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188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189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赭曲霉毒素A测定法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191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玉米赤霉烯酮测定法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192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193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呕吐毒素测定法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194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195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展青霉素测定法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二维液相色谱三重四级杆质谱联用仪 1290-6475</w:t>
            </w:r>
          </w:p>
          <w:p>
            <w:pPr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196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多种真菌毒素测定法</w:t>
            </w: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197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注射剂有关物质检查法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马弗炉 L15/11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Nimbus Roman" w:hAnsi="Nimbus Roman" w:eastAsia="仿宋_GB2312" w:cs="Nimbus Roman"/>
                <w:sz w:val="24"/>
              </w:rPr>
            </w:pPr>
            <w:bookmarkStart w:id="0" w:name="_Hlk185856952"/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198</w:t>
            </w: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药学研究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主要包括:分析方法开发、分析方法验证、体外生物等效性研究，质量标准建立等（设备暂未开通审计追踪、3Q认证。）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4" w:type="dxa"/>
          <w:trHeight w:val="3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Nimbus Roman" w:hAnsi="Nimbus Roman" w:eastAsia="仿宋_GB2312" w:cs="Nimbus Roman"/>
                <w:sz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199</w:t>
            </w: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其他研究仪器设备</w:t>
            </w:r>
          </w:p>
        </w:tc>
        <w:tc>
          <w:tcPr>
            <w:tcW w:w="56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  <w:r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  <w:t>医用氧品质分析系统NK-809型；二维超高效液相四级杆串联飞行时间质谱仪1290 Infinity 2D-LC &amp; 6545 Q-TOF；氨基酸分析仪LA8080；热释光/光释光剂量仪Lexsyg smart；低本底αβ测量仪FYFS-400X；电子自旋共振波谱仪(ESR波谱仪)ESR5000。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24"/>
                <w:rFonts w:ascii="Nimbus Roman" w:hAnsi="Nimbus Roman" w:eastAsia="仿宋_GB2312" w:cs="Nimbus Roman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300" w:lineRule="exact"/>
        <w:jc w:val="center"/>
        <w:textAlignment w:val="center"/>
        <w:rPr>
          <w:rStyle w:val="24"/>
          <w:rFonts w:ascii="Nimbus Roman" w:hAnsi="Nimbus Roman" w:eastAsia="仿宋_GB2312" w:cs="Nimbus Roman"/>
          <w:color w:val="auto"/>
          <w:sz w:val="24"/>
          <w:szCs w:val="24"/>
        </w:rPr>
      </w:pPr>
    </w:p>
    <w:p>
      <w:pPr>
        <w:pStyle w:val="2"/>
        <w:rPr>
          <w:rStyle w:val="24"/>
          <w:rFonts w:ascii="Nimbus Roman" w:hAnsi="Nimbus Roman" w:eastAsia="仿宋_GB2312" w:cs="Nimbus Roman"/>
          <w:color w:val="auto"/>
          <w:sz w:val="24"/>
          <w:szCs w:val="24"/>
        </w:rPr>
      </w:pPr>
    </w:p>
    <w:p>
      <w:pPr>
        <w:pStyle w:val="2"/>
        <w:rPr>
          <w:rFonts w:hint="eastAsia" w:ascii="Nimbus Roman" w:hAnsi="Nimbus Roman" w:eastAsia="仿宋" w:cs="Nimbus Roman"/>
          <w:sz w:val="32"/>
          <w:szCs w:val="32"/>
        </w:rPr>
      </w:pPr>
    </w:p>
    <w:p>
      <w:pPr>
        <w:pStyle w:val="2"/>
        <w:rPr>
          <w:rFonts w:hint="eastAsia" w:ascii="Nimbus Roman" w:hAnsi="Nimbus Roman" w:eastAsia="仿宋" w:cs="Nimbus Roman"/>
          <w:sz w:val="32"/>
          <w:szCs w:val="32"/>
        </w:rPr>
      </w:pPr>
    </w:p>
    <w:p>
      <w:pPr>
        <w:pStyle w:val="2"/>
        <w:rPr>
          <w:rFonts w:hint="eastAsia" w:ascii="Nimbus Roman" w:hAnsi="Nimbus Roman" w:eastAsia="仿宋" w:cs="Nimbus Roman"/>
          <w:sz w:val="32"/>
          <w:szCs w:val="32"/>
        </w:rPr>
      </w:pPr>
    </w:p>
    <w:p>
      <w:pPr>
        <w:pStyle w:val="2"/>
        <w:rPr>
          <w:rFonts w:hint="eastAsia" w:ascii="Nimbus Roman" w:hAnsi="Nimbus Roman" w:eastAsia="仿宋" w:cs="Nimbus Roman"/>
          <w:sz w:val="32"/>
          <w:szCs w:val="32"/>
        </w:rPr>
      </w:pPr>
    </w:p>
    <w:p>
      <w:pPr>
        <w:pStyle w:val="2"/>
        <w:rPr>
          <w:rFonts w:hint="eastAsia" w:ascii="Nimbus Roman" w:hAnsi="Nimbus Roman" w:eastAsia="仿宋" w:cs="Nimbus Roman"/>
          <w:sz w:val="32"/>
          <w:szCs w:val="32"/>
        </w:rPr>
      </w:pPr>
    </w:p>
    <w:p>
      <w:pPr>
        <w:pStyle w:val="2"/>
        <w:rPr>
          <w:rFonts w:hint="eastAsia" w:ascii="Nimbus Roman" w:hAnsi="Nimbus Roman" w:eastAsia="仿宋" w:cs="Nimbus Roman"/>
          <w:sz w:val="32"/>
          <w:szCs w:val="32"/>
        </w:rPr>
      </w:pPr>
    </w:p>
    <w:p>
      <w:pPr>
        <w:pStyle w:val="2"/>
        <w:rPr>
          <w:rFonts w:hint="eastAsia" w:ascii="Nimbus Roman" w:hAnsi="Nimbus Roman" w:eastAsia="仿宋" w:cs="Nimbus Roman"/>
          <w:sz w:val="32"/>
          <w:szCs w:val="32"/>
        </w:rPr>
      </w:pPr>
    </w:p>
    <w:p>
      <w:pPr>
        <w:pStyle w:val="2"/>
        <w:rPr>
          <w:rFonts w:ascii="Nimbus Roman" w:hAnsi="Nimbus Roman" w:eastAsia="仿宋" w:cs="Nimbus Roman"/>
          <w:sz w:val="32"/>
          <w:szCs w:val="32"/>
        </w:rPr>
      </w:pPr>
    </w:p>
    <w:p>
      <w:pPr>
        <w:rPr>
          <w:rFonts w:ascii="Nimbus Roman" w:hAnsi="Nimbus Roman" w:eastAsia="仿宋" w:cs="Nimbus Roman"/>
          <w:sz w:val="32"/>
          <w:szCs w:val="32"/>
        </w:rPr>
      </w:pPr>
      <w:bookmarkStart w:id="1" w:name="_GoBack"/>
      <w:bookmarkEnd w:id="1"/>
    </w:p>
    <w:p>
      <w:pPr>
        <w:pStyle w:val="2"/>
        <w:rPr>
          <w:rFonts w:ascii="Nimbus Roman" w:hAnsi="Nimbus Roman" w:cs="Nimbus Roma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701" w:right="1304" w:bottom="1418" w:left="1531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imbus Roman">
    <w:altName w:val="Times New Roman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04470"/>
              <wp:effectExtent l="0" t="0" r="0" b="0"/>
              <wp:wrapNone/>
              <wp:docPr id="20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199" cy="20464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Nimbus Roman" w:hAnsi="Nimbus Roman" w:cs="Nimbus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Nimbus Roman" w:hAnsi="Nimbus Roman" w:cs="Nimbus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Nimbus Roman" w:hAnsi="Nimbus Roman" w:cs="Nimbus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Nimbus Roman" w:hAnsi="Nimbus Roman" w:cs="Nimbus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Nimbus Roman" w:hAnsi="Nimbus Roman" w:cs="Nimbus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Nimbus Roman" w:hAnsi="Nimbus Roman" w:cs="Nimbus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Nimbus Roman" w:hAnsi="Nimbus Roman" w:cs="Nimbus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Nimbus Roman" w:hAnsi="Nimbus Roman" w:cs="Nimbus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6.1pt;width:56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8aUYL0QAAAAQBAAAPAAAAAAAAAAEA&#10;IAAAACIAAABkcnMvZG93bnJldi54bWxQSwECFAAUAAAACACHTuJAX5jMmd0BAACoAwAADgAAAAAA&#10;AAABACAAAAAgAQAAZHJzL2Uyb0RvYy54bWxQSwUGAAAAAAYABgBZAQAAb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Nimbus Roman" w:hAnsi="Nimbus Roman" w:cs="Nimbus Roman"/>
                        <w:sz w:val="28"/>
                        <w:szCs w:val="28"/>
                      </w:rPr>
                    </w:pPr>
                    <w:r>
                      <w:rPr>
                        <w:rFonts w:ascii="Nimbus Roman" w:hAnsi="Nimbus Roman" w:cs="Nimbus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Nimbus Roman" w:hAnsi="Nimbus Roman" w:cs="Nimbus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Nimbus Roman" w:hAnsi="Nimbus Roman" w:cs="Nimbus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Nimbus Roman" w:hAnsi="Nimbus Roman" w:cs="Nimbus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Nimbus Roman" w:hAnsi="Nimbus Roman" w:cs="Nimbus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Nimbus Roman" w:hAnsi="Nimbus Roman" w:cs="Nimbus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Nimbus Roman" w:hAnsi="Nimbus Roman" w:cs="Nimbus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1" o:spid="_x0000_s2049" o:spt="136" type="#_x0000_t136" style="position:absolute;left:0pt;margin-left:0pt;margin-top:0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  <w:r>
      <w:pict>
        <v:shape id="PowerPlusWaterMarkObject2" o:spid="_x0000_s2050" o:spt="136" type="#_x0000_t136" style="position:absolute;left:0pt;margin-left:0pt;margin-top:301.45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  <w:r>
      <w:pict>
        <v:shape id="PowerPlusWaterMarkObject3" o:spid="_x0000_s2051" o:spt="136" type="#_x0000_t136" style="position:absolute;left:0pt;margin-left:0pt;margin-top:602.95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  <w:r>
      <w:pict>
        <v:shape id="PowerPlusWaterMarkObject4" o:spid="_x0000_s2052" o:spt="136" type="#_x0000_t136" style="position:absolute;left:0pt;margin-left:394.45pt;margin-top:0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  <w:r>
      <w:pict>
        <v:shape id="PowerPlusWaterMarkObject5" o:spid="_x0000_s2053" o:spt="136" type="#_x0000_t136" style="position:absolute;left:0pt;margin-left:394.45pt;margin-top:301.45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  <w:r>
      <w:pict>
        <v:shape id="PowerPlusWaterMarkObject6" o:spid="_x0000_s2054" o:spt="136" type="#_x0000_t136" style="position:absolute;left:0pt;margin-left:394.45pt;margin-top:602.95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  <w:r>
      <w:pict>
        <v:shape id="WordPictureWatermark7" o:spid="_x0000_s2055" o:spt="75" type="#_x0000_t75" style="position:absolute;left:0pt;margin-left:0pt;margin-top:0pt;height:0pt;width:0pt;z-index:-1024;mso-width-relative:page;mso-height-relative:page;" filled="f" stroked="f" coordsize="21600,21600" o:allowincell="f">
          <v:path/>
          <v:fill on="f" focussize="0,0"/>
          <v:stroke on="f" color="#000000"/>
          <v:imagedata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8" o:spid="_x0000_s2056" o:spt="136" type="#_x0000_t136" style="position:absolute;left:0pt;margin-left:0pt;margin-top:0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  <w:r>
      <w:pict>
        <v:shape id="PowerPlusWaterMarkObject9" o:spid="_x0000_s2057" o:spt="136" type="#_x0000_t136" style="position:absolute;left:0pt;margin-left:0pt;margin-top:301.45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  <w:r>
      <w:pict>
        <v:shape id="PowerPlusWaterMarkObject10" o:spid="_x0000_s2058" o:spt="136" type="#_x0000_t136" style="position:absolute;left:0pt;margin-left:0pt;margin-top:602.95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  <w:r>
      <w:pict>
        <v:shape id="PowerPlusWaterMarkObject11" o:spid="_x0000_s2059" o:spt="136" type="#_x0000_t136" style="position:absolute;left:0pt;margin-left:394.45pt;margin-top:0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  <w:r>
      <w:pict>
        <v:shape id="PowerPlusWaterMarkObject12" o:spid="_x0000_s2060" o:spt="136" type="#_x0000_t136" style="position:absolute;left:0pt;margin-left:394.45pt;margin-top:301.45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  <w:r>
      <w:pict>
        <v:shape id="PowerPlusWaterMarkObject13" o:spid="_x0000_s2061" o:spt="136" type="#_x0000_t136" style="position:absolute;left:0pt;margin-left:394.45pt;margin-top:602.95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14" o:spid="_x0000_s2062" o:spt="136" type="#_x0000_t136" style="position:absolute;left:0pt;margin-left:0pt;margin-top:0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  <w:r>
      <w:pict>
        <v:shape id="PowerPlusWaterMarkObject15" o:spid="_x0000_s2063" o:spt="136" type="#_x0000_t136" style="position:absolute;left:0pt;margin-left:0pt;margin-top:301.45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  <w:r>
      <w:pict>
        <v:shape id="PowerPlusWaterMarkObject16" o:spid="_x0000_s2064" o:spt="136" type="#_x0000_t136" style="position:absolute;left:0pt;margin-left:0pt;margin-top:602.95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  <w:r>
      <w:pict>
        <v:shape id="PowerPlusWaterMarkObject17" o:spid="_x0000_s2065" o:spt="136" type="#_x0000_t136" style="position:absolute;left:0pt;margin-left:394.45pt;margin-top:0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  <w:r>
      <w:pict>
        <v:shape id="PowerPlusWaterMarkObject18" o:spid="_x0000_s2066" o:spt="136" type="#_x0000_t136" style="position:absolute;left:0pt;margin-left:394.45pt;margin-top:301.45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  <w:r>
      <w:pict>
        <v:shape id="PowerPlusWaterMarkObject19" o:spid="_x0000_s2067" o:spt="136" type="#_x0000_t136" style="position:absolute;left:0pt;margin-left:394.45pt;margin-top:602.95pt;height:55.4pt;width:139.75pt;rotation:-1310720f;z-index:-1024;mso-width-relative:page;mso-height-relative:page;" fillcolor="#000000" filled="t" stroked="f" coordsize="21600,21600" o:allowincell="f" adj="10800">
          <v:path/>
          <v:fill on="t" opacity="6553f" focussize="0,0"/>
          <v:stroke on="f" color="#000000"/>
          <v:imagedata o:title=""/>
          <o:lock v:ext="edit"/>
          <v:textpath on="t" fitshape="t" fitpath="t" trim="t" xscale="f" string="2574&#10;&#10;2025-01-16-16:04:59" style="font-family:微软雅黑;font-size:14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B36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1">
    <w:name w:val="font31"/>
    <w:uiPriority w:val="0"/>
    <w:rPr>
      <w:rFonts w:ascii="Times New Roman" w:hAnsi="Times New Roman" w:cs="Times New Roman"/>
      <w:color w:val="000000"/>
      <w:sz w:val="36"/>
      <w:szCs w:val="36"/>
      <w:u w:val="none"/>
    </w:rPr>
  </w:style>
  <w:style w:type="character" w:customStyle="1" w:styleId="12">
    <w:name w:val="font21"/>
    <w:uiPriority w:val="0"/>
    <w:rPr>
      <w:rFonts w:ascii="宋体" w:eastAsia="宋体" w:cs="宋体"/>
      <w:color w:val="000000"/>
      <w:sz w:val="36"/>
      <w:szCs w:val="36"/>
      <w:u w:val="none"/>
    </w:rPr>
  </w:style>
  <w:style w:type="character" w:customStyle="1" w:styleId="13">
    <w:name w:val="font91"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uiPriority w:val="0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112"/>
    <w:uiPriority w:val="0"/>
    <w:rPr>
      <w:rFonts w:ascii="方正书宋_GBK" w:eastAsia="方正书宋_GBK" w:cs="方正书宋_GBK"/>
      <w:color w:val="000000"/>
      <w:sz w:val="21"/>
      <w:szCs w:val="21"/>
      <w:u w:val="none"/>
    </w:rPr>
  </w:style>
  <w:style w:type="character" w:customStyle="1" w:styleId="16">
    <w:name w:val="font121"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17">
    <w:name w:val="font131"/>
    <w:qFormat/>
    <w:uiPriority w:val="0"/>
    <w:rPr>
      <w:rFonts w:ascii="方正书宋_GBK" w:eastAsia="方正书宋_GBK" w:cs="方正书宋_GBK"/>
      <w:color w:val="000000"/>
      <w:sz w:val="22"/>
      <w:szCs w:val="22"/>
      <w:u w:val="none"/>
    </w:rPr>
  </w:style>
  <w:style w:type="character" w:customStyle="1" w:styleId="18">
    <w:name w:val="font61"/>
    <w:uiPriority w:val="0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51"/>
    <w:qFormat/>
    <w:uiPriority w:val="0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20">
    <w:name w:val="font141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21">
    <w:name w:val="font81"/>
    <w:qFormat/>
    <w:uiPriority w:val="0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41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paragraph" w:customStyle="1" w:styleId="23">
    <w:name w:val="无间隔1"/>
    <w:uiPriority w:val="0"/>
    <w:pPr>
      <w:adjustRightInd w:val="0"/>
      <w:snapToGrid w:val="0"/>
      <w:spacing w:line="360" w:lineRule="auto"/>
      <w:ind w:firstLine="200" w:firstLineChars="200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character" w:customStyle="1" w:styleId="24">
    <w:name w:val="font01"/>
    <w:qFormat/>
    <w:uiPriority w:val="0"/>
    <w:rPr>
      <w:rFonts w:asci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4849</Words>
  <Characters>6632</Characters>
  <Lines>0</Lines>
  <Paragraphs>0</Paragraphs>
  <TotalTime>6</TotalTime>
  <ScaleCrop>false</ScaleCrop>
  <LinksUpToDate>false</LinksUpToDate>
  <CharactersWithSpaces>6738</CharactersWithSpaces>
  <Application>WPS Office_10.8.2.7119_F1E327BC-269C-435d-A152-05C5408002CA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2025-01-09T08:21:00Z</dcterms:created>
  <dc:creator>Administrator</dc:creator>
  <cp:lastModifiedBy>刘芬</cp:lastModifiedBy>
  <cp:lastPrinted>2024-12-26T11:42:00Z</cp:lastPrinted>
  <dcterms:modified xsi:type="dcterms:W3CDTF">2025-01-17T05:05:03Z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7507DF9AFB6C42C081E6DD0DA590592C_12</vt:lpwstr>
  </property>
</Properties>
</file>