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55B9A">
      <w:pPr>
        <w:pStyle w:val="9"/>
        <w:rPr>
          <w:rFonts w:ascii="Times New Roman"/>
        </w:rPr>
      </w:pPr>
    </w:p>
    <w:p w14:paraId="7A7F9912">
      <w:pPr>
        <w:spacing w:line="360" w:lineRule="auto"/>
        <w:jc w:val="center"/>
        <w:rPr>
          <w:rFonts w:eastAsia="华文中宋"/>
          <w:color w:val="000000"/>
          <w:sz w:val="36"/>
          <w:szCs w:val="36"/>
        </w:rPr>
      </w:pPr>
      <w:r>
        <w:rPr>
          <w:rFonts w:eastAsia="华文中宋"/>
          <w:color w:val="000000"/>
          <w:sz w:val="36"/>
          <w:szCs w:val="36"/>
        </w:rPr>
        <w:t>安徽省地方标准编制说明</w:t>
      </w:r>
    </w:p>
    <w:tbl>
      <w:tblPr>
        <w:tblStyle w:val="7"/>
        <w:tblW w:w="51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1071"/>
        <w:gridCol w:w="3372"/>
        <w:gridCol w:w="1277"/>
        <w:gridCol w:w="1360"/>
        <w:gridCol w:w="1518"/>
      </w:tblGrid>
      <w:tr w14:paraId="19059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09" w:type="pct"/>
            <w:gridSpan w:val="2"/>
            <w:vAlign w:val="center"/>
          </w:tcPr>
          <w:p w14:paraId="79723F58">
            <w:pPr>
              <w:pStyle w:val="9"/>
              <w:adjustRightInd w:val="0"/>
              <w:spacing w:line="360" w:lineRule="auto"/>
              <w:ind w:firstLine="0" w:firstLineChars="0"/>
              <w:contextualSpacing/>
              <w:jc w:val="center"/>
              <w:rPr>
                <w:rFonts w:ascii="Times New Roman"/>
                <w:szCs w:val="21"/>
              </w:rPr>
            </w:pPr>
            <w:r>
              <w:rPr>
                <w:rFonts w:ascii="Times New Roman"/>
                <w:szCs w:val="21"/>
              </w:rPr>
              <w:t>标准名称</w:t>
            </w:r>
          </w:p>
        </w:tc>
        <w:tc>
          <w:tcPr>
            <w:tcW w:w="4090" w:type="pct"/>
            <w:gridSpan w:val="4"/>
            <w:vAlign w:val="center"/>
          </w:tcPr>
          <w:p w14:paraId="72DAFACA">
            <w:pPr>
              <w:pStyle w:val="9"/>
              <w:adjustRightInd w:val="0"/>
              <w:spacing w:line="360" w:lineRule="auto"/>
              <w:ind w:firstLine="0" w:firstLineChars="0"/>
              <w:contextualSpacing/>
              <w:rPr>
                <w:rFonts w:ascii="Times New Roman"/>
                <w:szCs w:val="21"/>
              </w:rPr>
            </w:pPr>
            <w:r>
              <w:rPr>
                <w:rFonts w:hint="eastAsia" w:ascii="Times New Roman"/>
                <w:bCs/>
                <w:caps/>
                <w:szCs w:val="21"/>
              </w:rPr>
              <w:t>大型泵站设备维护保养规范</w:t>
            </w:r>
          </w:p>
        </w:tc>
      </w:tr>
      <w:tr w14:paraId="7D59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09" w:type="pct"/>
            <w:gridSpan w:val="2"/>
            <w:vAlign w:val="center"/>
          </w:tcPr>
          <w:p w14:paraId="5D08DDB1">
            <w:pPr>
              <w:pStyle w:val="9"/>
              <w:adjustRightInd w:val="0"/>
              <w:spacing w:line="360" w:lineRule="auto"/>
              <w:ind w:firstLine="0" w:firstLineChars="0"/>
              <w:contextualSpacing/>
              <w:jc w:val="center"/>
              <w:rPr>
                <w:rFonts w:ascii="Times New Roman"/>
                <w:szCs w:val="21"/>
              </w:rPr>
            </w:pPr>
            <w:r>
              <w:rPr>
                <w:rFonts w:ascii="Times New Roman"/>
                <w:szCs w:val="21"/>
              </w:rPr>
              <w:t>任务来源</w:t>
            </w:r>
          </w:p>
          <w:p w14:paraId="68A9EF5C">
            <w:pPr>
              <w:pStyle w:val="9"/>
              <w:adjustRightInd w:val="0"/>
              <w:spacing w:line="360" w:lineRule="auto"/>
              <w:ind w:firstLine="0" w:firstLineChars="0"/>
              <w:contextualSpacing/>
              <w:jc w:val="center"/>
              <w:rPr>
                <w:rFonts w:ascii="Times New Roman"/>
                <w:szCs w:val="21"/>
              </w:rPr>
            </w:pPr>
            <w:r>
              <w:rPr>
                <w:rFonts w:ascii="Times New Roman"/>
                <w:szCs w:val="21"/>
              </w:rPr>
              <w:t>（项目计划号）</w:t>
            </w:r>
          </w:p>
        </w:tc>
        <w:tc>
          <w:tcPr>
            <w:tcW w:w="4090" w:type="pct"/>
            <w:gridSpan w:val="4"/>
            <w:vAlign w:val="center"/>
          </w:tcPr>
          <w:p w14:paraId="355747FC">
            <w:pPr>
              <w:pStyle w:val="9"/>
              <w:adjustRightInd w:val="0"/>
              <w:spacing w:line="360" w:lineRule="auto"/>
              <w:ind w:firstLine="0" w:firstLineChars="0"/>
              <w:contextualSpacing/>
              <w:rPr>
                <w:rFonts w:ascii="Times New Roman"/>
                <w:szCs w:val="21"/>
              </w:rPr>
            </w:pPr>
            <w:r>
              <w:rPr>
                <w:rFonts w:hint="eastAsia" w:ascii="Times New Roman"/>
                <w:color w:val="000000"/>
                <w:szCs w:val="21"/>
                <w:lang w:eastAsia="zh-CN"/>
              </w:rPr>
              <w:t>《</w:t>
            </w:r>
            <w:r>
              <w:rPr>
                <w:rFonts w:ascii="Times New Roman"/>
                <w:color w:val="000000"/>
                <w:szCs w:val="21"/>
              </w:rPr>
              <w:t>安徽省市场监督管理局关于下达202</w:t>
            </w:r>
            <w:r>
              <w:rPr>
                <w:rFonts w:hint="eastAsia" w:ascii="Times New Roman"/>
                <w:color w:val="000000"/>
                <w:szCs w:val="21"/>
                <w:lang w:val="en-US" w:eastAsia="zh-CN"/>
              </w:rPr>
              <w:t>4</w:t>
            </w:r>
            <w:r>
              <w:rPr>
                <w:rFonts w:ascii="Times New Roman"/>
                <w:color w:val="000000"/>
                <w:szCs w:val="21"/>
              </w:rPr>
              <w:t>年第</w:t>
            </w:r>
            <w:r>
              <w:rPr>
                <w:rFonts w:hint="eastAsia" w:ascii="Times New Roman"/>
                <w:color w:val="000000"/>
                <w:szCs w:val="21"/>
                <w:lang w:val="en-US" w:eastAsia="zh-CN"/>
              </w:rPr>
              <w:t>三</w:t>
            </w:r>
            <w:r>
              <w:rPr>
                <w:rFonts w:ascii="Times New Roman"/>
                <w:color w:val="000000"/>
                <w:szCs w:val="21"/>
              </w:rPr>
              <w:t>批安徽省地方标准制修订计划的通知》（皖市监函</w:t>
            </w:r>
            <w:r>
              <w:rPr>
                <w:rFonts w:ascii="Times New Roman" w:eastAsia="仿宋_GB2312"/>
                <w:color w:val="000000"/>
                <w:szCs w:val="21"/>
              </w:rPr>
              <w:t>〔</w:t>
            </w:r>
            <w:r>
              <w:rPr>
                <w:rFonts w:ascii="Times New Roman"/>
                <w:color w:val="000000"/>
                <w:szCs w:val="21"/>
              </w:rPr>
              <w:t>202</w:t>
            </w:r>
            <w:r>
              <w:rPr>
                <w:rFonts w:hint="eastAsia" w:ascii="Times New Roman"/>
                <w:color w:val="000000"/>
                <w:szCs w:val="21"/>
                <w:lang w:val="en-US" w:eastAsia="zh-CN"/>
              </w:rPr>
              <w:t>4</w:t>
            </w:r>
            <w:r>
              <w:rPr>
                <w:rFonts w:ascii="Times New Roman" w:eastAsia="仿宋_GB2312"/>
                <w:color w:val="000000"/>
                <w:szCs w:val="21"/>
              </w:rPr>
              <w:t>〕3</w:t>
            </w:r>
            <w:r>
              <w:rPr>
                <w:rFonts w:hint="eastAsia" w:ascii="Times New Roman" w:eastAsia="仿宋_GB2312"/>
                <w:color w:val="000000"/>
                <w:szCs w:val="21"/>
                <w:lang w:val="en-US" w:eastAsia="zh-CN"/>
              </w:rPr>
              <w:t>77</w:t>
            </w:r>
            <w:r>
              <w:rPr>
                <w:rFonts w:ascii="Times New Roman"/>
                <w:color w:val="000000"/>
                <w:szCs w:val="21"/>
              </w:rPr>
              <w:t>号），</w:t>
            </w:r>
            <w:r>
              <w:rPr>
                <w:rFonts w:ascii="Times New Roman"/>
                <w:color w:val="000000"/>
              </w:rPr>
              <w:t>项目计划号：</w:t>
            </w:r>
            <w:r>
              <w:rPr>
                <w:rFonts w:hint="eastAsia" w:ascii="Times New Roman"/>
                <w:color w:val="000000"/>
              </w:rPr>
              <w:t>2024-3-181</w:t>
            </w:r>
          </w:p>
        </w:tc>
      </w:tr>
      <w:tr w14:paraId="1C665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09" w:type="pct"/>
            <w:gridSpan w:val="2"/>
            <w:vAlign w:val="center"/>
          </w:tcPr>
          <w:p w14:paraId="7932701C">
            <w:pPr>
              <w:pStyle w:val="9"/>
              <w:adjustRightInd w:val="0"/>
              <w:spacing w:line="360" w:lineRule="auto"/>
              <w:ind w:firstLine="0" w:firstLineChars="0"/>
              <w:contextualSpacing/>
              <w:jc w:val="center"/>
              <w:rPr>
                <w:rFonts w:ascii="Times New Roman"/>
                <w:szCs w:val="21"/>
              </w:rPr>
            </w:pPr>
            <w:r>
              <w:rPr>
                <w:rFonts w:hint="eastAsia" w:ascii="Times New Roman"/>
                <w:szCs w:val="21"/>
                <w:lang w:val="en-US" w:eastAsia="zh-CN"/>
              </w:rPr>
              <w:t>第一</w:t>
            </w:r>
            <w:r>
              <w:rPr>
                <w:rFonts w:ascii="Times New Roman"/>
                <w:szCs w:val="21"/>
              </w:rPr>
              <w:t>起草单位</w:t>
            </w:r>
          </w:p>
          <w:p w14:paraId="6277F2EA">
            <w:pPr>
              <w:pStyle w:val="9"/>
              <w:adjustRightInd w:val="0"/>
              <w:spacing w:line="360" w:lineRule="auto"/>
              <w:ind w:firstLine="0" w:firstLineChars="0"/>
              <w:contextualSpacing/>
              <w:jc w:val="center"/>
              <w:rPr>
                <w:rFonts w:hint="eastAsia" w:ascii="Times New Roman" w:eastAsia="宋体"/>
                <w:szCs w:val="21"/>
                <w:lang w:eastAsia="zh-CN"/>
              </w:rPr>
            </w:pPr>
            <w:r>
              <w:rPr>
                <w:rFonts w:hint="eastAsia" w:ascii="Times New Roman"/>
                <w:szCs w:val="21"/>
                <w:lang w:eastAsia="zh-CN"/>
              </w:rPr>
              <w:t>（</w:t>
            </w:r>
            <w:r>
              <w:rPr>
                <w:rFonts w:hint="eastAsia" w:ascii="Times New Roman"/>
                <w:szCs w:val="21"/>
                <w:lang w:val="en-US" w:eastAsia="zh-CN"/>
              </w:rPr>
              <w:t>盖章</w:t>
            </w:r>
            <w:r>
              <w:rPr>
                <w:rFonts w:hint="eastAsia" w:ascii="Times New Roman"/>
                <w:szCs w:val="21"/>
                <w:lang w:eastAsia="zh-CN"/>
              </w:rPr>
              <w:t>）</w:t>
            </w:r>
          </w:p>
        </w:tc>
        <w:tc>
          <w:tcPr>
            <w:tcW w:w="4090" w:type="pct"/>
            <w:gridSpan w:val="4"/>
            <w:vAlign w:val="center"/>
          </w:tcPr>
          <w:p w14:paraId="297FE592">
            <w:pPr>
              <w:pStyle w:val="9"/>
              <w:adjustRightInd w:val="0"/>
              <w:spacing w:line="360" w:lineRule="auto"/>
              <w:ind w:firstLine="0" w:firstLineChars="0"/>
              <w:contextualSpacing/>
              <w:rPr>
                <w:rFonts w:ascii="Times New Roman"/>
                <w:szCs w:val="21"/>
              </w:rPr>
            </w:pPr>
            <w:r>
              <w:rPr>
                <w:rFonts w:ascii="Times New Roman"/>
                <w:szCs w:val="21"/>
              </w:rPr>
              <w:t>安徽省驷马山引江工程管理处</w:t>
            </w:r>
          </w:p>
        </w:tc>
      </w:tr>
      <w:tr w14:paraId="164E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9" w:type="pct"/>
            <w:gridSpan w:val="2"/>
            <w:vAlign w:val="center"/>
          </w:tcPr>
          <w:p w14:paraId="7C37E6A5">
            <w:pPr>
              <w:pStyle w:val="9"/>
              <w:adjustRightInd w:val="0"/>
              <w:spacing w:line="360" w:lineRule="auto"/>
              <w:ind w:firstLine="0" w:firstLineChars="0"/>
              <w:contextualSpacing/>
              <w:jc w:val="center"/>
              <w:rPr>
                <w:rFonts w:ascii="Times New Roman"/>
                <w:szCs w:val="21"/>
              </w:rPr>
            </w:pPr>
            <w:r>
              <w:rPr>
                <w:rFonts w:ascii="Times New Roman"/>
                <w:szCs w:val="21"/>
              </w:rPr>
              <w:t>单位地址</w:t>
            </w:r>
          </w:p>
        </w:tc>
        <w:tc>
          <w:tcPr>
            <w:tcW w:w="4090" w:type="pct"/>
            <w:gridSpan w:val="4"/>
            <w:vAlign w:val="center"/>
          </w:tcPr>
          <w:p w14:paraId="6F0CE926">
            <w:pPr>
              <w:pStyle w:val="9"/>
              <w:adjustRightInd w:val="0"/>
              <w:spacing w:line="360" w:lineRule="auto"/>
              <w:ind w:firstLine="0" w:firstLineChars="0"/>
              <w:contextualSpacing/>
              <w:rPr>
                <w:rFonts w:ascii="Times New Roman"/>
                <w:szCs w:val="21"/>
              </w:rPr>
            </w:pPr>
            <w:r>
              <w:rPr>
                <w:rFonts w:ascii="Times New Roman"/>
                <w:szCs w:val="21"/>
              </w:rPr>
              <w:t>马鞍山市和县乌江镇</w:t>
            </w:r>
          </w:p>
        </w:tc>
      </w:tr>
      <w:tr w14:paraId="526BA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9" w:type="pct"/>
            <w:gridSpan w:val="2"/>
            <w:vAlign w:val="center"/>
          </w:tcPr>
          <w:p w14:paraId="3EDE8BA4">
            <w:pPr>
              <w:pStyle w:val="9"/>
              <w:adjustRightInd w:val="0"/>
              <w:spacing w:line="360" w:lineRule="auto"/>
              <w:ind w:firstLine="0" w:firstLineChars="0"/>
              <w:contextualSpacing/>
              <w:jc w:val="center"/>
              <w:rPr>
                <w:rFonts w:ascii="Times New Roman"/>
                <w:szCs w:val="21"/>
              </w:rPr>
            </w:pPr>
            <w:r>
              <w:rPr>
                <w:rFonts w:ascii="Times New Roman"/>
                <w:szCs w:val="21"/>
              </w:rPr>
              <w:t>参与起草单位</w:t>
            </w:r>
          </w:p>
        </w:tc>
        <w:tc>
          <w:tcPr>
            <w:tcW w:w="4090" w:type="pct"/>
            <w:gridSpan w:val="4"/>
            <w:vAlign w:val="center"/>
          </w:tcPr>
          <w:p w14:paraId="14B20FA0">
            <w:pPr>
              <w:pStyle w:val="9"/>
              <w:adjustRightInd w:val="0"/>
              <w:spacing w:line="360" w:lineRule="auto"/>
              <w:ind w:firstLine="0" w:firstLineChars="0"/>
              <w:contextualSpacing/>
              <w:rPr>
                <w:rFonts w:ascii="Times New Roman"/>
                <w:szCs w:val="21"/>
              </w:rPr>
            </w:pPr>
            <w:r>
              <w:rPr>
                <w:rFonts w:hint="eastAsia" w:ascii="Times New Roman"/>
                <w:szCs w:val="21"/>
              </w:rPr>
              <w:t>安徽省河川项目管理咨询有限公司</w:t>
            </w:r>
          </w:p>
        </w:tc>
      </w:tr>
      <w:tr w14:paraId="3892E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5000" w:type="pct"/>
            <w:gridSpan w:val="6"/>
            <w:vAlign w:val="center"/>
          </w:tcPr>
          <w:p w14:paraId="3CDDDDFB">
            <w:pPr>
              <w:pStyle w:val="9"/>
              <w:adjustRightInd w:val="0"/>
              <w:spacing w:line="360" w:lineRule="auto"/>
              <w:ind w:firstLine="0" w:firstLineChars="0"/>
              <w:contextualSpacing/>
              <w:jc w:val="center"/>
              <w:rPr>
                <w:rFonts w:ascii="Times New Roman"/>
                <w:b/>
                <w:szCs w:val="21"/>
              </w:rPr>
            </w:pPr>
            <w:r>
              <w:rPr>
                <w:rFonts w:ascii="Times New Roman"/>
                <w:b/>
                <w:szCs w:val="21"/>
              </w:rPr>
              <w:t>标准起草人</w:t>
            </w:r>
          </w:p>
          <w:p w14:paraId="7AD84CD8">
            <w:pPr>
              <w:pStyle w:val="9"/>
              <w:adjustRightInd w:val="0"/>
              <w:spacing w:line="360" w:lineRule="auto"/>
              <w:ind w:firstLine="0" w:firstLineChars="0"/>
              <w:contextualSpacing/>
              <w:jc w:val="center"/>
              <w:rPr>
                <w:rFonts w:ascii="Times New Roman"/>
                <w:szCs w:val="21"/>
              </w:rPr>
            </w:pPr>
            <w:r>
              <w:rPr>
                <w:rFonts w:ascii="Times New Roman"/>
                <w:szCs w:val="21"/>
              </w:rPr>
              <w:t>（全部起草人，应与标准文本前言中起草人排序一致）</w:t>
            </w:r>
          </w:p>
        </w:tc>
      </w:tr>
      <w:tr w14:paraId="6B6C6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27" w:type="pct"/>
            <w:vAlign w:val="center"/>
          </w:tcPr>
          <w:p w14:paraId="625E9EEA">
            <w:pPr>
              <w:pStyle w:val="9"/>
              <w:adjustRightInd w:val="0"/>
              <w:spacing w:line="360" w:lineRule="auto"/>
              <w:ind w:firstLine="0" w:firstLineChars="0"/>
              <w:contextualSpacing/>
              <w:jc w:val="center"/>
              <w:rPr>
                <w:rFonts w:ascii="Times New Roman"/>
                <w:szCs w:val="21"/>
              </w:rPr>
            </w:pPr>
            <w:r>
              <w:rPr>
                <w:rFonts w:ascii="Times New Roman"/>
                <w:szCs w:val="21"/>
              </w:rPr>
              <w:t>序号</w:t>
            </w:r>
          </w:p>
        </w:tc>
        <w:tc>
          <w:tcPr>
            <w:tcW w:w="582" w:type="pct"/>
            <w:vAlign w:val="center"/>
          </w:tcPr>
          <w:p w14:paraId="1B12A56D">
            <w:pPr>
              <w:pStyle w:val="9"/>
              <w:adjustRightInd w:val="0"/>
              <w:spacing w:line="360" w:lineRule="auto"/>
              <w:ind w:firstLine="0" w:firstLineChars="0"/>
              <w:contextualSpacing/>
              <w:jc w:val="center"/>
              <w:rPr>
                <w:rFonts w:ascii="Times New Roman"/>
                <w:szCs w:val="21"/>
              </w:rPr>
            </w:pPr>
            <w:r>
              <w:rPr>
                <w:rFonts w:ascii="Times New Roman"/>
                <w:szCs w:val="21"/>
              </w:rPr>
              <w:t>姓名</w:t>
            </w:r>
          </w:p>
        </w:tc>
        <w:tc>
          <w:tcPr>
            <w:tcW w:w="1833" w:type="pct"/>
            <w:vAlign w:val="center"/>
          </w:tcPr>
          <w:p w14:paraId="2BF7D687">
            <w:pPr>
              <w:pStyle w:val="9"/>
              <w:adjustRightInd w:val="0"/>
              <w:spacing w:line="360" w:lineRule="auto"/>
              <w:ind w:firstLine="0" w:firstLineChars="0"/>
              <w:contextualSpacing/>
              <w:jc w:val="center"/>
              <w:rPr>
                <w:rFonts w:ascii="Times New Roman"/>
                <w:szCs w:val="21"/>
              </w:rPr>
            </w:pPr>
            <w:r>
              <w:rPr>
                <w:rFonts w:ascii="Times New Roman"/>
                <w:szCs w:val="21"/>
              </w:rPr>
              <w:t>单位</w:t>
            </w:r>
          </w:p>
        </w:tc>
        <w:tc>
          <w:tcPr>
            <w:tcW w:w="694" w:type="pct"/>
            <w:vAlign w:val="center"/>
          </w:tcPr>
          <w:p w14:paraId="06DF0FEE">
            <w:pPr>
              <w:pStyle w:val="9"/>
              <w:adjustRightInd w:val="0"/>
              <w:spacing w:line="360" w:lineRule="auto"/>
              <w:ind w:firstLine="0" w:firstLineChars="0"/>
              <w:contextualSpacing/>
              <w:jc w:val="center"/>
              <w:rPr>
                <w:rFonts w:ascii="Times New Roman"/>
                <w:szCs w:val="21"/>
              </w:rPr>
            </w:pPr>
            <w:r>
              <w:rPr>
                <w:rFonts w:ascii="Times New Roman"/>
                <w:szCs w:val="21"/>
              </w:rPr>
              <w:t>职务</w:t>
            </w:r>
          </w:p>
        </w:tc>
        <w:tc>
          <w:tcPr>
            <w:tcW w:w="739" w:type="pct"/>
            <w:vAlign w:val="center"/>
          </w:tcPr>
          <w:p w14:paraId="7F89877C">
            <w:pPr>
              <w:pStyle w:val="9"/>
              <w:adjustRightInd w:val="0"/>
              <w:spacing w:line="360" w:lineRule="auto"/>
              <w:ind w:firstLine="0" w:firstLineChars="0"/>
              <w:contextualSpacing/>
              <w:jc w:val="center"/>
              <w:rPr>
                <w:rFonts w:ascii="Times New Roman"/>
                <w:szCs w:val="21"/>
              </w:rPr>
            </w:pPr>
            <w:r>
              <w:rPr>
                <w:rFonts w:ascii="Times New Roman"/>
                <w:szCs w:val="21"/>
              </w:rPr>
              <w:t>职称</w:t>
            </w:r>
          </w:p>
        </w:tc>
        <w:tc>
          <w:tcPr>
            <w:tcW w:w="822" w:type="pct"/>
            <w:vAlign w:val="center"/>
          </w:tcPr>
          <w:p w14:paraId="5C81C601">
            <w:pPr>
              <w:pStyle w:val="9"/>
              <w:adjustRightInd w:val="0"/>
              <w:spacing w:line="360" w:lineRule="auto"/>
              <w:ind w:firstLine="0" w:firstLineChars="0"/>
              <w:contextualSpacing/>
              <w:jc w:val="center"/>
              <w:rPr>
                <w:rFonts w:ascii="Times New Roman"/>
                <w:szCs w:val="21"/>
              </w:rPr>
            </w:pPr>
            <w:r>
              <w:rPr>
                <w:rFonts w:ascii="Times New Roman"/>
                <w:szCs w:val="21"/>
              </w:rPr>
              <w:t>电话</w:t>
            </w:r>
          </w:p>
        </w:tc>
      </w:tr>
      <w:tr w14:paraId="1F5DD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 w:type="pct"/>
            <w:vAlign w:val="center"/>
          </w:tcPr>
          <w:p w14:paraId="74D991D5">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582" w:type="pct"/>
            <w:vAlign w:val="center"/>
          </w:tcPr>
          <w:p w14:paraId="5C822FC1">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1833" w:type="pct"/>
            <w:vAlign w:val="center"/>
          </w:tcPr>
          <w:p w14:paraId="030F3EF1">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694" w:type="pct"/>
            <w:vAlign w:val="center"/>
          </w:tcPr>
          <w:p w14:paraId="2A8A865F">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eastAsia" w:ascii="Times New Roman" w:eastAsia="宋体"/>
                <w:szCs w:val="21"/>
                <w:lang w:eastAsia="zh-CN"/>
              </w:rPr>
            </w:pPr>
          </w:p>
        </w:tc>
        <w:tc>
          <w:tcPr>
            <w:tcW w:w="739" w:type="pct"/>
            <w:vAlign w:val="center"/>
          </w:tcPr>
          <w:p w14:paraId="44E078F4">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822" w:type="pct"/>
            <w:vAlign w:val="center"/>
          </w:tcPr>
          <w:p w14:paraId="0E733023">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r>
      <w:tr w14:paraId="0D26A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 w:type="pct"/>
            <w:vAlign w:val="center"/>
          </w:tcPr>
          <w:p w14:paraId="04A6CD09">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hAnsi="Times New Roman" w:eastAsia="宋体" w:cs="Times New Roman"/>
                <w:sz w:val="21"/>
                <w:szCs w:val="21"/>
                <w:lang w:val="en-US" w:eastAsia="zh-CN" w:bidi="ar-SA"/>
              </w:rPr>
            </w:pPr>
          </w:p>
        </w:tc>
        <w:tc>
          <w:tcPr>
            <w:tcW w:w="582" w:type="pct"/>
            <w:vAlign w:val="center"/>
          </w:tcPr>
          <w:p w14:paraId="417AF215">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eastAsia" w:ascii="Times New Roman" w:hAnsi="Times New Roman" w:eastAsia="宋体" w:cs="Times New Roman"/>
                <w:sz w:val="21"/>
                <w:szCs w:val="21"/>
                <w:lang w:val="en-US" w:eastAsia="zh-CN" w:bidi="ar-SA"/>
              </w:rPr>
            </w:pPr>
          </w:p>
        </w:tc>
        <w:tc>
          <w:tcPr>
            <w:tcW w:w="1833" w:type="pct"/>
            <w:vAlign w:val="center"/>
          </w:tcPr>
          <w:p w14:paraId="2894124A">
            <w:pPr>
              <w:keepNext w:val="0"/>
              <w:keepLines w:val="0"/>
              <w:pageBreakBefore w:val="0"/>
              <w:kinsoku/>
              <w:wordWrap/>
              <w:overflowPunct/>
              <w:topLinePunct w:val="0"/>
              <w:bidi w:val="0"/>
              <w:adjustRightInd w:val="0"/>
              <w:snapToGrid/>
              <w:spacing w:line="360" w:lineRule="auto"/>
              <w:jc w:val="center"/>
              <w:textAlignment w:val="auto"/>
              <w:rPr>
                <w:rFonts w:ascii="Times New Roman" w:hAnsi="Times New Roman" w:eastAsia="宋体" w:cs="Times New Roman"/>
                <w:kern w:val="2"/>
                <w:sz w:val="21"/>
                <w:szCs w:val="21"/>
                <w:lang w:val="en-US" w:eastAsia="zh-CN" w:bidi="ar-SA"/>
              </w:rPr>
            </w:pPr>
          </w:p>
        </w:tc>
        <w:tc>
          <w:tcPr>
            <w:tcW w:w="694" w:type="pct"/>
            <w:vAlign w:val="center"/>
          </w:tcPr>
          <w:p w14:paraId="7AB02020">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hAnsi="Times New Roman" w:eastAsia="宋体" w:cs="Times New Roman"/>
                <w:sz w:val="21"/>
                <w:szCs w:val="21"/>
                <w:lang w:val="en-US" w:eastAsia="zh-CN" w:bidi="ar-SA"/>
              </w:rPr>
            </w:pPr>
          </w:p>
        </w:tc>
        <w:tc>
          <w:tcPr>
            <w:tcW w:w="739" w:type="pct"/>
            <w:vAlign w:val="center"/>
          </w:tcPr>
          <w:p w14:paraId="2C1A72A7">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hAnsi="Times New Roman" w:eastAsia="宋体" w:cs="Times New Roman"/>
                <w:sz w:val="21"/>
                <w:szCs w:val="21"/>
                <w:lang w:val="en-US" w:eastAsia="zh-CN" w:bidi="ar-SA"/>
              </w:rPr>
            </w:pPr>
          </w:p>
        </w:tc>
        <w:tc>
          <w:tcPr>
            <w:tcW w:w="822" w:type="pct"/>
            <w:vAlign w:val="center"/>
          </w:tcPr>
          <w:p w14:paraId="3F731D75">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default" w:ascii="Times New Roman" w:hAnsi="Times New Roman" w:eastAsia="宋体" w:cs="Times New Roman"/>
                <w:sz w:val="21"/>
                <w:szCs w:val="21"/>
                <w:lang w:val="en-US" w:eastAsia="zh-CN" w:bidi="ar-SA"/>
              </w:rPr>
            </w:pPr>
          </w:p>
        </w:tc>
      </w:tr>
      <w:tr w14:paraId="0C14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 w:type="pct"/>
            <w:vAlign w:val="center"/>
          </w:tcPr>
          <w:p w14:paraId="6B222471">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hAnsi="Times New Roman" w:eastAsia="宋体" w:cs="Times New Roman"/>
                <w:sz w:val="21"/>
                <w:szCs w:val="21"/>
                <w:lang w:val="en-US" w:eastAsia="zh-CN" w:bidi="ar-SA"/>
              </w:rPr>
            </w:pPr>
          </w:p>
        </w:tc>
        <w:tc>
          <w:tcPr>
            <w:tcW w:w="582" w:type="pct"/>
            <w:vAlign w:val="center"/>
          </w:tcPr>
          <w:p w14:paraId="4AC81176">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1833" w:type="pct"/>
            <w:vAlign w:val="center"/>
          </w:tcPr>
          <w:p w14:paraId="7766A0A5">
            <w:pPr>
              <w:keepNext w:val="0"/>
              <w:keepLines w:val="0"/>
              <w:pageBreakBefore w:val="0"/>
              <w:kinsoku/>
              <w:wordWrap/>
              <w:overflowPunct/>
              <w:topLinePunct w:val="0"/>
              <w:bidi w:val="0"/>
              <w:adjustRightInd w:val="0"/>
              <w:snapToGrid/>
              <w:spacing w:line="360" w:lineRule="auto"/>
              <w:jc w:val="center"/>
              <w:textAlignment w:val="auto"/>
              <w:rPr>
                <w:szCs w:val="21"/>
              </w:rPr>
            </w:pPr>
          </w:p>
        </w:tc>
        <w:tc>
          <w:tcPr>
            <w:tcW w:w="694" w:type="pct"/>
            <w:vAlign w:val="center"/>
          </w:tcPr>
          <w:p w14:paraId="335098F1">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739" w:type="pct"/>
            <w:vAlign w:val="center"/>
          </w:tcPr>
          <w:p w14:paraId="3B9DB99F">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822" w:type="pct"/>
            <w:vAlign w:val="center"/>
          </w:tcPr>
          <w:p w14:paraId="5ECEACB0">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r>
      <w:tr w14:paraId="52D4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 w:type="pct"/>
            <w:vAlign w:val="center"/>
          </w:tcPr>
          <w:p w14:paraId="33A2421E">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hAnsi="Times New Roman" w:eastAsia="宋体" w:cs="Times New Roman"/>
                <w:sz w:val="21"/>
                <w:szCs w:val="21"/>
                <w:lang w:val="en-US" w:eastAsia="zh-CN" w:bidi="ar-SA"/>
              </w:rPr>
            </w:pPr>
          </w:p>
        </w:tc>
        <w:tc>
          <w:tcPr>
            <w:tcW w:w="582" w:type="pct"/>
            <w:vAlign w:val="center"/>
          </w:tcPr>
          <w:p w14:paraId="13250669">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hAnsi="Times New Roman" w:eastAsia="宋体" w:cs="Times New Roman"/>
                <w:sz w:val="21"/>
                <w:szCs w:val="21"/>
                <w:lang w:val="en-US" w:eastAsia="zh-CN" w:bidi="ar-SA"/>
              </w:rPr>
            </w:pPr>
          </w:p>
        </w:tc>
        <w:tc>
          <w:tcPr>
            <w:tcW w:w="1833" w:type="pct"/>
            <w:vAlign w:val="center"/>
          </w:tcPr>
          <w:p w14:paraId="2AA5B5FC">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hAnsi="Times New Roman" w:eastAsia="宋体" w:cs="Times New Roman"/>
                <w:sz w:val="21"/>
                <w:szCs w:val="21"/>
                <w:lang w:val="en-US" w:eastAsia="zh-CN" w:bidi="ar-SA"/>
              </w:rPr>
            </w:pPr>
          </w:p>
        </w:tc>
        <w:tc>
          <w:tcPr>
            <w:tcW w:w="694" w:type="pct"/>
            <w:vAlign w:val="center"/>
          </w:tcPr>
          <w:p w14:paraId="3FE4AC38">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hAnsi="Times New Roman" w:eastAsia="宋体" w:cs="Times New Roman"/>
                <w:sz w:val="21"/>
                <w:szCs w:val="21"/>
                <w:lang w:val="en-US" w:eastAsia="zh-CN" w:bidi="ar-SA"/>
              </w:rPr>
            </w:pPr>
          </w:p>
        </w:tc>
        <w:tc>
          <w:tcPr>
            <w:tcW w:w="739" w:type="pct"/>
            <w:vAlign w:val="center"/>
          </w:tcPr>
          <w:p w14:paraId="0F2886EB">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eastAsia" w:ascii="Times New Roman" w:hAnsi="Times New Roman" w:eastAsia="宋体" w:cs="Times New Roman"/>
                <w:sz w:val="21"/>
                <w:szCs w:val="21"/>
                <w:lang w:val="en-US" w:eastAsia="zh-CN" w:bidi="ar-SA"/>
              </w:rPr>
            </w:pPr>
          </w:p>
        </w:tc>
        <w:tc>
          <w:tcPr>
            <w:tcW w:w="822" w:type="pct"/>
            <w:vAlign w:val="center"/>
          </w:tcPr>
          <w:p w14:paraId="42565216">
            <w:pPr>
              <w:pStyle w:val="9"/>
              <w:keepNext w:val="0"/>
              <w:keepLines w:val="0"/>
              <w:pageBreakBefore w:val="0"/>
              <w:kinsoku/>
              <w:wordWrap/>
              <w:overflowPunct/>
              <w:topLinePunct w:val="0"/>
              <w:bidi w:val="0"/>
              <w:adjustRightInd w:val="0"/>
              <w:snapToGrid/>
              <w:spacing w:line="360" w:lineRule="auto"/>
              <w:ind w:firstLine="0" w:firstLineChars="0"/>
              <w:jc w:val="center"/>
              <w:textAlignment w:val="auto"/>
              <w:rPr>
                <w:rFonts w:hint="default" w:ascii="Times New Roman" w:hAnsi="Times New Roman" w:eastAsia="宋体" w:cs="Times New Roman"/>
                <w:sz w:val="21"/>
                <w:szCs w:val="21"/>
                <w:lang w:val="en-US" w:eastAsia="zh-CN" w:bidi="ar-SA"/>
              </w:rPr>
            </w:pPr>
          </w:p>
        </w:tc>
      </w:tr>
      <w:tr w14:paraId="18CA9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 w:type="pct"/>
            <w:vAlign w:val="center"/>
          </w:tcPr>
          <w:p w14:paraId="020A86B5">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hAnsi="Times New Roman" w:eastAsia="宋体" w:cs="Times New Roman"/>
                <w:sz w:val="21"/>
                <w:szCs w:val="21"/>
                <w:lang w:val="en-US" w:eastAsia="zh-CN" w:bidi="ar-SA"/>
              </w:rPr>
            </w:pPr>
          </w:p>
        </w:tc>
        <w:tc>
          <w:tcPr>
            <w:tcW w:w="582" w:type="pct"/>
            <w:vAlign w:val="center"/>
          </w:tcPr>
          <w:p w14:paraId="7F277D33">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1833" w:type="pct"/>
            <w:vAlign w:val="center"/>
          </w:tcPr>
          <w:p w14:paraId="21F127C7">
            <w:pPr>
              <w:keepNext w:val="0"/>
              <w:keepLines w:val="0"/>
              <w:pageBreakBefore w:val="0"/>
              <w:kinsoku/>
              <w:wordWrap/>
              <w:overflowPunct/>
              <w:topLinePunct w:val="0"/>
              <w:bidi w:val="0"/>
              <w:adjustRightInd w:val="0"/>
              <w:snapToGrid/>
              <w:spacing w:line="360" w:lineRule="auto"/>
              <w:jc w:val="center"/>
              <w:textAlignment w:val="auto"/>
              <w:rPr>
                <w:szCs w:val="21"/>
              </w:rPr>
            </w:pPr>
          </w:p>
        </w:tc>
        <w:tc>
          <w:tcPr>
            <w:tcW w:w="694" w:type="pct"/>
            <w:vAlign w:val="center"/>
          </w:tcPr>
          <w:p w14:paraId="514EF483">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eastAsia" w:ascii="Times New Roman" w:eastAsia="宋体"/>
                <w:szCs w:val="21"/>
                <w:lang w:eastAsia="zh-CN"/>
              </w:rPr>
            </w:pPr>
          </w:p>
        </w:tc>
        <w:tc>
          <w:tcPr>
            <w:tcW w:w="739" w:type="pct"/>
            <w:vAlign w:val="center"/>
          </w:tcPr>
          <w:p w14:paraId="62F26FDD">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822" w:type="pct"/>
            <w:vAlign w:val="center"/>
          </w:tcPr>
          <w:p w14:paraId="22FD29CF">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default" w:ascii="Times New Roman" w:eastAsia="宋体"/>
                <w:szCs w:val="21"/>
                <w:lang w:val="en-US" w:eastAsia="zh-CN"/>
              </w:rPr>
            </w:pPr>
          </w:p>
        </w:tc>
      </w:tr>
      <w:tr w14:paraId="4461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 w:type="pct"/>
            <w:vAlign w:val="center"/>
          </w:tcPr>
          <w:p w14:paraId="173BF421">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582" w:type="pct"/>
            <w:shd w:val="clear" w:color="auto" w:fill="auto"/>
            <w:vAlign w:val="center"/>
          </w:tcPr>
          <w:p w14:paraId="293B96D4">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hAnsi="Times New Roman" w:eastAsia="宋体" w:cs="Times New Roman"/>
                <w:sz w:val="21"/>
                <w:szCs w:val="21"/>
                <w:lang w:val="en-US" w:eastAsia="zh-CN" w:bidi="ar-SA"/>
              </w:rPr>
            </w:pPr>
          </w:p>
        </w:tc>
        <w:tc>
          <w:tcPr>
            <w:tcW w:w="1833" w:type="pct"/>
            <w:shd w:val="clear" w:color="auto" w:fill="auto"/>
            <w:vAlign w:val="center"/>
          </w:tcPr>
          <w:p w14:paraId="691B663E">
            <w:pPr>
              <w:keepNext w:val="0"/>
              <w:keepLines w:val="0"/>
              <w:pageBreakBefore w:val="0"/>
              <w:kinsoku/>
              <w:wordWrap/>
              <w:overflowPunct/>
              <w:topLinePunct w:val="0"/>
              <w:bidi w:val="0"/>
              <w:adjustRightInd w:val="0"/>
              <w:snapToGrid/>
              <w:spacing w:line="360" w:lineRule="auto"/>
              <w:jc w:val="center"/>
              <w:textAlignment w:val="auto"/>
              <w:rPr>
                <w:rFonts w:ascii="Times New Roman" w:hAnsi="Times New Roman" w:eastAsia="宋体" w:cs="Times New Roman"/>
                <w:kern w:val="2"/>
                <w:sz w:val="21"/>
                <w:szCs w:val="21"/>
                <w:lang w:val="en-US" w:eastAsia="zh-CN" w:bidi="ar-SA"/>
              </w:rPr>
            </w:pPr>
          </w:p>
        </w:tc>
        <w:tc>
          <w:tcPr>
            <w:tcW w:w="694" w:type="pct"/>
            <w:vAlign w:val="center"/>
          </w:tcPr>
          <w:p w14:paraId="5E43C202">
            <w:pPr>
              <w:keepNext w:val="0"/>
              <w:keepLines w:val="0"/>
              <w:pageBreakBefore w:val="0"/>
              <w:kinsoku/>
              <w:wordWrap/>
              <w:overflowPunct/>
              <w:topLinePunct w:val="0"/>
              <w:bidi w:val="0"/>
              <w:adjustRightInd w:val="0"/>
              <w:snapToGrid/>
              <w:spacing w:line="360" w:lineRule="auto"/>
              <w:jc w:val="center"/>
              <w:textAlignment w:val="auto"/>
              <w:rPr>
                <w:szCs w:val="21"/>
              </w:rPr>
            </w:pPr>
          </w:p>
        </w:tc>
        <w:tc>
          <w:tcPr>
            <w:tcW w:w="739" w:type="pct"/>
            <w:vAlign w:val="center"/>
          </w:tcPr>
          <w:p w14:paraId="75CFBF13">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822" w:type="pct"/>
            <w:vAlign w:val="center"/>
          </w:tcPr>
          <w:p w14:paraId="6AC298D3">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default" w:ascii="Times New Roman" w:eastAsia="宋体"/>
                <w:szCs w:val="21"/>
                <w:lang w:val="en-US" w:eastAsia="zh-CN"/>
              </w:rPr>
            </w:pPr>
          </w:p>
        </w:tc>
      </w:tr>
      <w:tr w14:paraId="04D0C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 w:type="pct"/>
            <w:vAlign w:val="center"/>
          </w:tcPr>
          <w:p w14:paraId="391CCD53">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582" w:type="pct"/>
            <w:vAlign w:val="center"/>
          </w:tcPr>
          <w:p w14:paraId="5BA7E700">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1833" w:type="pct"/>
            <w:vAlign w:val="center"/>
          </w:tcPr>
          <w:p w14:paraId="7E2ECF17">
            <w:pPr>
              <w:keepNext w:val="0"/>
              <w:keepLines w:val="0"/>
              <w:pageBreakBefore w:val="0"/>
              <w:kinsoku/>
              <w:wordWrap/>
              <w:overflowPunct/>
              <w:topLinePunct w:val="0"/>
              <w:bidi w:val="0"/>
              <w:adjustRightInd w:val="0"/>
              <w:snapToGrid/>
              <w:spacing w:line="360" w:lineRule="auto"/>
              <w:jc w:val="center"/>
              <w:textAlignment w:val="auto"/>
              <w:rPr>
                <w:szCs w:val="21"/>
              </w:rPr>
            </w:pPr>
          </w:p>
        </w:tc>
        <w:tc>
          <w:tcPr>
            <w:tcW w:w="694" w:type="pct"/>
            <w:vAlign w:val="center"/>
          </w:tcPr>
          <w:p w14:paraId="4BDBB991">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eastAsia" w:ascii="Times New Roman" w:eastAsia="宋体"/>
                <w:szCs w:val="21"/>
                <w:lang w:val="en-US" w:eastAsia="zh-CN"/>
              </w:rPr>
            </w:pPr>
          </w:p>
        </w:tc>
        <w:tc>
          <w:tcPr>
            <w:tcW w:w="739" w:type="pct"/>
            <w:vAlign w:val="center"/>
          </w:tcPr>
          <w:p w14:paraId="6594B1DE">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822" w:type="pct"/>
            <w:vAlign w:val="center"/>
          </w:tcPr>
          <w:p w14:paraId="617323D8">
            <w:pPr>
              <w:pStyle w:val="9"/>
              <w:keepNext w:val="0"/>
              <w:keepLines w:val="0"/>
              <w:pageBreakBefore w:val="0"/>
              <w:kinsoku/>
              <w:wordWrap/>
              <w:overflowPunct/>
              <w:topLinePunct w:val="0"/>
              <w:bidi w:val="0"/>
              <w:adjustRightInd w:val="0"/>
              <w:snapToGrid/>
              <w:spacing w:line="360" w:lineRule="auto"/>
              <w:ind w:firstLine="0" w:firstLineChars="0"/>
              <w:jc w:val="center"/>
              <w:textAlignment w:val="auto"/>
              <w:rPr>
                <w:rFonts w:hint="default" w:ascii="Times New Roman" w:eastAsia="宋体"/>
                <w:szCs w:val="21"/>
                <w:lang w:val="en-US" w:eastAsia="zh-CN"/>
              </w:rPr>
            </w:pPr>
          </w:p>
        </w:tc>
      </w:tr>
      <w:tr w14:paraId="17614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 w:type="pct"/>
            <w:vAlign w:val="center"/>
          </w:tcPr>
          <w:p w14:paraId="60BF2D69">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582" w:type="pct"/>
            <w:vAlign w:val="center"/>
          </w:tcPr>
          <w:p w14:paraId="0709EE5C">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1833" w:type="pct"/>
            <w:shd w:val="clear" w:color="auto" w:fill="auto"/>
            <w:vAlign w:val="center"/>
          </w:tcPr>
          <w:p w14:paraId="17A10044">
            <w:pPr>
              <w:keepNext w:val="0"/>
              <w:keepLines w:val="0"/>
              <w:pageBreakBefore w:val="0"/>
              <w:kinsoku/>
              <w:wordWrap/>
              <w:overflowPunct/>
              <w:topLinePunct w:val="0"/>
              <w:bidi w:val="0"/>
              <w:adjustRightInd w:val="0"/>
              <w:snapToGrid/>
              <w:spacing w:line="360" w:lineRule="auto"/>
              <w:jc w:val="center"/>
              <w:textAlignment w:val="auto"/>
              <w:rPr>
                <w:rFonts w:ascii="Times New Roman" w:hAnsi="Times New Roman" w:eastAsia="宋体" w:cs="Times New Roman"/>
                <w:kern w:val="2"/>
                <w:sz w:val="21"/>
                <w:szCs w:val="21"/>
                <w:lang w:val="en-US" w:eastAsia="zh-CN" w:bidi="ar-SA"/>
              </w:rPr>
            </w:pPr>
          </w:p>
        </w:tc>
        <w:tc>
          <w:tcPr>
            <w:tcW w:w="694" w:type="pct"/>
            <w:shd w:val="clear" w:color="auto" w:fill="auto"/>
            <w:vAlign w:val="center"/>
          </w:tcPr>
          <w:p w14:paraId="7C883CDE">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eastAsia" w:ascii="Times New Roman" w:hAnsi="Times New Roman" w:eastAsia="宋体" w:cs="Times New Roman"/>
                <w:sz w:val="21"/>
                <w:szCs w:val="21"/>
                <w:lang w:val="en-US" w:eastAsia="zh-CN" w:bidi="ar-SA"/>
              </w:rPr>
            </w:pPr>
          </w:p>
        </w:tc>
        <w:tc>
          <w:tcPr>
            <w:tcW w:w="739" w:type="pct"/>
            <w:shd w:val="clear" w:color="auto" w:fill="auto"/>
            <w:vAlign w:val="center"/>
          </w:tcPr>
          <w:p w14:paraId="38CD9B8D">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hAnsi="Times New Roman" w:eastAsia="宋体" w:cs="Times New Roman"/>
                <w:sz w:val="21"/>
                <w:szCs w:val="21"/>
                <w:lang w:val="en-US" w:eastAsia="zh-CN" w:bidi="ar-SA"/>
              </w:rPr>
            </w:pPr>
          </w:p>
        </w:tc>
        <w:tc>
          <w:tcPr>
            <w:tcW w:w="822" w:type="pct"/>
            <w:vAlign w:val="center"/>
          </w:tcPr>
          <w:p w14:paraId="2D42F634">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default" w:ascii="Times New Roman" w:eastAsia="宋体"/>
                <w:szCs w:val="21"/>
                <w:lang w:val="en-US" w:eastAsia="zh-CN"/>
              </w:rPr>
            </w:pPr>
          </w:p>
        </w:tc>
      </w:tr>
      <w:tr w14:paraId="0F1C1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 w:type="pct"/>
            <w:vAlign w:val="center"/>
          </w:tcPr>
          <w:p w14:paraId="116FB833">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582" w:type="pct"/>
            <w:vAlign w:val="center"/>
          </w:tcPr>
          <w:p w14:paraId="317A72C6">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1833" w:type="pct"/>
            <w:shd w:val="clear" w:color="auto" w:fill="auto"/>
            <w:vAlign w:val="center"/>
          </w:tcPr>
          <w:p w14:paraId="3492730A">
            <w:pPr>
              <w:keepNext w:val="0"/>
              <w:keepLines w:val="0"/>
              <w:pageBreakBefore w:val="0"/>
              <w:kinsoku/>
              <w:wordWrap/>
              <w:overflowPunct/>
              <w:topLinePunct w:val="0"/>
              <w:bidi w:val="0"/>
              <w:adjustRightInd w:val="0"/>
              <w:snapToGrid/>
              <w:spacing w:line="360" w:lineRule="auto"/>
              <w:jc w:val="center"/>
              <w:textAlignment w:val="auto"/>
              <w:rPr>
                <w:rFonts w:ascii="Times New Roman" w:hAnsi="Times New Roman" w:eastAsia="宋体" w:cs="Times New Roman"/>
                <w:kern w:val="2"/>
                <w:sz w:val="21"/>
                <w:szCs w:val="21"/>
                <w:lang w:val="en-US" w:eastAsia="zh-CN" w:bidi="ar-SA"/>
              </w:rPr>
            </w:pPr>
          </w:p>
        </w:tc>
        <w:tc>
          <w:tcPr>
            <w:tcW w:w="694" w:type="pct"/>
            <w:shd w:val="clear" w:color="auto" w:fill="auto"/>
            <w:vAlign w:val="center"/>
          </w:tcPr>
          <w:p w14:paraId="741CFFCE">
            <w:pPr>
              <w:keepNext w:val="0"/>
              <w:keepLines w:val="0"/>
              <w:pageBreakBefore w:val="0"/>
              <w:kinsoku/>
              <w:wordWrap/>
              <w:overflowPunct/>
              <w:topLinePunct w:val="0"/>
              <w:bidi w:val="0"/>
              <w:adjustRightInd w:val="0"/>
              <w:snapToGrid/>
              <w:spacing w:line="360" w:lineRule="auto"/>
              <w:jc w:val="center"/>
              <w:textAlignment w:val="auto"/>
              <w:rPr>
                <w:rFonts w:ascii="Times New Roman" w:hAnsi="Times New Roman" w:eastAsia="宋体" w:cs="Times New Roman"/>
                <w:kern w:val="2"/>
                <w:sz w:val="21"/>
                <w:szCs w:val="21"/>
                <w:lang w:val="en-US" w:eastAsia="zh-CN" w:bidi="ar-SA"/>
              </w:rPr>
            </w:pPr>
          </w:p>
        </w:tc>
        <w:tc>
          <w:tcPr>
            <w:tcW w:w="739" w:type="pct"/>
            <w:shd w:val="clear" w:color="auto" w:fill="auto"/>
            <w:vAlign w:val="center"/>
          </w:tcPr>
          <w:p w14:paraId="0D7BFBA7">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hAnsi="Times New Roman" w:eastAsia="宋体" w:cs="Times New Roman"/>
                <w:sz w:val="21"/>
                <w:szCs w:val="21"/>
                <w:lang w:val="en-US" w:eastAsia="zh-CN" w:bidi="ar-SA"/>
              </w:rPr>
            </w:pPr>
          </w:p>
        </w:tc>
        <w:tc>
          <w:tcPr>
            <w:tcW w:w="822" w:type="pct"/>
            <w:vAlign w:val="center"/>
          </w:tcPr>
          <w:p w14:paraId="6F0F8B41">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default" w:ascii="Times New Roman" w:eastAsia="宋体"/>
                <w:szCs w:val="21"/>
                <w:lang w:val="en-US" w:eastAsia="zh-CN"/>
              </w:rPr>
            </w:pPr>
          </w:p>
        </w:tc>
      </w:tr>
      <w:tr w14:paraId="4E2E5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 w:type="pct"/>
            <w:vAlign w:val="center"/>
          </w:tcPr>
          <w:p w14:paraId="33E96C72">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582" w:type="pct"/>
            <w:vAlign w:val="center"/>
          </w:tcPr>
          <w:p w14:paraId="5372DAA6">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1833" w:type="pct"/>
            <w:shd w:val="clear" w:color="auto" w:fill="auto"/>
            <w:vAlign w:val="center"/>
          </w:tcPr>
          <w:p w14:paraId="685A7CE3">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hAnsi="Times New Roman" w:eastAsia="宋体" w:cs="Times New Roman"/>
                <w:sz w:val="21"/>
                <w:szCs w:val="21"/>
                <w:lang w:val="en-US" w:eastAsia="zh-CN" w:bidi="ar-SA"/>
              </w:rPr>
            </w:pPr>
          </w:p>
        </w:tc>
        <w:tc>
          <w:tcPr>
            <w:tcW w:w="694" w:type="pct"/>
            <w:shd w:val="clear" w:color="auto" w:fill="auto"/>
            <w:vAlign w:val="center"/>
          </w:tcPr>
          <w:p w14:paraId="5BF9E27E">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default" w:ascii="Times New Roman" w:hAnsi="Times New Roman" w:eastAsia="宋体" w:cs="Times New Roman"/>
                <w:sz w:val="21"/>
                <w:szCs w:val="21"/>
                <w:lang w:val="en-US" w:eastAsia="zh-CN" w:bidi="ar-SA"/>
              </w:rPr>
            </w:pPr>
          </w:p>
        </w:tc>
        <w:tc>
          <w:tcPr>
            <w:tcW w:w="739" w:type="pct"/>
            <w:shd w:val="clear" w:color="auto" w:fill="auto"/>
            <w:vAlign w:val="center"/>
          </w:tcPr>
          <w:p w14:paraId="3E5F1387">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eastAsia" w:ascii="Times New Roman" w:hAnsi="Times New Roman" w:eastAsia="宋体" w:cs="Times New Roman"/>
                <w:sz w:val="21"/>
                <w:szCs w:val="21"/>
                <w:lang w:val="en-US" w:eastAsia="zh-CN" w:bidi="ar-SA"/>
              </w:rPr>
            </w:pPr>
          </w:p>
        </w:tc>
        <w:tc>
          <w:tcPr>
            <w:tcW w:w="822" w:type="pct"/>
            <w:vAlign w:val="center"/>
          </w:tcPr>
          <w:p w14:paraId="0F7A0EE8">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default" w:ascii="Times New Roman" w:eastAsia="宋体"/>
                <w:szCs w:val="21"/>
                <w:lang w:val="en-US" w:eastAsia="zh-CN"/>
              </w:rPr>
            </w:pPr>
          </w:p>
        </w:tc>
      </w:tr>
      <w:tr w14:paraId="384D4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 w:type="pct"/>
            <w:vAlign w:val="center"/>
          </w:tcPr>
          <w:p w14:paraId="16F5E24E">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582" w:type="pct"/>
            <w:vAlign w:val="center"/>
          </w:tcPr>
          <w:p w14:paraId="42EFF6FF">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1833" w:type="pct"/>
            <w:vAlign w:val="center"/>
          </w:tcPr>
          <w:p w14:paraId="6104E694">
            <w:pPr>
              <w:keepNext w:val="0"/>
              <w:keepLines w:val="0"/>
              <w:pageBreakBefore w:val="0"/>
              <w:kinsoku/>
              <w:wordWrap/>
              <w:overflowPunct/>
              <w:topLinePunct w:val="0"/>
              <w:bidi w:val="0"/>
              <w:adjustRightInd w:val="0"/>
              <w:snapToGrid/>
              <w:spacing w:line="360" w:lineRule="auto"/>
              <w:jc w:val="center"/>
              <w:textAlignment w:val="auto"/>
              <w:rPr>
                <w:szCs w:val="21"/>
              </w:rPr>
            </w:pPr>
          </w:p>
        </w:tc>
        <w:tc>
          <w:tcPr>
            <w:tcW w:w="694" w:type="pct"/>
            <w:vAlign w:val="center"/>
          </w:tcPr>
          <w:p w14:paraId="7228BCF7">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739" w:type="pct"/>
            <w:vAlign w:val="center"/>
          </w:tcPr>
          <w:p w14:paraId="1A03779B">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822" w:type="pct"/>
            <w:vAlign w:val="center"/>
          </w:tcPr>
          <w:p w14:paraId="41A97AA2">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r>
      <w:tr w14:paraId="7A294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 w:type="pct"/>
            <w:vAlign w:val="center"/>
          </w:tcPr>
          <w:p w14:paraId="0F12CE9C">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default" w:ascii="Times New Roman" w:eastAsia="宋体"/>
                <w:szCs w:val="21"/>
                <w:lang w:val="en-US" w:eastAsia="zh-CN"/>
              </w:rPr>
            </w:pPr>
          </w:p>
        </w:tc>
        <w:tc>
          <w:tcPr>
            <w:tcW w:w="582" w:type="pct"/>
            <w:vAlign w:val="center"/>
          </w:tcPr>
          <w:p w14:paraId="71D1896B">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1833" w:type="pct"/>
            <w:vAlign w:val="center"/>
          </w:tcPr>
          <w:p w14:paraId="287ECC7B">
            <w:pPr>
              <w:keepNext w:val="0"/>
              <w:keepLines w:val="0"/>
              <w:pageBreakBefore w:val="0"/>
              <w:kinsoku/>
              <w:wordWrap/>
              <w:overflowPunct/>
              <w:topLinePunct w:val="0"/>
              <w:bidi w:val="0"/>
              <w:adjustRightInd w:val="0"/>
              <w:snapToGrid/>
              <w:spacing w:line="360" w:lineRule="auto"/>
              <w:jc w:val="center"/>
              <w:textAlignment w:val="auto"/>
              <w:rPr>
                <w:szCs w:val="21"/>
              </w:rPr>
            </w:pPr>
          </w:p>
        </w:tc>
        <w:tc>
          <w:tcPr>
            <w:tcW w:w="694" w:type="pct"/>
            <w:vAlign w:val="center"/>
          </w:tcPr>
          <w:p w14:paraId="6D75D53F">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739" w:type="pct"/>
            <w:vAlign w:val="center"/>
          </w:tcPr>
          <w:p w14:paraId="28F8B781">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822" w:type="pct"/>
            <w:vAlign w:val="center"/>
          </w:tcPr>
          <w:p w14:paraId="7F4CB87D">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r>
      <w:tr w14:paraId="7770E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 w:type="pct"/>
            <w:vAlign w:val="center"/>
          </w:tcPr>
          <w:p w14:paraId="3E093954">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default" w:ascii="Times New Roman" w:eastAsia="宋体"/>
                <w:szCs w:val="21"/>
                <w:lang w:val="en-US" w:eastAsia="zh-CN"/>
              </w:rPr>
            </w:pPr>
          </w:p>
        </w:tc>
        <w:tc>
          <w:tcPr>
            <w:tcW w:w="582" w:type="pct"/>
            <w:vAlign w:val="center"/>
          </w:tcPr>
          <w:p w14:paraId="01B586E3">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1833" w:type="pct"/>
            <w:vAlign w:val="center"/>
          </w:tcPr>
          <w:p w14:paraId="2F82D175">
            <w:pPr>
              <w:keepNext w:val="0"/>
              <w:keepLines w:val="0"/>
              <w:pageBreakBefore w:val="0"/>
              <w:kinsoku/>
              <w:wordWrap/>
              <w:overflowPunct/>
              <w:topLinePunct w:val="0"/>
              <w:bidi w:val="0"/>
              <w:adjustRightInd w:val="0"/>
              <w:snapToGrid/>
              <w:spacing w:line="360" w:lineRule="auto"/>
              <w:jc w:val="center"/>
              <w:textAlignment w:val="auto"/>
              <w:rPr>
                <w:szCs w:val="21"/>
              </w:rPr>
            </w:pPr>
          </w:p>
        </w:tc>
        <w:tc>
          <w:tcPr>
            <w:tcW w:w="694" w:type="pct"/>
            <w:vAlign w:val="center"/>
          </w:tcPr>
          <w:p w14:paraId="37420185">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739" w:type="pct"/>
            <w:vAlign w:val="center"/>
          </w:tcPr>
          <w:p w14:paraId="559271DF">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822" w:type="pct"/>
            <w:vAlign w:val="center"/>
          </w:tcPr>
          <w:p w14:paraId="78194030">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r>
      <w:tr w14:paraId="6D64B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7" w:type="pct"/>
            <w:vAlign w:val="center"/>
          </w:tcPr>
          <w:p w14:paraId="785D4B51">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hint="eastAsia" w:ascii="Times New Roman"/>
                <w:szCs w:val="21"/>
                <w:lang w:val="en-US" w:eastAsia="zh-CN"/>
              </w:rPr>
            </w:pPr>
          </w:p>
        </w:tc>
        <w:tc>
          <w:tcPr>
            <w:tcW w:w="582" w:type="pct"/>
            <w:vAlign w:val="center"/>
          </w:tcPr>
          <w:p w14:paraId="6BC929B9">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1833" w:type="pct"/>
            <w:vAlign w:val="center"/>
          </w:tcPr>
          <w:p w14:paraId="17CFD8D3">
            <w:pPr>
              <w:keepNext w:val="0"/>
              <w:keepLines w:val="0"/>
              <w:pageBreakBefore w:val="0"/>
              <w:kinsoku/>
              <w:wordWrap/>
              <w:overflowPunct/>
              <w:topLinePunct w:val="0"/>
              <w:bidi w:val="0"/>
              <w:adjustRightInd w:val="0"/>
              <w:snapToGrid/>
              <w:spacing w:line="360" w:lineRule="auto"/>
              <w:jc w:val="center"/>
              <w:textAlignment w:val="auto"/>
              <w:rPr>
                <w:szCs w:val="21"/>
              </w:rPr>
            </w:pPr>
          </w:p>
        </w:tc>
        <w:tc>
          <w:tcPr>
            <w:tcW w:w="694" w:type="pct"/>
            <w:vAlign w:val="center"/>
          </w:tcPr>
          <w:p w14:paraId="759D1036">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739" w:type="pct"/>
            <w:vAlign w:val="center"/>
          </w:tcPr>
          <w:p w14:paraId="703F1AB6">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c>
          <w:tcPr>
            <w:tcW w:w="822" w:type="pct"/>
            <w:vAlign w:val="center"/>
          </w:tcPr>
          <w:p w14:paraId="14080326">
            <w:pPr>
              <w:pStyle w:val="9"/>
              <w:keepNext w:val="0"/>
              <w:keepLines w:val="0"/>
              <w:pageBreakBefore w:val="0"/>
              <w:widowControl w:val="0"/>
              <w:kinsoku/>
              <w:wordWrap/>
              <w:overflowPunct/>
              <w:topLinePunct w:val="0"/>
              <w:bidi w:val="0"/>
              <w:adjustRightInd w:val="0"/>
              <w:snapToGrid/>
              <w:spacing w:line="360" w:lineRule="auto"/>
              <w:ind w:firstLine="0" w:firstLineChars="0"/>
              <w:jc w:val="center"/>
              <w:textAlignment w:val="auto"/>
              <w:rPr>
                <w:rFonts w:ascii="Times New Roman"/>
                <w:szCs w:val="21"/>
              </w:rPr>
            </w:pPr>
          </w:p>
        </w:tc>
      </w:tr>
      <w:tr w14:paraId="34C80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4BED40FB">
            <w:pPr>
              <w:pStyle w:val="9"/>
              <w:adjustRightInd w:val="0"/>
              <w:spacing w:line="360" w:lineRule="auto"/>
              <w:ind w:firstLine="0" w:firstLineChars="0"/>
              <w:contextualSpacing/>
              <w:jc w:val="center"/>
              <w:rPr>
                <w:rFonts w:ascii="Times New Roman"/>
                <w:b/>
                <w:szCs w:val="21"/>
              </w:rPr>
            </w:pPr>
            <w:r>
              <w:rPr>
                <w:rFonts w:ascii="Times New Roman"/>
                <w:b/>
                <w:szCs w:val="21"/>
              </w:rPr>
              <w:t>编制情况</w:t>
            </w:r>
          </w:p>
        </w:tc>
      </w:tr>
      <w:tr w14:paraId="7D8CB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063694B0">
            <w:pPr>
              <w:pStyle w:val="9"/>
              <w:adjustRightInd w:val="0"/>
              <w:spacing w:line="360" w:lineRule="auto"/>
              <w:ind w:firstLine="0" w:firstLineChars="0"/>
              <w:contextualSpacing/>
              <w:rPr>
                <w:rFonts w:ascii="Times New Roman"/>
                <w:szCs w:val="21"/>
              </w:rPr>
            </w:pPr>
            <w:r>
              <w:rPr>
                <w:rFonts w:ascii="Times New Roman"/>
                <w:szCs w:val="21"/>
              </w:rPr>
              <w:t>1、编制过程简介</w:t>
            </w:r>
          </w:p>
        </w:tc>
      </w:tr>
      <w:tr w14:paraId="1CB54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14:paraId="688B66E9">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pPr>
            <w:r>
              <w:t>202</w:t>
            </w:r>
            <w:r>
              <w:rPr>
                <w:rFonts w:hint="eastAsia"/>
                <w:lang w:val="en-US" w:eastAsia="zh-CN"/>
              </w:rPr>
              <w:t>4</w:t>
            </w:r>
            <w:r>
              <w:t>年</w:t>
            </w:r>
            <w:r>
              <w:rPr>
                <w:rFonts w:hint="eastAsia"/>
                <w:lang w:val="en-US" w:eastAsia="zh-CN"/>
              </w:rPr>
              <w:t>9</w:t>
            </w:r>
            <w:r>
              <w:t>月</w:t>
            </w:r>
            <w:r>
              <w:rPr>
                <w:rFonts w:hint="eastAsia"/>
                <w:lang w:val="en-US" w:eastAsia="zh-CN"/>
              </w:rPr>
              <w:t>2日</w:t>
            </w:r>
            <w:r>
              <w:t>，收到</w:t>
            </w:r>
            <w:r>
              <w:rPr>
                <w:rFonts w:hint="eastAsia"/>
              </w:rPr>
              <w:t>《安徽省市场监督管理局关于下达2024年第三批安徽省地方标准制修订计划的通知》（皖市监函〔2024〕377号）</w:t>
            </w:r>
            <w:r>
              <w:t>后，成立标准</w:t>
            </w:r>
            <w:r>
              <w:rPr>
                <w:rFonts w:hint="eastAsia"/>
                <w:lang w:val="en-US" w:eastAsia="zh-CN"/>
              </w:rPr>
              <w:t>修订</w:t>
            </w:r>
            <w:r>
              <w:t>小组，成员有</w:t>
            </w:r>
            <w:r>
              <w:rPr>
                <w:rFonts w:hint="eastAsia"/>
                <w:lang w:eastAsia="zh-CN"/>
              </w:rPr>
              <w:t>：</w:t>
            </w:r>
            <w:r>
              <w:rPr>
                <w:rFonts w:hint="eastAsia"/>
                <w:color w:val="FF0000"/>
                <w:lang w:val="en-US" w:eastAsia="zh-CN"/>
              </w:rPr>
              <w:t>XXX</w:t>
            </w:r>
            <w:r>
              <w:rPr>
                <w:rFonts w:hint="eastAsia"/>
                <w:color w:val="FF0000"/>
              </w:rPr>
              <w:t>、</w:t>
            </w:r>
            <w:r>
              <w:rPr>
                <w:rFonts w:hint="eastAsia"/>
                <w:color w:val="FF0000"/>
                <w:szCs w:val="21"/>
                <w:lang w:val="en-US" w:eastAsia="zh-CN"/>
              </w:rPr>
              <w:t>XXX</w:t>
            </w:r>
            <w:r>
              <w:rPr>
                <w:rFonts w:hint="eastAsia"/>
                <w:color w:val="FF0000"/>
                <w:lang w:eastAsia="zh-CN"/>
              </w:rPr>
              <w:t>、</w:t>
            </w:r>
            <w:r>
              <w:rPr>
                <w:rFonts w:hint="eastAsia"/>
                <w:color w:val="FF0000"/>
                <w:lang w:val="en-US" w:eastAsia="zh-CN"/>
              </w:rPr>
              <w:t>XXX</w:t>
            </w:r>
            <w:r>
              <w:rPr>
                <w:rFonts w:hint="eastAsia"/>
                <w:color w:val="FF0000"/>
              </w:rPr>
              <w:t>、</w:t>
            </w:r>
            <w:r>
              <w:rPr>
                <w:rFonts w:hint="eastAsia"/>
                <w:color w:val="FF0000"/>
                <w:lang w:val="en-US" w:eastAsia="zh-CN"/>
              </w:rPr>
              <w:t>XXX、</w:t>
            </w:r>
            <w:r>
              <w:rPr>
                <w:rFonts w:hint="eastAsia"/>
                <w:color w:val="FF0000"/>
                <w:lang w:eastAsia="zh-CN"/>
              </w:rPr>
              <w:t>……</w:t>
            </w:r>
            <w:r>
              <w:t>。</w:t>
            </w:r>
          </w:p>
          <w:p w14:paraId="236B753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pPr>
            <w:r>
              <w:t>标准起草过程：202</w:t>
            </w:r>
            <w:r>
              <w:rPr>
                <w:rFonts w:hint="eastAsia"/>
                <w:lang w:val="en-US" w:eastAsia="zh-CN"/>
              </w:rPr>
              <w:t>4</w:t>
            </w:r>
            <w:r>
              <w:t>年</w:t>
            </w:r>
            <w:r>
              <w:rPr>
                <w:rFonts w:hint="eastAsia"/>
                <w:lang w:val="en-US" w:eastAsia="zh-CN"/>
              </w:rPr>
              <w:t>3月份</w:t>
            </w:r>
            <w:r>
              <w:t>，安徽省驷马山引江工程管理处</w:t>
            </w:r>
            <w:r>
              <w:rPr>
                <w:rFonts w:hint="eastAsia"/>
                <w:lang w:eastAsia="zh-CN"/>
              </w:rPr>
              <w:t>、</w:t>
            </w:r>
            <w:r>
              <w:rPr>
                <w:rFonts w:hint="eastAsia" w:ascii="Times New Roman" w:hAnsi="Times New Roman" w:eastAsia="宋体" w:cs="Times New Roman"/>
                <w:lang w:val="en-US" w:eastAsia="zh-CN"/>
              </w:rPr>
              <w:t>安徽省河川项目管理咨询有限公司</w:t>
            </w:r>
            <w:r>
              <w:rPr>
                <w:rFonts w:ascii="Times New Roman" w:hAnsi="Times New Roman" w:eastAsia="宋体" w:cs="Times New Roman"/>
              </w:rPr>
              <w:t>提出《</w:t>
            </w:r>
            <w:r>
              <w:rPr>
                <w:rFonts w:hint="eastAsia" w:ascii="Times New Roman" w:hAnsi="Times New Roman" w:eastAsia="宋体" w:cs="Times New Roman"/>
              </w:rPr>
              <w:t>大型泵站设备维护保养规范</w:t>
            </w:r>
            <w:r>
              <w:rPr>
                <w:rFonts w:ascii="Times New Roman" w:hAnsi="Times New Roman" w:eastAsia="宋体" w:cs="Times New Roman"/>
              </w:rPr>
              <w:t>》</w:t>
            </w:r>
            <w:r>
              <w:rPr>
                <w:rFonts w:hint="eastAsia" w:ascii="Times New Roman" w:hAnsi="Times New Roman" w:eastAsia="宋体" w:cs="Times New Roman"/>
                <w:lang w:val="en-US" w:eastAsia="zh-CN"/>
              </w:rPr>
              <w:t>修订</w:t>
            </w:r>
            <w:r>
              <w:rPr>
                <w:rFonts w:ascii="Times New Roman" w:hAnsi="Times New Roman" w:eastAsia="宋体" w:cs="Times New Roman"/>
              </w:rPr>
              <w:t>申请，9月</w:t>
            </w:r>
            <w:r>
              <w:rPr>
                <w:rFonts w:hint="eastAsia" w:cs="Times New Roman"/>
                <w:lang w:val="en-US" w:eastAsia="zh-CN"/>
              </w:rPr>
              <w:t>2日</w:t>
            </w:r>
            <w:r>
              <w:rPr>
                <w:rFonts w:ascii="Times New Roman" w:hAnsi="Times New Roman" w:eastAsia="宋体" w:cs="Times New Roman"/>
              </w:rPr>
              <w:t>安</w:t>
            </w:r>
            <w:r>
              <w:t>徽省市场监督管理局下达该标准的</w:t>
            </w:r>
            <w:r>
              <w:rPr>
                <w:rFonts w:hint="eastAsia"/>
                <w:lang w:val="en-US" w:eastAsia="zh-CN"/>
              </w:rPr>
              <w:t>修订</w:t>
            </w:r>
            <w:r>
              <w:t>任务。任务下达后，承担单位成立</w:t>
            </w:r>
            <w:r>
              <w:rPr>
                <w:rFonts w:hint="eastAsia"/>
                <w:lang w:val="en-US" w:eastAsia="zh-CN"/>
              </w:rPr>
              <w:t>了</w:t>
            </w:r>
            <w:r>
              <w:t>标准</w:t>
            </w:r>
            <w:r>
              <w:rPr>
                <w:rFonts w:hint="eastAsia"/>
                <w:lang w:val="en-US" w:eastAsia="zh-CN"/>
              </w:rPr>
              <w:t>修订</w:t>
            </w:r>
            <w:r>
              <w:t>小组，全面负责标准的</w:t>
            </w:r>
            <w:r>
              <w:rPr>
                <w:rFonts w:hint="eastAsia"/>
                <w:lang w:val="en-US" w:eastAsia="zh-CN"/>
              </w:rPr>
              <w:t>修订</w:t>
            </w:r>
            <w:r>
              <w:t>工作</w:t>
            </w:r>
            <w:r>
              <w:rPr>
                <w:rFonts w:hint="eastAsia"/>
                <w:lang w:eastAsia="zh-CN"/>
              </w:rPr>
              <w:t>，</w:t>
            </w:r>
            <w:r>
              <w:t>广泛收集</w:t>
            </w:r>
            <w:r>
              <w:rPr>
                <w:rFonts w:hint="eastAsia"/>
                <w:lang w:val="en-US" w:eastAsia="zh-CN"/>
              </w:rPr>
              <w:t>国家、行业相关标准和</w:t>
            </w:r>
            <w:r>
              <w:t>省内</w:t>
            </w:r>
            <w:r>
              <w:rPr>
                <w:rFonts w:hint="eastAsia"/>
                <w:lang w:val="en-US" w:eastAsia="zh-CN"/>
              </w:rPr>
              <w:t>外</w:t>
            </w:r>
            <w:r>
              <w:rPr>
                <w:rFonts w:hint="eastAsia" w:ascii="Times New Roman" w:hAnsi="Times New Roman" w:eastAsia="宋体" w:cs="Times New Roman"/>
              </w:rPr>
              <w:t>大型泵站设备维护保养</w:t>
            </w:r>
            <w:r>
              <w:rPr>
                <w:rFonts w:hint="eastAsia"/>
                <w:lang w:val="en-US" w:eastAsia="zh-CN"/>
              </w:rPr>
              <w:t>有关</w:t>
            </w:r>
            <w:r>
              <w:t>资料，调研近年来</w:t>
            </w:r>
            <w:r>
              <w:rPr>
                <w:rFonts w:hint="eastAsia" w:ascii="Times New Roman" w:hAnsi="Times New Roman" w:eastAsia="宋体" w:cs="Times New Roman"/>
              </w:rPr>
              <w:t>泵站设备维护保养</w:t>
            </w:r>
            <w:r>
              <w:rPr>
                <w:rFonts w:hint="eastAsia" w:eastAsia="宋体"/>
                <w:lang w:val="en-US" w:eastAsia="zh-CN"/>
              </w:rPr>
              <w:t>开展情况</w:t>
            </w:r>
            <w:r>
              <w:t>。在充分调研和分析总结的基础上，结合相关资料的收集查询、实地调研以及相关专家的意见和建议，</w:t>
            </w:r>
            <w:r>
              <w:rPr>
                <w:rFonts w:hint="eastAsia"/>
                <w:lang w:val="en-US" w:eastAsia="zh-CN"/>
              </w:rPr>
              <w:t>修订</w:t>
            </w:r>
            <w:r>
              <w:t>标准成员先后召开多次会议研究讨论标准</w:t>
            </w:r>
            <w:r>
              <w:rPr>
                <w:rFonts w:hint="eastAsia"/>
                <w:lang w:val="en-US" w:eastAsia="zh-CN"/>
              </w:rPr>
              <w:t>修订</w:t>
            </w:r>
            <w:r>
              <w:t>内容，针对相关问题开展专项研究，于20</w:t>
            </w:r>
            <w:r>
              <w:rPr>
                <w:rFonts w:hint="eastAsia"/>
                <w:lang w:val="en-US" w:eastAsia="zh-CN"/>
              </w:rPr>
              <w:t>24</w:t>
            </w:r>
            <w:r>
              <w:t>年1</w:t>
            </w:r>
            <w:r>
              <w:rPr>
                <w:rFonts w:hint="eastAsia"/>
                <w:lang w:val="en-US" w:eastAsia="zh-CN"/>
              </w:rPr>
              <w:t>2</w:t>
            </w:r>
            <w:r>
              <w:t>月</w:t>
            </w:r>
            <w:r>
              <w:rPr>
                <w:rFonts w:hint="eastAsia"/>
                <w:lang w:val="en-US" w:eastAsia="zh-CN"/>
              </w:rPr>
              <w:t>初</w:t>
            </w:r>
            <w:r>
              <w:t>形成标准</w:t>
            </w:r>
            <w:r>
              <w:rPr>
                <w:rFonts w:hint="eastAsia"/>
                <w:lang w:val="en-US" w:eastAsia="zh-CN"/>
              </w:rPr>
              <w:t>征求意见草稿</w:t>
            </w:r>
            <w:r>
              <w:t>。</w:t>
            </w:r>
            <w:r>
              <w:rPr>
                <w:rFonts w:hint="eastAsia"/>
              </w:rPr>
              <w:t>202</w:t>
            </w:r>
            <w:r>
              <w:rPr>
                <w:rFonts w:hint="eastAsia"/>
                <w:lang w:val="en-US" w:eastAsia="zh-CN"/>
              </w:rPr>
              <w:t>4</w:t>
            </w:r>
            <w:r>
              <w:rPr>
                <w:rFonts w:hint="eastAsia"/>
              </w:rPr>
              <w:t>年12月</w:t>
            </w:r>
            <w:r>
              <w:rPr>
                <w:rFonts w:hint="eastAsia"/>
                <w:lang w:val="en-US" w:eastAsia="zh-CN"/>
              </w:rPr>
              <w:t>14</w:t>
            </w:r>
            <w:r>
              <w:rPr>
                <w:rFonts w:hint="eastAsia"/>
              </w:rPr>
              <w:t>日，</w:t>
            </w:r>
            <w:r>
              <w:t>安徽省驷马山引江工程管理处</w:t>
            </w:r>
            <w:r>
              <w:rPr>
                <w:rFonts w:hint="eastAsia"/>
                <w:lang w:eastAsia="zh-CN"/>
              </w:rPr>
              <w:t>、</w:t>
            </w:r>
            <w:r>
              <w:rPr>
                <w:rFonts w:hint="eastAsia" w:ascii="Times New Roman" w:hAnsi="Times New Roman" w:eastAsia="宋体" w:cs="Times New Roman"/>
                <w:lang w:val="en-US" w:eastAsia="zh-CN"/>
              </w:rPr>
              <w:t>安徽省河川项目管理咨询有限公司</w:t>
            </w:r>
            <w:r>
              <w:rPr>
                <w:rFonts w:hint="eastAsia" w:ascii="Times New Roman" w:hAnsi="Times New Roman" w:eastAsia="宋体" w:cs="Times New Roman"/>
              </w:rPr>
              <w:t>在合肥组织召开了《大型泵站设备维护保养规范》</w:t>
            </w:r>
            <w:r>
              <w:rPr>
                <w:rFonts w:hint="eastAsia"/>
              </w:rPr>
              <w:t>地方标准咨询会，来自</w:t>
            </w:r>
            <w:r>
              <w:rPr>
                <w:rFonts w:hint="eastAsia"/>
                <w:lang w:val="en-US" w:eastAsia="zh-CN"/>
              </w:rPr>
              <w:t>合肥工业大学</w:t>
            </w:r>
            <w:r>
              <w:rPr>
                <w:rFonts w:hint="eastAsia"/>
              </w:rPr>
              <w:t>、</w:t>
            </w:r>
            <w:r>
              <w:rPr>
                <w:rFonts w:hint="eastAsia"/>
                <w:lang w:val="en-US" w:eastAsia="zh-CN"/>
              </w:rPr>
              <w:t>安徽省质量和标准化研究院</w:t>
            </w:r>
            <w:r>
              <w:rPr>
                <w:rFonts w:hint="eastAsia"/>
              </w:rPr>
              <w:t>、安徽省</w:t>
            </w:r>
            <w:r>
              <w:rPr>
                <w:rFonts w:hint="eastAsia"/>
                <w:lang w:val="en-US" w:eastAsia="zh-CN"/>
              </w:rPr>
              <w:t>茨淮新河工程管理局</w:t>
            </w:r>
            <w:r>
              <w:rPr>
                <w:rFonts w:hint="eastAsia"/>
              </w:rPr>
              <w:t>、安徽省水利</w:t>
            </w:r>
            <w:r>
              <w:rPr>
                <w:rFonts w:hint="eastAsia"/>
                <w:lang w:val="en-US" w:eastAsia="zh-CN"/>
              </w:rPr>
              <w:t>厅机电排灌总站</w:t>
            </w:r>
            <w:r>
              <w:rPr>
                <w:rFonts w:hint="eastAsia"/>
              </w:rPr>
              <w:t>、安徽省水利</w:t>
            </w:r>
            <w:r>
              <w:rPr>
                <w:rFonts w:hint="eastAsia"/>
                <w:lang w:val="en-US" w:eastAsia="zh-CN"/>
              </w:rPr>
              <w:t>学会</w:t>
            </w:r>
            <w:r>
              <w:rPr>
                <w:rFonts w:hint="eastAsia"/>
              </w:rPr>
              <w:t>等单位专家审阅了相关资料，形成了修改意见，标准</w:t>
            </w:r>
            <w:r>
              <w:rPr>
                <w:rFonts w:hint="eastAsia"/>
                <w:lang w:val="en-US" w:eastAsia="zh-CN"/>
              </w:rPr>
              <w:t>修订小</w:t>
            </w:r>
            <w:r>
              <w:rPr>
                <w:rFonts w:hint="eastAsia"/>
              </w:rPr>
              <w:t>组根据咨询会意见</w:t>
            </w:r>
            <w:r>
              <w:rPr>
                <w:rFonts w:hint="eastAsia"/>
                <w:lang w:val="en-US" w:eastAsia="zh-CN"/>
              </w:rPr>
              <w:t>进行</w:t>
            </w:r>
            <w:r>
              <w:rPr>
                <w:rFonts w:hint="eastAsia"/>
              </w:rPr>
              <w:t>了</w:t>
            </w:r>
            <w:r>
              <w:rPr>
                <w:rFonts w:hint="eastAsia"/>
                <w:lang w:val="en-US" w:eastAsia="zh-CN"/>
              </w:rPr>
              <w:t>修改，形成了</w:t>
            </w:r>
            <w:r>
              <w:rPr>
                <w:rFonts w:hint="eastAsia"/>
              </w:rPr>
              <w:t>《</w:t>
            </w:r>
            <w:r>
              <w:rPr>
                <w:rFonts w:hint="eastAsia" w:ascii="Times New Roman" w:hAnsi="Times New Roman" w:eastAsia="宋体" w:cs="Times New Roman"/>
              </w:rPr>
              <w:t>大型泵站设备维护保养规范</w:t>
            </w:r>
            <w:r>
              <w:rPr>
                <w:rFonts w:hint="eastAsia"/>
              </w:rPr>
              <w:t>》征求意见稿。</w:t>
            </w:r>
          </w:p>
        </w:tc>
      </w:tr>
      <w:tr w14:paraId="5EA62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6A4C195B">
            <w:pPr>
              <w:pStyle w:val="9"/>
              <w:adjustRightInd w:val="0"/>
              <w:spacing w:line="360" w:lineRule="auto"/>
              <w:ind w:firstLine="0" w:firstLineChars="0"/>
              <w:contextualSpacing/>
              <w:rPr>
                <w:rFonts w:ascii="Times New Roman"/>
                <w:szCs w:val="21"/>
              </w:rPr>
            </w:pPr>
            <w:r>
              <w:rPr>
                <w:rFonts w:ascii="Times New Roman"/>
                <w:szCs w:val="21"/>
              </w:rPr>
              <w:t>2、制定标准的必要性和意义</w:t>
            </w:r>
          </w:p>
        </w:tc>
      </w:tr>
      <w:tr w14:paraId="73E3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14:paraId="6F3E5FF6">
            <w:pPr>
              <w:spacing w:line="360" w:lineRule="auto"/>
              <w:rPr>
                <w:b/>
                <w:bCs/>
                <w:szCs w:val="21"/>
              </w:rPr>
            </w:pPr>
            <w:r>
              <w:rPr>
                <w:b/>
                <w:bCs/>
                <w:szCs w:val="21"/>
              </w:rPr>
              <w:t>必要性：</w:t>
            </w:r>
          </w:p>
          <w:p w14:paraId="1090DAC3">
            <w:pPr>
              <w:spacing w:line="360" w:lineRule="auto"/>
              <w:ind w:firstLine="420" w:firstLineChars="200"/>
              <w:rPr>
                <w:color w:val="auto"/>
              </w:rPr>
            </w:pPr>
            <w:r>
              <w:rPr>
                <w:rFonts w:hint="eastAsia"/>
                <w:color w:val="auto"/>
              </w:rPr>
              <w:t>随着我国国民经济的高速发展和城市化进程的不断加快，大型泵站在防洪排涝、抗旱减灾、水资源调配管理以及工农业用水和城乡居民生活供水等方面发挥着越来越重要的作用，为社会稳定、人民生活和经济发展提供了强</w:t>
            </w:r>
            <w:r>
              <w:rPr>
                <w:rFonts w:hint="eastAsia"/>
                <w:color w:val="auto"/>
                <w:lang w:val="en-US" w:eastAsia="zh-CN"/>
              </w:rPr>
              <w:t>有</w:t>
            </w:r>
            <w:r>
              <w:rPr>
                <w:rFonts w:hint="eastAsia"/>
                <w:color w:val="auto"/>
              </w:rPr>
              <w:t>力支撑。</w:t>
            </w:r>
          </w:p>
          <w:p w14:paraId="6D8DF4B4">
            <w:pPr>
              <w:pStyle w:val="6"/>
              <w:spacing w:after="0" w:line="360" w:lineRule="auto"/>
              <w:ind w:left="0" w:firstLine="420"/>
              <w:rPr>
                <w:kern w:val="2"/>
              </w:rPr>
            </w:pPr>
            <w:r>
              <w:rPr>
                <w:rFonts w:hint="eastAsia"/>
                <w:kern w:val="2"/>
              </w:rPr>
              <w:t>《大型泵站设备维护保养规范》（DB 34/T 2873—2017），于2017年作为地方标准发布实施，</w:t>
            </w:r>
            <w:r>
              <w:rPr>
                <w:rFonts w:hint="eastAsia"/>
                <w:kern w:val="2"/>
                <w:lang w:val="en-US" w:eastAsia="zh-CN"/>
              </w:rPr>
              <w:t>对</w:t>
            </w:r>
            <w:r>
              <w:rPr>
                <w:rFonts w:hint="eastAsia"/>
                <w:kern w:val="2"/>
              </w:rPr>
              <w:t>规范开展设备维护保养，提高泵站设备运行可靠性，保障泵站安全稳定运行，起到了积极作用。进入新发展阶段，随着经济社会发展和科技水平进步</w:t>
            </w:r>
            <w:r>
              <w:rPr>
                <w:rFonts w:hint="eastAsia"/>
                <w:kern w:val="2"/>
                <w:lang w:val="en-US" w:eastAsia="zh-CN"/>
              </w:rPr>
              <w:t>，一些老的设备和技术被淘汰，如：铸铁闸门，裸露式滑触线等</w:t>
            </w:r>
            <w:r>
              <w:rPr>
                <w:rFonts w:hint="eastAsia"/>
                <w:kern w:val="2"/>
                <w:lang w:eastAsia="zh-CN"/>
              </w:rPr>
              <w:t>；</w:t>
            </w:r>
            <w:r>
              <w:rPr>
                <w:rFonts w:hint="eastAsia"/>
                <w:kern w:val="2"/>
                <w:lang w:val="en-US" w:eastAsia="zh-CN"/>
              </w:rPr>
              <w:t>随着网络信息和通讯技术的不断提升，水利</w:t>
            </w:r>
            <w:r>
              <w:rPr>
                <w:rFonts w:hint="eastAsia"/>
                <w:kern w:val="2"/>
              </w:rPr>
              <w:t>工程管理</w:t>
            </w:r>
            <w:r>
              <w:rPr>
                <w:rFonts w:hint="eastAsia"/>
                <w:kern w:val="2"/>
                <w:lang w:val="en-US" w:eastAsia="zh-CN"/>
              </w:rPr>
              <w:t>的方式、方法也在不断地进步和创新</w:t>
            </w:r>
            <w:r>
              <w:rPr>
                <w:rFonts w:hint="eastAsia"/>
                <w:kern w:val="2"/>
              </w:rPr>
              <w:t>，</w:t>
            </w:r>
            <w:r>
              <w:rPr>
                <w:rFonts w:hint="eastAsia"/>
                <w:kern w:val="2"/>
                <w:lang w:val="en-US" w:eastAsia="zh-CN"/>
              </w:rPr>
              <w:t>一些新的技术投入运用，如：机组状态在线监测系统等。</w:t>
            </w:r>
            <w:r>
              <w:rPr>
                <w:rFonts w:hint="eastAsia"/>
                <w:kern w:val="2"/>
              </w:rPr>
              <w:t>近年来，</w:t>
            </w:r>
            <w:r>
              <w:rPr>
                <w:rFonts w:hint="eastAsia"/>
                <w:kern w:val="2"/>
                <w:lang w:eastAsia="zh-CN"/>
              </w:rPr>
              <w:t>《</w:t>
            </w:r>
            <w:r>
              <w:rPr>
                <w:rFonts w:hint="eastAsia" w:ascii="宋体" w:hAnsi="宋体" w:eastAsia="宋体" w:cs="宋体"/>
                <w:b w:val="0"/>
                <w:bCs w:val="0"/>
                <w:color w:val="auto"/>
                <w:kern w:val="0"/>
                <w:szCs w:val="20"/>
                <w:lang w:val="en-US" w:eastAsia="zh-CN"/>
              </w:rPr>
              <w:t>泵站设计标准</w:t>
            </w:r>
            <w:r>
              <w:rPr>
                <w:rFonts w:hint="eastAsia" w:ascii="宋体" w:hAnsi="宋体" w:cs="宋体"/>
                <w:b w:val="0"/>
                <w:bCs w:val="0"/>
                <w:color w:val="auto"/>
                <w:kern w:val="0"/>
                <w:szCs w:val="20"/>
                <w:lang w:val="en-US" w:eastAsia="zh-CN"/>
              </w:rPr>
              <w:t>》</w:t>
            </w:r>
            <w:r>
              <w:rPr>
                <w:rFonts w:hint="eastAsia" w:ascii="宋体" w:hAnsi="宋体" w:eastAsia="宋体" w:cs="宋体"/>
                <w:b w:val="0"/>
                <w:bCs w:val="0"/>
                <w:color w:val="auto"/>
                <w:kern w:val="0"/>
                <w:szCs w:val="20"/>
                <w:lang w:val="en-US" w:eastAsia="zh-CN"/>
              </w:rPr>
              <w:t>GB 50265</w:t>
            </w:r>
            <w:r>
              <w:rPr>
                <w:rFonts w:hint="eastAsia" w:ascii="宋体" w:hAnsi="宋体" w:cs="宋体"/>
                <w:b w:val="0"/>
                <w:bCs w:val="0"/>
                <w:color w:val="auto"/>
                <w:kern w:val="0"/>
                <w:szCs w:val="20"/>
                <w:lang w:val="en-US" w:eastAsia="zh-CN"/>
              </w:rPr>
              <w:t>、</w:t>
            </w:r>
            <w:r>
              <w:rPr>
                <w:rFonts w:hint="eastAsia"/>
                <w:kern w:val="2"/>
              </w:rPr>
              <w:t>《泵站技术管理规程》GB/T 30948</w:t>
            </w:r>
            <w:r>
              <w:rPr>
                <w:rFonts w:hint="eastAsia"/>
                <w:kern w:val="2"/>
                <w:lang w:eastAsia="zh-CN"/>
              </w:rPr>
              <w:t>、《</w:t>
            </w:r>
            <w:r>
              <w:rPr>
                <w:rFonts w:hint="eastAsia"/>
                <w:kern w:val="2"/>
                <w:lang w:val="en-US" w:eastAsia="zh-CN"/>
              </w:rPr>
              <w:t>泵站设备安装及验收规范</w:t>
            </w:r>
            <w:r>
              <w:rPr>
                <w:rFonts w:hint="eastAsia"/>
                <w:kern w:val="2"/>
                <w:lang w:eastAsia="zh-CN"/>
              </w:rPr>
              <w:t>》</w:t>
            </w:r>
            <w:r>
              <w:rPr>
                <w:rFonts w:hint="eastAsia"/>
                <w:kern w:val="2"/>
              </w:rPr>
              <w:t>SL 317</w:t>
            </w:r>
            <w:r>
              <w:rPr>
                <w:rFonts w:hint="eastAsia"/>
                <w:kern w:val="2"/>
                <w:lang w:eastAsia="zh-CN"/>
              </w:rPr>
              <w:t>、《水工钢闸门和启闭机安全运行规程》</w:t>
            </w:r>
            <w:r>
              <w:rPr>
                <w:rFonts w:hint="eastAsia" w:eastAsia="宋体" w:cs="Times New Roman"/>
                <w:color w:val="auto"/>
                <w:lang w:val="en-US" w:eastAsia="zh-CN"/>
              </w:rPr>
              <w:t>SL/T 722</w:t>
            </w:r>
            <w:r>
              <w:rPr>
                <w:rFonts w:hint="eastAsia"/>
                <w:kern w:val="2"/>
              </w:rPr>
              <w:t>等</w:t>
            </w:r>
            <w:r>
              <w:rPr>
                <w:rFonts w:hint="eastAsia"/>
                <w:kern w:val="2"/>
                <w:lang w:val="en-US" w:eastAsia="zh-CN"/>
              </w:rPr>
              <w:t>一些</w:t>
            </w:r>
            <w:r>
              <w:rPr>
                <w:rFonts w:hint="eastAsia"/>
                <w:kern w:val="2"/>
              </w:rPr>
              <w:t>国家</w:t>
            </w:r>
            <w:r>
              <w:rPr>
                <w:rFonts w:hint="eastAsia"/>
                <w:kern w:val="2"/>
                <w:lang w:eastAsia="zh-CN"/>
              </w:rPr>
              <w:t>、</w:t>
            </w:r>
            <w:r>
              <w:rPr>
                <w:rFonts w:hint="eastAsia"/>
                <w:kern w:val="2"/>
              </w:rPr>
              <w:t>行业标准也相继进行了修订</w:t>
            </w:r>
            <w:r>
              <w:rPr>
                <w:rFonts w:hint="eastAsia"/>
                <w:kern w:val="2"/>
                <w:lang w:eastAsia="zh-CN"/>
              </w:rPr>
              <w:t>、</w:t>
            </w:r>
            <w:r>
              <w:rPr>
                <w:rFonts w:hint="eastAsia"/>
                <w:kern w:val="2"/>
                <w:lang w:val="en-US" w:eastAsia="zh-CN"/>
              </w:rPr>
              <w:t>制订</w:t>
            </w:r>
            <w:r>
              <w:rPr>
                <w:rFonts w:hint="eastAsia"/>
                <w:kern w:val="2"/>
              </w:rPr>
              <w:t>，</w:t>
            </w:r>
            <w:r>
              <w:rPr>
                <w:rFonts w:hint="eastAsia"/>
                <w:kern w:val="2"/>
                <w:lang w:val="en-US" w:eastAsia="zh-CN"/>
              </w:rPr>
              <w:t>上位标准对泵站设备维护保养的要求发生</w:t>
            </w:r>
            <w:r>
              <w:rPr>
                <w:rFonts w:hint="eastAsia"/>
                <w:kern w:val="2"/>
              </w:rPr>
              <w:t>了明显变化，</w:t>
            </w:r>
            <w:r>
              <w:rPr>
                <w:rFonts w:hint="eastAsia"/>
                <w:kern w:val="2"/>
                <w:lang w:val="en-US" w:eastAsia="zh-CN"/>
              </w:rPr>
              <w:t>如：机电设备及管路标识，室内空气参数、叶片调节机构、微机保护装置、监控系统和视频监视系统等。尤其是随着水利工程标准化管理工作的推进实施，</w:t>
            </w:r>
            <w:r>
              <w:rPr>
                <w:rFonts w:hint="eastAsia"/>
                <w:kern w:val="2"/>
              </w:rPr>
              <w:t>原版地方标准与现在的泵站标准化管理要求不相适应，对原版地方标准修订势在必行。</w:t>
            </w:r>
          </w:p>
          <w:p w14:paraId="09AE5202">
            <w:pPr>
              <w:pStyle w:val="6"/>
              <w:spacing w:after="0" w:line="360" w:lineRule="auto"/>
              <w:ind w:left="0" w:firstLine="0" w:firstLineChars="0"/>
              <w:rPr>
                <w:b/>
                <w:bCs/>
                <w:kern w:val="2"/>
              </w:rPr>
            </w:pPr>
            <w:r>
              <w:rPr>
                <w:b/>
                <w:bCs/>
                <w:kern w:val="2"/>
              </w:rPr>
              <w:t>意义：</w:t>
            </w:r>
          </w:p>
          <w:p w14:paraId="7346D6C6">
            <w:pPr>
              <w:pStyle w:val="6"/>
              <w:spacing w:after="0" w:line="360" w:lineRule="auto"/>
              <w:ind w:left="0" w:firstLine="420"/>
              <w:rPr>
                <w:szCs w:val="21"/>
              </w:rPr>
            </w:pPr>
            <w:r>
              <w:rPr>
                <w:rFonts w:hint="eastAsia"/>
                <w:color w:val="auto"/>
              </w:rPr>
              <w:t>大型泵站设备种类繁多，技术复杂，在长期、不同环境中的使用过程中，机械部件磨损，间隙增大，配合改变，电气设备绝缘劣化、短路，开关接触不良，通风散热不良等，直接影响到设备运行的稳定性、安全性、可靠性和使用效益，甚至会导致设备无法正常运行，造成事故。目前我国相关行业尚未制定类似的标准，我省是全国唯一一家编制类似地方标准的省份。《大型泵站设备维护保养规范》（DB 34/T 2873）的修订，</w:t>
            </w:r>
            <w:r>
              <w:rPr>
                <w:rFonts w:hint="eastAsia"/>
                <w:color w:val="auto"/>
                <w:lang w:val="en-US" w:eastAsia="zh-CN"/>
              </w:rPr>
              <w:t>是对</w:t>
            </w:r>
            <w:r>
              <w:rPr>
                <w:rFonts w:hint="eastAsia"/>
                <w:kern w:val="2"/>
                <w:lang w:eastAsia="zh-CN"/>
              </w:rPr>
              <w:t>《</w:t>
            </w:r>
            <w:r>
              <w:rPr>
                <w:rFonts w:hint="eastAsia" w:ascii="宋体" w:hAnsi="宋体" w:eastAsia="宋体" w:cs="宋体"/>
                <w:b w:val="0"/>
                <w:bCs w:val="0"/>
                <w:color w:val="auto"/>
                <w:kern w:val="0"/>
                <w:szCs w:val="20"/>
                <w:lang w:val="en-US" w:eastAsia="zh-CN"/>
              </w:rPr>
              <w:t>泵站设计标准</w:t>
            </w:r>
            <w:r>
              <w:rPr>
                <w:rFonts w:hint="eastAsia" w:ascii="宋体" w:hAnsi="宋体" w:cs="宋体"/>
                <w:b w:val="0"/>
                <w:bCs w:val="0"/>
                <w:color w:val="auto"/>
                <w:kern w:val="0"/>
                <w:szCs w:val="20"/>
                <w:lang w:val="en-US" w:eastAsia="zh-CN"/>
              </w:rPr>
              <w:t>》</w:t>
            </w:r>
            <w:r>
              <w:rPr>
                <w:rFonts w:hint="eastAsia" w:ascii="宋体" w:hAnsi="宋体" w:eastAsia="宋体" w:cs="宋体"/>
                <w:b w:val="0"/>
                <w:bCs w:val="0"/>
                <w:color w:val="auto"/>
                <w:kern w:val="0"/>
                <w:szCs w:val="20"/>
                <w:lang w:val="en-US" w:eastAsia="zh-CN"/>
              </w:rPr>
              <w:t>GB 50265</w:t>
            </w:r>
            <w:r>
              <w:rPr>
                <w:rFonts w:hint="eastAsia" w:ascii="宋体" w:hAnsi="宋体" w:cs="宋体"/>
                <w:b w:val="0"/>
                <w:bCs w:val="0"/>
                <w:color w:val="auto"/>
                <w:kern w:val="0"/>
                <w:szCs w:val="20"/>
                <w:lang w:val="en-US" w:eastAsia="zh-CN"/>
              </w:rPr>
              <w:t>、</w:t>
            </w:r>
            <w:r>
              <w:rPr>
                <w:rFonts w:hint="eastAsia"/>
                <w:kern w:val="2"/>
              </w:rPr>
              <w:t>《泵站技术管理规程》</w:t>
            </w:r>
            <w:r>
              <w:rPr>
                <w:rFonts w:hint="eastAsia"/>
                <w:color w:val="auto"/>
                <w:lang w:val="en-US" w:eastAsia="zh-CN"/>
              </w:rPr>
              <w:t>等国家、行业上位标准在泵站设备维护保养方面的细化和补充，</w:t>
            </w:r>
            <w:r>
              <w:rPr>
                <w:rFonts w:hint="eastAsia"/>
                <w:color w:val="auto"/>
              </w:rPr>
              <w:t>将进一步规范泵站设备维护保养，保障泵站安全稳定运行，提高标准化管理水平</w:t>
            </w:r>
            <w:r>
              <w:rPr>
                <w:rFonts w:hint="eastAsia"/>
                <w:color w:val="auto"/>
                <w:lang w:eastAsia="zh-CN"/>
              </w:rPr>
              <w:t>，</w:t>
            </w:r>
            <w:r>
              <w:rPr>
                <w:rFonts w:hint="eastAsia"/>
                <w:color w:val="auto"/>
              </w:rPr>
              <w:t>充分发挥大型泵站运行效益。</w:t>
            </w:r>
          </w:p>
        </w:tc>
      </w:tr>
      <w:tr w14:paraId="29DD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66ACCB76">
            <w:pPr>
              <w:pStyle w:val="9"/>
              <w:adjustRightInd w:val="0"/>
              <w:spacing w:line="360" w:lineRule="auto"/>
              <w:ind w:firstLine="0" w:firstLineChars="0"/>
              <w:contextualSpacing/>
              <w:rPr>
                <w:rFonts w:ascii="Times New Roman"/>
                <w:szCs w:val="21"/>
              </w:rPr>
            </w:pPr>
            <w:r>
              <w:rPr>
                <w:rFonts w:ascii="Times New Roman"/>
                <w:szCs w:val="21"/>
              </w:rPr>
              <w:t>3、制定标准的原则和依据，与现行法律法规、标准的关系</w:t>
            </w:r>
          </w:p>
        </w:tc>
      </w:tr>
      <w:tr w14:paraId="7D810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14:paraId="22E8F08C">
            <w:pPr>
              <w:spacing w:line="360" w:lineRule="auto"/>
              <w:outlineLvl w:val="0"/>
              <w:rPr>
                <w:szCs w:val="21"/>
              </w:rPr>
            </w:pPr>
            <w:r>
              <w:rPr>
                <w:szCs w:val="21"/>
              </w:rPr>
              <w:t>（一）制定原则</w:t>
            </w:r>
          </w:p>
          <w:p w14:paraId="7DDB4798">
            <w:pPr>
              <w:spacing w:line="360" w:lineRule="auto"/>
              <w:ind w:firstLine="420" w:firstLineChars="200"/>
              <w:rPr>
                <w:szCs w:val="21"/>
              </w:rPr>
            </w:pPr>
            <w:r>
              <w:rPr>
                <w:szCs w:val="21"/>
              </w:rPr>
              <w:t>标准编制遵循“科学性、实用性、统一性、规范性”的原则，并注重标准的可操作性。</w:t>
            </w:r>
          </w:p>
          <w:p w14:paraId="501F0679">
            <w:pPr>
              <w:spacing w:line="360" w:lineRule="auto"/>
              <w:ind w:firstLine="420" w:firstLineChars="200"/>
              <w:rPr>
                <w:szCs w:val="21"/>
              </w:rPr>
            </w:pPr>
            <w:r>
              <w:rPr>
                <w:szCs w:val="21"/>
              </w:rPr>
              <w:t>（1）认真贯彻国家有关法律法规和方针政策。标准中的所有规定，均不得与现行法律法规相违背。</w:t>
            </w:r>
          </w:p>
          <w:p w14:paraId="75329B63">
            <w:pPr>
              <w:spacing w:line="360" w:lineRule="auto"/>
              <w:ind w:firstLine="420" w:firstLineChars="200"/>
              <w:rPr>
                <w:szCs w:val="21"/>
              </w:rPr>
            </w:pPr>
            <w:r>
              <w:rPr>
                <w:szCs w:val="21"/>
              </w:rPr>
              <w:t>（2）充分考虑使用要求，并兼顾全社会的综合效益。</w:t>
            </w:r>
          </w:p>
          <w:p w14:paraId="4C8FAD4D">
            <w:pPr>
              <w:spacing w:line="360" w:lineRule="auto"/>
              <w:ind w:firstLine="420" w:firstLineChars="200"/>
              <w:rPr>
                <w:szCs w:val="21"/>
              </w:rPr>
            </w:pPr>
            <w:r>
              <w:rPr>
                <w:szCs w:val="21"/>
              </w:rPr>
              <w:t>（3）合理利用国家资源，推广先进技术成果，在符合使用要求的情况下，有利于标准对象的简化、选优、通用和互换，做到技术上先进、经济上合理。</w:t>
            </w:r>
          </w:p>
          <w:p w14:paraId="16BA3582">
            <w:pPr>
              <w:spacing w:line="360" w:lineRule="auto"/>
              <w:ind w:firstLine="420" w:firstLineChars="200"/>
              <w:rPr>
                <w:szCs w:val="21"/>
              </w:rPr>
            </w:pPr>
            <w:r>
              <w:rPr>
                <w:szCs w:val="21"/>
              </w:rPr>
              <w:t>（4）相关标准要协调配套。制定标准要考虑有利于标准体系的建立和不断完善。</w:t>
            </w:r>
          </w:p>
          <w:p w14:paraId="36861B32">
            <w:pPr>
              <w:spacing w:line="360" w:lineRule="auto"/>
              <w:ind w:firstLine="420" w:firstLineChars="200"/>
              <w:rPr>
                <w:szCs w:val="21"/>
              </w:rPr>
            </w:pPr>
            <w:r>
              <w:rPr>
                <w:szCs w:val="21"/>
              </w:rPr>
              <w:t>（5）有利于保障社会安全和人民身体健康，保护消费者利益，保护环境。</w:t>
            </w:r>
          </w:p>
          <w:p w14:paraId="738DB32A">
            <w:pPr>
              <w:spacing w:line="360" w:lineRule="auto"/>
              <w:ind w:firstLine="420" w:firstLineChars="200"/>
              <w:rPr>
                <w:szCs w:val="21"/>
              </w:rPr>
            </w:pPr>
            <w:r>
              <w:rPr>
                <w:szCs w:val="21"/>
              </w:rPr>
              <w:t>（6）积极采用国际标准和国外先进标准，有利于我国标准化与国际接轨。</w:t>
            </w:r>
          </w:p>
          <w:p w14:paraId="13DDED4F">
            <w:pPr>
              <w:spacing w:line="360" w:lineRule="auto"/>
              <w:outlineLvl w:val="0"/>
              <w:rPr>
                <w:szCs w:val="21"/>
              </w:rPr>
            </w:pPr>
            <w:r>
              <w:rPr>
                <w:szCs w:val="21"/>
              </w:rPr>
              <w:t>（二）制定依据</w:t>
            </w:r>
          </w:p>
          <w:p w14:paraId="0C21368A">
            <w:pPr>
              <w:spacing w:line="360" w:lineRule="auto"/>
              <w:ind w:firstLine="420" w:firstLineChars="200"/>
              <w:rPr>
                <w:rFonts w:hint="eastAsia"/>
                <w:szCs w:val="21"/>
              </w:rPr>
            </w:pPr>
            <w:r>
              <w:rPr>
                <w:rFonts w:hint="eastAsia"/>
                <w:szCs w:val="21"/>
              </w:rPr>
              <w:t xml:space="preserve">本文件起草过程中，主要按GB/T 1.1－2020《标准化工作导则 </w:t>
            </w:r>
            <w:r>
              <w:rPr>
                <w:rFonts w:hint="eastAsia"/>
                <w:szCs w:val="21"/>
                <w:lang w:val="en-US" w:eastAsia="zh-CN"/>
              </w:rPr>
              <w:t xml:space="preserve"> </w:t>
            </w:r>
            <w:r>
              <w:rPr>
                <w:rFonts w:hint="eastAsia"/>
                <w:szCs w:val="21"/>
              </w:rPr>
              <w:t>第 1 部分：标准的结构和编写》进行编写</w:t>
            </w:r>
            <w:r>
              <w:rPr>
                <w:rFonts w:hint="eastAsia"/>
                <w:szCs w:val="21"/>
                <w:lang w:eastAsia="zh-CN"/>
              </w:rPr>
              <w:t>，</w:t>
            </w:r>
            <w:r>
              <w:rPr>
                <w:rFonts w:hint="eastAsia"/>
                <w:szCs w:val="21"/>
              </w:rPr>
              <w:t>编制过程中主要参考了以下标准或文件：</w:t>
            </w:r>
          </w:p>
          <w:p w14:paraId="0DA122F0">
            <w:pPr>
              <w:spacing w:line="360" w:lineRule="auto"/>
              <w:ind w:firstLine="420" w:firstLineChars="200"/>
              <w:rPr>
                <w:rFonts w:hint="eastAsia"/>
                <w:color w:val="auto"/>
                <w:szCs w:val="21"/>
              </w:rPr>
            </w:pPr>
            <w:r>
              <w:rPr>
                <w:rFonts w:hint="eastAsia"/>
                <w:color w:val="auto"/>
                <w:szCs w:val="21"/>
              </w:rPr>
              <w:t>GB/T 30948</w:t>
            </w:r>
            <w:r>
              <w:rPr>
                <w:rFonts w:hint="eastAsia"/>
                <w:color w:val="auto"/>
                <w:szCs w:val="21"/>
                <w:lang w:eastAsia="zh-CN"/>
              </w:rPr>
              <w:t>—</w:t>
            </w:r>
            <w:r>
              <w:rPr>
                <w:rFonts w:hint="eastAsia"/>
                <w:color w:val="auto"/>
                <w:szCs w:val="21"/>
                <w:lang w:val="en-US" w:eastAsia="zh-CN"/>
              </w:rPr>
              <w:t>2021</w:t>
            </w:r>
            <w:r>
              <w:rPr>
                <w:rFonts w:hint="eastAsia"/>
                <w:color w:val="auto"/>
                <w:szCs w:val="21"/>
              </w:rPr>
              <w:t xml:space="preserve">  泵站技术管理规程</w:t>
            </w:r>
          </w:p>
          <w:p w14:paraId="349BF6C0">
            <w:pPr>
              <w:spacing w:line="360" w:lineRule="auto"/>
              <w:ind w:firstLine="420" w:firstLineChars="200"/>
              <w:rPr>
                <w:rFonts w:hint="eastAsia"/>
                <w:color w:val="auto"/>
                <w:szCs w:val="21"/>
              </w:rPr>
            </w:pPr>
            <w:r>
              <w:rPr>
                <w:rFonts w:hint="eastAsia"/>
                <w:color w:val="auto"/>
                <w:lang w:val="en-US" w:eastAsia="zh-CN"/>
              </w:rPr>
              <w:t>GB 50053—2013  20kV及以下变电所设计</w:t>
            </w:r>
          </w:p>
          <w:p w14:paraId="5A4AF88A">
            <w:pPr>
              <w:spacing w:line="360" w:lineRule="auto"/>
              <w:ind w:firstLine="420" w:firstLineChars="20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GB 50150—2016  电气装置安装工程 电气设备交接试验标准</w:t>
            </w:r>
          </w:p>
          <w:p w14:paraId="19249BD6">
            <w:pPr>
              <w:spacing w:line="360" w:lineRule="auto"/>
              <w:ind w:firstLine="420" w:firstLineChars="200"/>
              <w:rPr>
                <w:rFonts w:hint="eastAsia"/>
                <w:color w:val="auto"/>
                <w:szCs w:val="21"/>
              </w:rPr>
            </w:pPr>
            <w:r>
              <w:rPr>
                <w:rFonts w:hint="eastAsia"/>
                <w:color w:val="auto"/>
                <w:szCs w:val="21"/>
              </w:rPr>
              <w:t>GB 50265</w:t>
            </w:r>
            <w:r>
              <w:rPr>
                <w:rFonts w:hint="eastAsia"/>
                <w:color w:val="auto"/>
                <w:szCs w:val="21"/>
                <w:lang w:eastAsia="zh-CN"/>
              </w:rPr>
              <w:t>—</w:t>
            </w:r>
            <w:r>
              <w:rPr>
                <w:rFonts w:hint="eastAsia"/>
                <w:color w:val="auto"/>
                <w:szCs w:val="21"/>
                <w:lang w:val="en-US" w:eastAsia="zh-CN"/>
              </w:rPr>
              <w:t>2022</w:t>
            </w:r>
            <w:r>
              <w:rPr>
                <w:rFonts w:hint="eastAsia"/>
                <w:color w:val="auto"/>
                <w:szCs w:val="21"/>
              </w:rPr>
              <w:t xml:space="preserve">  泵站设计标准</w:t>
            </w:r>
          </w:p>
          <w:p w14:paraId="2C2D1320">
            <w:pPr>
              <w:spacing w:line="360" w:lineRule="auto"/>
              <w:ind w:firstLine="420" w:firstLineChars="200"/>
              <w:rPr>
                <w:rFonts w:hint="eastAsia"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GB/T 50312</w:t>
            </w:r>
            <w:r>
              <w:rPr>
                <w:rFonts w:hint="eastAsia" w:ascii="Times New Roman" w:hAnsi="Times New Roman" w:cs="Times New Roman"/>
                <w:color w:val="auto"/>
                <w:szCs w:val="21"/>
                <w:lang w:val="en-US" w:eastAsia="zh-CN"/>
              </w:rPr>
              <w:t>—2016  综合布线工程验收规范</w:t>
            </w:r>
          </w:p>
          <w:p w14:paraId="06A4431B">
            <w:pPr>
              <w:spacing w:line="360" w:lineRule="auto"/>
              <w:ind w:firstLine="420" w:firstLineChars="200"/>
              <w:rPr>
                <w:rFonts w:hint="eastAsia" w:ascii="Times New Roman" w:hAnsi="Times New Roman" w:cs="Times New Roman"/>
                <w:color w:val="auto"/>
                <w:szCs w:val="21"/>
                <w:lang w:val="en-US" w:eastAsia="zh-CN"/>
              </w:rPr>
            </w:pPr>
            <w:r>
              <w:rPr>
                <w:rFonts w:hint="eastAsia"/>
                <w:color w:val="auto"/>
                <w:lang w:val="en-US" w:eastAsia="zh-CN"/>
              </w:rPr>
              <w:t>GB 51348—2019  民用建筑电气设计标准</w:t>
            </w:r>
          </w:p>
          <w:p w14:paraId="3FA9957C">
            <w:pPr>
              <w:spacing w:line="360" w:lineRule="auto"/>
              <w:ind w:firstLine="436" w:firstLineChars="200"/>
              <w:rPr>
                <w:rFonts w:hint="eastAsia" w:ascii="Times New Roman" w:hAnsi="Times New Roman" w:cs="Times New Roman"/>
                <w:color w:val="auto"/>
                <w:szCs w:val="21"/>
                <w:lang w:val="en-US" w:eastAsia="zh-CN"/>
              </w:rPr>
            </w:pPr>
            <w:r>
              <w:rPr>
                <w:rFonts w:hint="eastAsia" w:ascii="宋体" w:hAnsi="宋体" w:eastAsia="宋体" w:cs="Times New Roman"/>
                <w:strike w:val="0"/>
                <w:dstrike w:val="0"/>
                <w:color w:val="auto"/>
                <w:spacing w:val="4"/>
                <w:sz w:val="21"/>
                <w:szCs w:val="21"/>
                <w:lang w:val="en-US" w:eastAsia="zh-CN"/>
              </w:rPr>
              <w:t>DL/T</w:t>
            </w:r>
            <w:r>
              <w:rPr>
                <w:rFonts w:hint="eastAsia" w:ascii="宋体" w:hAnsi="宋体" w:cs="Times New Roman"/>
                <w:strike w:val="0"/>
                <w:dstrike w:val="0"/>
                <w:color w:val="auto"/>
                <w:spacing w:val="4"/>
                <w:sz w:val="21"/>
                <w:szCs w:val="21"/>
                <w:lang w:val="en-US" w:eastAsia="zh-CN"/>
              </w:rPr>
              <w:t xml:space="preserve"> </w:t>
            </w:r>
            <w:r>
              <w:rPr>
                <w:rFonts w:hint="eastAsia" w:ascii="宋体" w:hAnsi="宋体" w:eastAsia="宋体" w:cs="Times New Roman"/>
                <w:strike w:val="0"/>
                <w:dstrike w:val="0"/>
                <w:color w:val="auto"/>
                <w:spacing w:val="4"/>
                <w:sz w:val="21"/>
                <w:szCs w:val="21"/>
                <w:lang w:val="en-US" w:eastAsia="zh-CN"/>
              </w:rPr>
              <w:t>1971—2019</w:t>
            </w:r>
            <w:r>
              <w:rPr>
                <w:rFonts w:hint="eastAsia" w:ascii="宋体" w:hAnsi="宋体" w:cs="Times New Roman"/>
                <w:strike w:val="0"/>
                <w:dstrike w:val="0"/>
                <w:color w:val="auto"/>
                <w:spacing w:val="4"/>
                <w:sz w:val="21"/>
                <w:szCs w:val="21"/>
                <w:lang w:val="en-US" w:eastAsia="zh-CN"/>
              </w:rPr>
              <w:t xml:space="preserve">  </w:t>
            </w:r>
            <w:r>
              <w:rPr>
                <w:rFonts w:hint="eastAsia" w:ascii="宋体" w:hAnsi="宋体" w:eastAsia="宋体" w:cs="Times New Roman"/>
                <w:strike w:val="0"/>
                <w:dstrike w:val="0"/>
                <w:color w:val="auto"/>
                <w:spacing w:val="4"/>
                <w:sz w:val="21"/>
                <w:szCs w:val="21"/>
                <w:lang w:val="en-US" w:eastAsia="zh-CN"/>
              </w:rPr>
              <w:t>水轮发电机组状态在线监测系统运行及维护规程</w:t>
            </w:r>
          </w:p>
          <w:p w14:paraId="0B84914F">
            <w:pPr>
              <w:spacing w:line="360" w:lineRule="auto"/>
              <w:ind w:firstLine="420" w:firstLineChars="200"/>
              <w:rPr>
                <w:rFonts w:hint="eastAsia"/>
                <w:color w:val="auto"/>
                <w:szCs w:val="21"/>
              </w:rPr>
            </w:pPr>
            <w:r>
              <w:rPr>
                <w:rFonts w:hint="eastAsia"/>
                <w:color w:val="auto"/>
                <w:szCs w:val="21"/>
              </w:rPr>
              <w:t>SL 75</w:t>
            </w:r>
            <w:r>
              <w:rPr>
                <w:rFonts w:hint="eastAsia"/>
                <w:color w:val="auto"/>
                <w:szCs w:val="21"/>
                <w:lang w:eastAsia="zh-CN"/>
              </w:rPr>
              <w:t>—</w:t>
            </w:r>
            <w:r>
              <w:rPr>
                <w:rFonts w:hint="eastAsia"/>
                <w:color w:val="auto"/>
                <w:szCs w:val="21"/>
                <w:lang w:val="en-US" w:eastAsia="zh-CN"/>
              </w:rPr>
              <w:t>2014</w:t>
            </w:r>
            <w:r>
              <w:rPr>
                <w:rFonts w:hint="eastAsia"/>
                <w:color w:val="auto"/>
                <w:szCs w:val="21"/>
              </w:rPr>
              <w:t xml:space="preserve">  水闸技术管理规程</w:t>
            </w:r>
          </w:p>
          <w:p w14:paraId="4B22CA4F">
            <w:pPr>
              <w:spacing w:line="360" w:lineRule="auto"/>
              <w:ind w:firstLine="436" w:firstLineChars="200"/>
              <w:rPr>
                <w:rFonts w:hint="eastAsia" w:ascii="Times New Roman" w:hAnsi="Times New Roman" w:cs="Times New Roman"/>
                <w:color w:val="auto"/>
                <w:szCs w:val="21"/>
                <w:lang w:val="en-US" w:eastAsia="zh-CN"/>
              </w:rPr>
            </w:pPr>
            <w:r>
              <w:rPr>
                <w:rFonts w:hint="eastAsia" w:ascii="宋体" w:hAnsi="宋体" w:eastAsia="宋体" w:cs="Times New Roman"/>
                <w:strike w:val="0"/>
                <w:dstrike w:val="0"/>
                <w:color w:val="auto"/>
                <w:spacing w:val="4"/>
                <w:sz w:val="21"/>
                <w:szCs w:val="21"/>
                <w:lang w:val="en-US" w:eastAsia="zh-CN"/>
              </w:rPr>
              <w:t>SL 176</w:t>
            </w:r>
            <w:r>
              <w:rPr>
                <w:rFonts w:hint="eastAsia" w:ascii="宋体" w:hAnsi="宋体" w:cs="Times New Roman"/>
                <w:strike w:val="0"/>
                <w:dstrike w:val="0"/>
                <w:color w:val="auto"/>
                <w:spacing w:val="4"/>
                <w:sz w:val="21"/>
                <w:szCs w:val="21"/>
                <w:lang w:val="en-US" w:eastAsia="zh-CN"/>
              </w:rPr>
              <w:t xml:space="preserve">—2007  </w:t>
            </w:r>
            <w:r>
              <w:rPr>
                <w:rFonts w:hint="eastAsia" w:ascii="宋体" w:hAnsi="宋体" w:eastAsia="宋体" w:cs="Times New Roman"/>
                <w:strike w:val="0"/>
                <w:dstrike w:val="0"/>
                <w:color w:val="auto"/>
                <w:spacing w:val="4"/>
                <w:sz w:val="21"/>
                <w:szCs w:val="21"/>
                <w:lang w:val="en-US" w:eastAsia="zh-CN"/>
              </w:rPr>
              <w:t>水利水电工程施工质量检验与评定规程</w:t>
            </w:r>
          </w:p>
          <w:p w14:paraId="40ECD12A">
            <w:pPr>
              <w:spacing w:line="360" w:lineRule="auto"/>
              <w:ind w:firstLine="420" w:firstLineChars="200"/>
              <w:rPr>
                <w:rFonts w:hint="eastAsia"/>
                <w:color w:val="auto"/>
                <w:szCs w:val="21"/>
              </w:rPr>
            </w:pPr>
            <w:r>
              <w:rPr>
                <w:rFonts w:hint="eastAsia"/>
                <w:color w:val="auto"/>
                <w:szCs w:val="21"/>
              </w:rPr>
              <w:t>SL 317</w:t>
            </w:r>
            <w:r>
              <w:rPr>
                <w:rFonts w:hint="eastAsia"/>
                <w:color w:val="auto"/>
                <w:szCs w:val="21"/>
                <w:lang w:eastAsia="zh-CN"/>
              </w:rPr>
              <w:t>—</w:t>
            </w:r>
            <w:r>
              <w:rPr>
                <w:rFonts w:hint="eastAsia"/>
                <w:color w:val="auto"/>
                <w:szCs w:val="21"/>
                <w:lang w:val="en-US" w:eastAsia="zh-CN"/>
              </w:rPr>
              <w:t>2023</w:t>
            </w:r>
            <w:r>
              <w:rPr>
                <w:rFonts w:hint="eastAsia"/>
                <w:color w:val="auto"/>
                <w:szCs w:val="21"/>
              </w:rPr>
              <w:t xml:space="preserve">  泵站设备安装及验收规范</w:t>
            </w:r>
          </w:p>
          <w:p w14:paraId="4CFDC9C7">
            <w:pPr>
              <w:spacing w:line="360" w:lineRule="auto"/>
              <w:ind w:firstLine="420" w:firstLineChars="20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SL</w:t>
            </w:r>
            <w:r>
              <w:rPr>
                <w:rFonts w:hint="eastAsia" w:cs="Times New Roman"/>
                <w:color w:val="auto"/>
                <w:szCs w:val="21"/>
                <w:lang w:val="en-US" w:eastAsia="zh-CN"/>
              </w:rPr>
              <w:t xml:space="preserve"> </w:t>
            </w:r>
            <w:r>
              <w:rPr>
                <w:rFonts w:hint="eastAsia" w:ascii="Times New Roman" w:hAnsi="Times New Roman" w:cs="Times New Roman"/>
                <w:color w:val="auto"/>
                <w:szCs w:val="21"/>
                <w:lang w:val="en-US" w:eastAsia="zh-CN"/>
              </w:rPr>
              <w:t>570—2013  水利水电工程管理技术术语</w:t>
            </w:r>
          </w:p>
          <w:p w14:paraId="0738CC99">
            <w:pPr>
              <w:spacing w:line="360" w:lineRule="auto"/>
              <w:ind w:firstLine="420" w:firstLineChars="200"/>
              <w:rPr>
                <w:rFonts w:hint="eastAsia"/>
                <w:szCs w:val="21"/>
                <w:lang w:val="en-US" w:eastAsia="zh-CN"/>
              </w:rPr>
            </w:pPr>
            <w:r>
              <w:rPr>
                <w:rFonts w:hint="eastAsia"/>
                <w:szCs w:val="21"/>
              </w:rPr>
              <w:t xml:space="preserve">SL </w:t>
            </w:r>
            <w:r>
              <w:rPr>
                <w:rFonts w:hint="eastAsia"/>
                <w:szCs w:val="21"/>
                <w:lang w:val="en-US" w:eastAsia="zh-CN"/>
              </w:rPr>
              <w:t>625</w:t>
            </w:r>
            <w:r>
              <w:rPr>
                <w:rFonts w:hint="eastAsia"/>
                <w:szCs w:val="21"/>
                <w:lang w:eastAsia="zh-CN"/>
              </w:rPr>
              <w:t>—</w:t>
            </w:r>
            <w:r>
              <w:rPr>
                <w:rFonts w:hint="eastAsia"/>
                <w:szCs w:val="21"/>
              </w:rPr>
              <w:t>20</w:t>
            </w:r>
            <w:r>
              <w:rPr>
                <w:rFonts w:hint="eastAsia"/>
                <w:szCs w:val="21"/>
                <w:lang w:val="en-US" w:eastAsia="zh-CN"/>
              </w:rPr>
              <w:t>13</w:t>
            </w:r>
            <w:r>
              <w:rPr>
                <w:rFonts w:hint="eastAsia"/>
                <w:szCs w:val="21"/>
              </w:rPr>
              <w:t xml:space="preserve"> </w:t>
            </w:r>
            <w:r>
              <w:rPr>
                <w:rFonts w:hint="eastAsia"/>
                <w:szCs w:val="21"/>
                <w:lang w:val="en-US" w:eastAsia="zh-CN"/>
              </w:rPr>
              <w:t xml:space="preserve"> 水泵液压调节系统基本技术规范</w:t>
            </w:r>
          </w:p>
          <w:p w14:paraId="2F38656D">
            <w:pPr>
              <w:spacing w:line="360" w:lineRule="auto"/>
              <w:ind w:firstLine="420" w:firstLineChars="200"/>
              <w:rPr>
                <w:rFonts w:hint="eastAsia"/>
                <w:szCs w:val="21"/>
              </w:rPr>
            </w:pPr>
            <w:r>
              <w:rPr>
                <w:rFonts w:hint="eastAsia"/>
                <w:szCs w:val="21"/>
              </w:rPr>
              <w:t>SL∕T 722</w:t>
            </w:r>
            <w:r>
              <w:rPr>
                <w:rFonts w:hint="eastAsia"/>
                <w:szCs w:val="21"/>
                <w:lang w:eastAsia="zh-CN"/>
              </w:rPr>
              <w:t>—</w:t>
            </w:r>
            <w:r>
              <w:rPr>
                <w:rFonts w:hint="eastAsia"/>
                <w:szCs w:val="21"/>
              </w:rPr>
              <w:t xml:space="preserve">2020 </w:t>
            </w:r>
            <w:r>
              <w:rPr>
                <w:rFonts w:hint="eastAsia"/>
                <w:szCs w:val="21"/>
                <w:lang w:val="en-US" w:eastAsia="zh-CN"/>
              </w:rPr>
              <w:t xml:space="preserve"> </w:t>
            </w:r>
            <w:r>
              <w:rPr>
                <w:rFonts w:hint="eastAsia"/>
                <w:szCs w:val="21"/>
              </w:rPr>
              <w:t>水工钢闸门和启闭机安全运行规程</w:t>
            </w:r>
          </w:p>
          <w:p w14:paraId="2EDC408B">
            <w:pPr>
              <w:spacing w:line="360" w:lineRule="auto"/>
              <w:ind w:firstLine="436" w:firstLineChars="200"/>
              <w:rPr>
                <w:rFonts w:hint="eastAsia"/>
                <w:color w:val="auto"/>
                <w:szCs w:val="21"/>
              </w:rPr>
            </w:pPr>
            <w:r>
              <w:rPr>
                <w:rFonts w:hint="eastAsia" w:ascii="宋体" w:hAnsi="宋体" w:eastAsia="宋体" w:cs="Times New Roman"/>
                <w:strike w:val="0"/>
                <w:dstrike w:val="0"/>
                <w:color w:val="auto"/>
                <w:spacing w:val="4"/>
                <w:sz w:val="21"/>
                <w:szCs w:val="21"/>
                <w:lang w:val="en-US" w:eastAsia="zh-CN"/>
              </w:rPr>
              <w:t>DB34/T 2923-2017</w:t>
            </w:r>
            <w:r>
              <w:rPr>
                <w:rFonts w:hint="eastAsia" w:ascii="宋体" w:hAnsi="宋体" w:cs="Times New Roman"/>
                <w:strike w:val="0"/>
                <w:dstrike w:val="0"/>
                <w:color w:val="auto"/>
                <w:spacing w:val="4"/>
                <w:sz w:val="21"/>
                <w:szCs w:val="21"/>
                <w:lang w:val="en-US" w:eastAsia="zh-CN"/>
              </w:rPr>
              <w:t xml:space="preserve">  </w:t>
            </w:r>
            <w:r>
              <w:rPr>
                <w:rFonts w:hint="eastAsia" w:ascii="宋体" w:hAnsi="宋体" w:eastAsia="宋体" w:cs="Times New Roman"/>
                <w:strike w:val="0"/>
                <w:dstrike w:val="0"/>
                <w:color w:val="auto"/>
                <w:spacing w:val="4"/>
                <w:sz w:val="21"/>
                <w:szCs w:val="21"/>
                <w:lang w:val="en-US" w:eastAsia="zh-CN"/>
              </w:rPr>
              <w:t>水利工程视频图像站建设技术规范</w:t>
            </w:r>
          </w:p>
          <w:p w14:paraId="46E8828E">
            <w:pPr>
              <w:spacing w:line="360" w:lineRule="auto"/>
              <w:ind w:firstLine="436" w:firstLineChars="200"/>
              <w:rPr>
                <w:rFonts w:hint="default"/>
                <w:color w:val="auto"/>
                <w:szCs w:val="21"/>
                <w:lang w:val="en-US"/>
              </w:rPr>
            </w:pPr>
            <w:r>
              <w:rPr>
                <w:rFonts w:hint="eastAsia" w:ascii="宋体" w:hAnsi="宋体" w:eastAsia="宋体" w:cs="Times New Roman"/>
                <w:strike w:val="0"/>
                <w:dstrike w:val="0"/>
                <w:color w:val="auto"/>
                <w:spacing w:val="4"/>
                <w:sz w:val="21"/>
                <w:szCs w:val="21"/>
                <w:lang w:val="en-US" w:eastAsia="zh-CN"/>
              </w:rPr>
              <w:t>DB34/T 4640</w:t>
            </w:r>
            <w:r>
              <w:rPr>
                <w:rFonts w:hint="eastAsia" w:ascii="宋体" w:hAnsi="宋体" w:cs="Times New Roman"/>
                <w:strike w:val="0"/>
                <w:dstrike w:val="0"/>
                <w:color w:val="auto"/>
                <w:spacing w:val="4"/>
                <w:sz w:val="21"/>
                <w:szCs w:val="21"/>
                <w:lang w:val="en-US" w:eastAsia="zh-CN"/>
              </w:rPr>
              <w:t>—</w:t>
            </w:r>
            <w:r>
              <w:rPr>
                <w:rFonts w:hint="eastAsia" w:ascii="宋体" w:hAnsi="宋体" w:eastAsia="宋体" w:cs="Times New Roman"/>
                <w:strike w:val="0"/>
                <w:dstrike w:val="0"/>
                <w:color w:val="auto"/>
                <w:spacing w:val="4"/>
                <w:sz w:val="21"/>
                <w:szCs w:val="21"/>
                <w:lang w:val="en-US" w:eastAsia="zh-CN"/>
              </w:rPr>
              <w:t>2023</w:t>
            </w:r>
            <w:r>
              <w:rPr>
                <w:rFonts w:hint="eastAsia" w:ascii="宋体" w:hAnsi="宋体" w:cs="Times New Roman"/>
                <w:strike w:val="0"/>
                <w:dstrike w:val="0"/>
                <w:color w:val="auto"/>
                <w:spacing w:val="4"/>
                <w:sz w:val="21"/>
                <w:szCs w:val="21"/>
                <w:lang w:val="en-US" w:eastAsia="zh-CN"/>
              </w:rPr>
              <w:t xml:space="preserve">  </w:t>
            </w:r>
            <w:r>
              <w:rPr>
                <w:rFonts w:hint="eastAsia" w:ascii="宋体" w:hAnsi="宋体" w:eastAsia="宋体" w:cs="Times New Roman"/>
                <w:strike w:val="0"/>
                <w:dstrike w:val="0"/>
                <w:color w:val="auto"/>
                <w:spacing w:val="4"/>
                <w:sz w:val="21"/>
                <w:szCs w:val="21"/>
                <w:lang w:val="en-US" w:eastAsia="zh-CN"/>
              </w:rPr>
              <w:t>“雪亮工程”运维服务规范</w:t>
            </w:r>
          </w:p>
          <w:p w14:paraId="3F943869">
            <w:pPr>
              <w:spacing w:line="360" w:lineRule="auto"/>
              <w:ind w:firstLine="436" w:firstLineChars="200"/>
              <w:rPr>
                <w:rFonts w:hint="eastAsia" w:ascii="宋体" w:hAnsi="宋体" w:eastAsia="宋体" w:cs="Times New Roman"/>
                <w:strike w:val="0"/>
                <w:dstrike w:val="0"/>
                <w:color w:val="auto"/>
                <w:spacing w:val="4"/>
                <w:sz w:val="21"/>
                <w:szCs w:val="21"/>
                <w:lang w:val="en-US" w:eastAsia="zh-CN"/>
              </w:rPr>
            </w:pPr>
            <w:r>
              <w:rPr>
                <w:rFonts w:hint="eastAsia" w:ascii="宋体" w:hAnsi="宋体" w:eastAsia="宋体" w:cs="Times New Roman"/>
                <w:strike w:val="0"/>
                <w:dstrike w:val="0"/>
                <w:color w:val="auto"/>
                <w:spacing w:val="4"/>
                <w:sz w:val="21"/>
                <w:szCs w:val="21"/>
                <w:lang w:val="en-US" w:eastAsia="zh-CN"/>
              </w:rPr>
              <w:t>DB36/T 743.2</w:t>
            </w:r>
            <w:r>
              <w:rPr>
                <w:rFonts w:hint="eastAsia" w:ascii="宋体" w:hAnsi="宋体" w:cs="Times New Roman"/>
                <w:strike w:val="0"/>
                <w:dstrike w:val="0"/>
                <w:color w:val="auto"/>
                <w:spacing w:val="4"/>
                <w:sz w:val="21"/>
                <w:szCs w:val="21"/>
                <w:lang w:val="en-US" w:eastAsia="zh-CN"/>
              </w:rPr>
              <w:t>—</w:t>
            </w:r>
            <w:r>
              <w:rPr>
                <w:rFonts w:hint="eastAsia" w:ascii="宋体" w:hAnsi="宋体" w:eastAsia="宋体" w:cs="Times New Roman"/>
                <w:strike w:val="0"/>
                <w:dstrike w:val="0"/>
                <w:color w:val="auto"/>
                <w:spacing w:val="4"/>
                <w:sz w:val="21"/>
                <w:szCs w:val="21"/>
                <w:lang w:val="en-US" w:eastAsia="zh-CN"/>
              </w:rPr>
              <w:t>2021</w:t>
            </w:r>
            <w:r>
              <w:rPr>
                <w:rFonts w:hint="eastAsia" w:ascii="宋体" w:hAnsi="宋体" w:cs="Times New Roman"/>
                <w:strike w:val="0"/>
                <w:dstrike w:val="0"/>
                <w:color w:val="auto"/>
                <w:spacing w:val="4"/>
                <w:sz w:val="21"/>
                <w:szCs w:val="21"/>
                <w:lang w:val="en-US" w:eastAsia="zh-CN"/>
              </w:rPr>
              <w:t xml:space="preserve">  </w:t>
            </w:r>
            <w:r>
              <w:rPr>
                <w:rFonts w:hint="eastAsia" w:ascii="宋体" w:hAnsi="宋体" w:eastAsia="宋体" w:cs="Times New Roman"/>
                <w:strike w:val="0"/>
                <w:dstrike w:val="0"/>
                <w:color w:val="auto"/>
                <w:spacing w:val="4"/>
                <w:sz w:val="21"/>
                <w:szCs w:val="21"/>
                <w:lang w:val="en-US" w:eastAsia="zh-CN"/>
              </w:rPr>
              <w:t>高速公路机电系统维护技术规范 第2部分：监控系统</w:t>
            </w:r>
          </w:p>
          <w:p w14:paraId="529F2EA6">
            <w:pPr>
              <w:spacing w:line="360" w:lineRule="auto"/>
              <w:ind w:firstLine="436" w:firstLineChars="200"/>
              <w:rPr>
                <w:rFonts w:hint="eastAsia" w:ascii="宋体" w:hAnsi="宋体" w:eastAsia="宋体" w:cs="Times New Roman"/>
                <w:strike w:val="0"/>
                <w:dstrike w:val="0"/>
                <w:color w:val="auto"/>
                <w:spacing w:val="4"/>
                <w:sz w:val="21"/>
                <w:szCs w:val="21"/>
                <w:lang w:val="en-US" w:eastAsia="zh-CN"/>
              </w:rPr>
            </w:pPr>
            <w:r>
              <w:rPr>
                <w:rFonts w:hint="eastAsia" w:ascii="宋体" w:hAnsi="宋体" w:eastAsia="宋体" w:cs="Times New Roman"/>
                <w:strike w:val="0"/>
                <w:dstrike w:val="0"/>
                <w:color w:val="auto"/>
                <w:spacing w:val="4"/>
                <w:sz w:val="21"/>
                <w:szCs w:val="21"/>
                <w:lang w:val="en-US" w:eastAsia="zh-CN"/>
              </w:rPr>
              <w:t>DB54/T 0160-2019</w:t>
            </w:r>
            <w:r>
              <w:rPr>
                <w:rFonts w:hint="eastAsia" w:ascii="宋体" w:hAnsi="宋体" w:cs="Times New Roman"/>
                <w:strike w:val="0"/>
                <w:dstrike w:val="0"/>
                <w:color w:val="auto"/>
                <w:spacing w:val="4"/>
                <w:sz w:val="21"/>
                <w:szCs w:val="21"/>
                <w:lang w:val="en-US" w:eastAsia="zh-CN"/>
              </w:rPr>
              <w:t xml:space="preserve">  </w:t>
            </w:r>
            <w:r>
              <w:rPr>
                <w:rFonts w:hint="eastAsia" w:ascii="宋体" w:hAnsi="宋体" w:eastAsia="宋体" w:cs="Times New Roman"/>
                <w:strike w:val="0"/>
                <w:dstrike w:val="0"/>
                <w:color w:val="auto"/>
                <w:spacing w:val="4"/>
                <w:sz w:val="21"/>
                <w:szCs w:val="21"/>
                <w:lang w:val="en-US" w:eastAsia="zh-CN"/>
              </w:rPr>
              <w:t>水利工程视频监控系统技术规范</w:t>
            </w:r>
          </w:p>
          <w:p w14:paraId="54B8D501">
            <w:pPr>
              <w:spacing w:line="360" w:lineRule="auto"/>
              <w:rPr>
                <w:kern w:val="0"/>
              </w:rPr>
            </w:pPr>
            <w:r>
              <w:rPr>
                <w:kern w:val="0"/>
              </w:rPr>
              <w:t>（三）与现行法律、法规、标准的关系</w:t>
            </w:r>
          </w:p>
          <w:p w14:paraId="09316B1E">
            <w:pPr>
              <w:spacing w:line="360" w:lineRule="auto"/>
              <w:ind w:firstLine="420" w:firstLineChars="200"/>
              <w:rPr>
                <w:szCs w:val="21"/>
              </w:rPr>
            </w:pPr>
            <w:r>
              <w:rPr>
                <w:kern w:val="0"/>
              </w:rPr>
              <w:t>本标准与现行相关的法律、法规、标准相协调，无冲突。</w:t>
            </w:r>
          </w:p>
        </w:tc>
      </w:tr>
      <w:tr w14:paraId="255B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01328325">
            <w:pPr>
              <w:pStyle w:val="9"/>
              <w:adjustRightInd w:val="0"/>
              <w:spacing w:line="360" w:lineRule="auto"/>
              <w:ind w:firstLine="0" w:firstLineChars="0"/>
              <w:contextualSpacing/>
              <w:rPr>
                <w:rFonts w:ascii="Times New Roman"/>
                <w:szCs w:val="21"/>
              </w:rPr>
            </w:pPr>
            <w:r>
              <w:rPr>
                <w:rFonts w:ascii="Times New Roman"/>
                <w:szCs w:val="21"/>
              </w:rPr>
              <w:t>4、主要条款的说明，主要技术指标、参数、试验验证的论述（</w:t>
            </w:r>
            <w:r>
              <w:rPr>
                <w:rFonts w:ascii="Times New Roman"/>
                <w:b/>
                <w:szCs w:val="21"/>
              </w:rPr>
              <w:t>详细说明</w:t>
            </w:r>
            <w:r>
              <w:rPr>
                <w:rFonts w:ascii="Times New Roman"/>
                <w:szCs w:val="21"/>
              </w:rPr>
              <w:t>）</w:t>
            </w:r>
          </w:p>
        </w:tc>
      </w:tr>
      <w:tr w14:paraId="099A9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14:paraId="04EEC685">
            <w:pPr>
              <w:keepNext w:val="0"/>
              <w:keepLines w:val="0"/>
              <w:pageBreakBefore w:val="0"/>
              <w:widowControl w:val="0"/>
              <w:kinsoku/>
              <w:wordWrap/>
              <w:overflowPunct/>
              <w:topLinePunct w:val="0"/>
              <w:autoSpaceDE/>
              <w:autoSpaceDN/>
              <w:bidi w:val="0"/>
              <w:adjustRightInd/>
              <w:snapToGrid/>
              <w:spacing w:line="360" w:lineRule="auto"/>
              <w:textAlignment w:val="auto"/>
              <w:rPr>
                <w:szCs w:val="21"/>
              </w:rPr>
            </w:pPr>
            <w:r>
              <w:rPr>
                <w:b/>
                <w:bCs/>
                <w:szCs w:val="21"/>
              </w:rPr>
              <w:t>主要条款：</w:t>
            </w:r>
          </w:p>
          <w:p w14:paraId="0653BD20">
            <w:pPr>
              <w:keepNext w:val="0"/>
              <w:keepLines w:val="0"/>
              <w:pageBreakBefore w:val="0"/>
              <w:kinsoku/>
              <w:wordWrap/>
              <w:overflowPunct/>
              <w:topLinePunct w:val="0"/>
              <w:bidi w:val="0"/>
              <w:spacing w:line="360" w:lineRule="auto"/>
              <w:ind w:firstLine="420" w:firstLineChars="200"/>
              <w:textAlignment w:val="auto"/>
              <w:rPr>
                <w:szCs w:val="21"/>
              </w:rPr>
            </w:pPr>
            <w:r>
              <w:rPr>
                <w:szCs w:val="21"/>
              </w:rPr>
              <w:t>本标准的章节由：前言、范围、规范性引用文件、术语和定义、基本要求、</w:t>
            </w:r>
            <w:r>
              <w:rPr>
                <w:rFonts w:hint="eastAsia"/>
                <w:szCs w:val="21"/>
              </w:rPr>
              <w:t>主机组、电气设备、辅助设备、金属结构及启闭设备、监控系统与视频监视系统、附属设施</w:t>
            </w:r>
            <w:r>
              <w:rPr>
                <w:szCs w:val="21"/>
              </w:rPr>
              <w:t>、附录组成。</w:t>
            </w:r>
          </w:p>
          <w:p w14:paraId="4D3E5489">
            <w:pPr>
              <w:pStyle w:val="13"/>
              <w:keepNext w:val="0"/>
              <w:keepLines w:val="0"/>
              <w:pageBreakBefore w:val="0"/>
              <w:numPr>
                <w:ilvl w:val="0"/>
                <w:numId w:val="1"/>
              </w:numPr>
              <w:kinsoku/>
              <w:wordWrap/>
              <w:overflowPunct/>
              <w:topLinePunct w:val="0"/>
              <w:bidi w:val="0"/>
              <w:spacing w:line="360" w:lineRule="auto"/>
              <w:ind w:firstLine="420"/>
              <w:textAlignment w:val="auto"/>
              <w:rPr>
                <w:rFonts w:hint="eastAsia" w:ascii="宋体" w:hAnsi="宋体" w:cs="仿宋_GB2312"/>
                <w:color w:val="auto"/>
                <w:szCs w:val="21"/>
                <w:shd w:val="clear" w:color="auto" w:fill="FFFFFF"/>
              </w:rPr>
            </w:pPr>
            <w:r>
              <w:rPr>
                <w:rFonts w:ascii="Times New Roman"/>
                <w:color w:val="auto"/>
                <w:szCs w:val="21"/>
              </w:rPr>
              <w:t>范围：</w:t>
            </w:r>
            <w:r>
              <w:rPr>
                <w:rFonts w:hint="eastAsia" w:ascii="宋体" w:hAnsi="宋体" w:cs="仿宋_GB2312"/>
                <w:color w:val="auto"/>
                <w:szCs w:val="21"/>
                <w:shd w:val="clear" w:color="auto" w:fill="FFFFFF"/>
                <w:lang w:eastAsia="zh-CN"/>
              </w:rPr>
              <w:t>本文件</w:t>
            </w:r>
            <w:r>
              <w:rPr>
                <w:rFonts w:hint="eastAsia" w:ascii="宋体" w:hAnsi="宋体" w:cs="仿宋_GB2312"/>
                <w:color w:val="auto"/>
                <w:szCs w:val="21"/>
                <w:shd w:val="clear" w:color="auto" w:fill="FFFFFF"/>
              </w:rPr>
              <w:t>适用于灌溉、排水、引（调）水</w:t>
            </w:r>
            <w:r>
              <w:rPr>
                <w:rFonts w:hint="eastAsia" w:ascii="宋体" w:hAnsi="宋体" w:cs="仿宋_GB2312"/>
                <w:color w:val="auto"/>
                <w:szCs w:val="21"/>
                <w:shd w:val="clear" w:color="auto" w:fill="FFFFFF"/>
                <w:lang w:eastAsia="zh-CN"/>
              </w:rPr>
              <w:t>、</w:t>
            </w:r>
            <w:r>
              <w:rPr>
                <w:rFonts w:hint="eastAsia" w:ascii="宋体" w:hAnsi="宋体" w:eastAsia="宋体" w:cs="仿宋_GB2312"/>
                <w:color w:val="auto"/>
                <w:kern w:val="2"/>
                <w:sz w:val="21"/>
                <w:szCs w:val="21"/>
                <w:shd w:val="clear" w:color="auto" w:fill="FFFFFF"/>
                <w:lang w:val="en-US" w:eastAsia="zh-CN" w:bidi="ar-SA"/>
              </w:rPr>
              <w:t>城镇供排水</w:t>
            </w:r>
            <w:r>
              <w:rPr>
                <w:rFonts w:hint="eastAsia" w:ascii="宋体" w:hAnsi="宋体" w:cs="仿宋_GB2312"/>
                <w:color w:val="auto"/>
                <w:szCs w:val="21"/>
                <w:shd w:val="clear" w:color="auto" w:fill="FFFFFF"/>
              </w:rPr>
              <w:t>等大型泵站及安装</w:t>
            </w:r>
            <w:r>
              <w:rPr>
                <w:rFonts w:hint="eastAsia" w:ascii="宋体" w:hAnsi="宋体" w:cs="仿宋_GB2312"/>
                <w:color w:val="auto"/>
                <w:szCs w:val="21"/>
                <w:shd w:val="clear" w:color="auto" w:fill="FFFFFF"/>
                <w:lang w:val="en-US" w:eastAsia="zh-CN"/>
              </w:rPr>
              <w:t>有</w:t>
            </w:r>
            <w:r>
              <w:rPr>
                <w:rFonts w:hint="eastAsia" w:ascii="宋体" w:hAnsi="宋体" w:cs="仿宋_GB2312"/>
                <w:color w:val="auto"/>
                <w:szCs w:val="21"/>
                <w:shd w:val="clear" w:color="auto" w:fill="FFFFFF"/>
              </w:rPr>
              <w:t>大型</w:t>
            </w:r>
            <w:r>
              <w:rPr>
                <w:rFonts w:hint="eastAsia" w:ascii="宋体" w:hAnsi="宋体" w:cs="仿宋_GB2312"/>
                <w:color w:val="auto"/>
                <w:szCs w:val="21"/>
                <w:shd w:val="clear" w:color="auto" w:fill="FFFFFF"/>
                <w:lang w:val="en-US" w:eastAsia="zh-CN"/>
              </w:rPr>
              <w:t>主</w:t>
            </w:r>
            <w:r>
              <w:rPr>
                <w:rFonts w:hint="eastAsia" w:ascii="宋体" w:hAnsi="宋体" w:cs="仿宋_GB2312"/>
                <w:color w:val="auto"/>
                <w:szCs w:val="21"/>
                <w:shd w:val="clear" w:color="auto" w:fill="FFFFFF"/>
              </w:rPr>
              <w:t>机组的泵站。中小型泵站参照执行。</w:t>
            </w:r>
          </w:p>
          <w:p w14:paraId="07AC83D5">
            <w:pPr>
              <w:pStyle w:val="13"/>
              <w:keepNext w:val="0"/>
              <w:keepLines w:val="0"/>
              <w:pageBreakBefore w:val="0"/>
              <w:numPr>
                <w:ilvl w:val="0"/>
                <w:numId w:val="1"/>
              </w:numPr>
              <w:kinsoku/>
              <w:wordWrap/>
              <w:overflowPunct/>
              <w:topLinePunct w:val="0"/>
              <w:bidi w:val="0"/>
              <w:spacing w:line="360" w:lineRule="auto"/>
              <w:ind w:firstLine="420"/>
              <w:textAlignment w:val="auto"/>
              <w:rPr>
                <w:rFonts w:hint="eastAsia" w:ascii="宋体" w:hAnsi="Times New Roman" w:eastAsia="宋体" w:cs="Times New Roman"/>
                <w:szCs w:val="21"/>
                <w:lang w:val="en-US" w:eastAsia="zh-CN"/>
              </w:rPr>
            </w:pPr>
            <w:r>
              <w:rPr>
                <w:szCs w:val="21"/>
              </w:rPr>
              <w:t>规范性引用文件</w:t>
            </w:r>
            <w:r>
              <w:rPr>
                <w:rFonts w:hint="eastAsia"/>
                <w:szCs w:val="21"/>
                <w:lang w:eastAsia="zh-CN"/>
              </w:rPr>
              <w:t>：</w:t>
            </w:r>
            <w:r>
              <w:rPr>
                <w:rFonts w:hint="eastAsia"/>
                <w:szCs w:val="21"/>
                <w:lang w:val="en-US" w:eastAsia="zh-CN"/>
              </w:rPr>
              <w:t>增加了</w:t>
            </w:r>
            <w:r>
              <w:rPr>
                <w:rFonts w:hint="eastAsia" w:ascii="宋体" w:hAnsi="Times New Roman" w:eastAsia="宋体" w:cs="Times New Roman"/>
                <w:szCs w:val="21"/>
                <w:lang w:val="en-US" w:eastAsia="zh-CN"/>
              </w:rPr>
              <w:t>《</w:t>
            </w:r>
            <w:r>
              <w:rPr>
                <w:rFonts w:hint="default" w:ascii="宋体" w:hAnsi="Times New Roman" w:eastAsia="宋体" w:cs="Times New Roman"/>
                <w:szCs w:val="21"/>
                <w:lang w:val="en-US" w:eastAsia="zh-CN"/>
              </w:rPr>
              <w:t>安全标志及其使用导则</w:t>
            </w:r>
            <w:r>
              <w:rPr>
                <w:rFonts w:hint="eastAsia" w:ascii="宋体" w:hAnsi="Times New Roman" w:eastAsia="宋体" w:cs="Times New Roman"/>
                <w:szCs w:val="21"/>
                <w:lang w:val="en-US" w:eastAsia="zh-CN"/>
              </w:rPr>
              <w:t>》</w:t>
            </w:r>
            <w:r>
              <w:rPr>
                <w:rFonts w:hint="default" w:ascii="宋体" w:hAnsi="Times New Roman" w:eastAsia="宋体" w:cs="Times New Roman"/>
                <w:szCs w:val="21"/>
                <w:lang w:val="en-US" w:eastAsia="zh-CN"/>
              </w:rPr>
              <w:t>GB</w:t>
            </w:r>
            <w:r>
              <w:rPr>
                <w:rFonts w:hint="eastAsia" w:ascii="宋体" w:hAnsi="Times New Roman" w:eastAsia="宋体" w:cs="Times New Roman"/>
                <w:szCs w:val="21"/>
                <w:lang w:val="en-US" w:eastAsia="zh-CN"/>
              </w:rPr>
              <w:t xml:space="preserve"> </w:t>
            </w:r>
            <w:r>
              <w:rPr>
                <w:rFonts w:hint="default" w:ascii="宋体" w:hAnsi="Times New Roman" w:eastAsia="宋体" w:cs="Times New Roman"/>
                <w:szCs w:val="21"/>
                <w:lang w:val="en-US" w:eastAsia="zh-CN"/>
              </w:rPr>
              <w:t>2894</w:t>
            </w:r>
            <w:r>
              <w:rPr>
                <w:rFonts w:hint="eastAsia" w:ascii="宋体" w:hAnsi="Times New Roman" w:eastAsia="宋体" w:cs="Times New Roman"/>
                <w:szCs w:val="21"/>
                <w:lang w:val="en-US" w:eastAsia="zh-CN"/>
              </w:rPr>
              <w:t>、《漆膜颜色标准》</w:t>
            </w:r>
            <w:r>
              <w:rPr>
                <w:rFonts w:hint="default" w:ascii="宋体" w:hAnsi="Times New Roman" w:eastAsia="宋体" w:cs="Times New Roman"/>
                <w:szCs w:val="21"/>
                <w:lang w:val="en-US" w:eastAsia="zh-CN"/>
              </w:rPr>
              <w:t>GB</w:t>
            </w:r>
            <w:r>
              <w:rPr>
                <w:rFonts w:hint="eastAsia" w:ascii="宋体" w:hAnsi="Times New Roman" w:eastAsia="宋体" w:cs="Times New Roman"/>
                <w:szCs w:val="21"/>
                <w:lang w:val="en-US" w:eastAsia="zh-CN"/>
              </w:rPr>
              <w:t>/T</w:t>
            </w:r>
            <w:r>
              <w:rPr>
                <w:rFonts w:hint="default" w:ascii="宋体" w:hAnsi="Times New Roman" w:eastAsia="宋体" w:cs="Times New Roman"/>
                <w:szCs w:val="21"/>
                <w:lang w:val="en-US" w:eastAsia="zh-CN"/>
              </w:rPr>
              <w:t xml:space="preserve"> </w:t>
            </w:r>
            <w:r>
              <w:rPr>
                <w:rFonts w:hint="eastAsia" w:ascii="宋体" w:hAnsi="Times New Roman" w:eastAsia="宋体" w:cs="Times New Roman"/>
                <w:szCs w:val="21"/>
                <w:lang w:val="en-US" w:eastAsia="zh-CN"/>
              </w:rPr>
              <w:t>3181、《</w:t>
            </w:r>
            <w:r>
              <w:rPr>
                <w:rFonts w:hint="default" w:ascii="宋体" w:hAnsi="Times New Roman" w:eastAsia="宋体" w:cs="Times New Roman"/>
                <w:szCs w:val="21"/>
                <w:lang w:val="en-US" w:eastAsia="zh-CN"/>
              </w:rPr>
              <w:t>泵站设计标准</w:t>
            </w:r>
            <w:r>
              <w:rPr>
                <w:rFonts w:hint="eastAsia" w:ascii="宋体" w:hAnsi="Times New Roman" w:eastAsia="宋体" w:cs="Times New Roman"/>
                <w:szCs w:val="21"/>
                <w:lang w:val="en-US" w:eastAsia="zh-CN"/>
              </w:rPr>
              <w:t>》</w:t>
            </w:r>
            <w:r>
              <w:rPr>
                <w:rFonts w:hint="default" w:ascii="宋体" w:hAnsi="Times New Roman" w:eastAsia="宋体" w:cs="Times New Roman"/>
                <w:szCs w:val="21"/>
                <w:lang w:val="en-US" w:eastAsia="zh-CN"/>
              </w:rPr>
              <w:t>GB</w:t>
            </w:r>
            <w:r>
              <w:rPr>
                <w:rFonts w:hint="eastAsia" w:ascii="宋体" w:hAnsi="Times New Roman" w:eastAsia="宋体" w:cs="Times New Roman"/>
                <w:szCs w:val="21"/>
                <w:lang w:val="en-US" w:eastAsia="zh-CN"/>
              </w:rPr>
              <w:t xml:space="preserve"> </w:t>
            </w:r>
            <w:r>
              <w:rPr>
                <w:rFonts w:hint="default" w:ascii="宋体" w:hAnsi="Times New Roman" w:eastAsia="宋体" w:cs="Times New Roman"/>
                <w:szCs w:val="21"/>
                <w:lang w:val="en-US" w:eastAsia="zh-CN"/>
              </w:rPr>
              <w:t>50265</w:t>
            </w:r>
            <w:r>
              <w:rPr>
                <w:rFonts w:hint="eastAsia" w:ascii="宋体" w:hAnsi="Times New Roman" w:eastAsia="宋体" w:cs="Times New Roman"/>
                <w:szCs w:val="21"/>
                <w:lang w:val="en-US" w:eastAsia="zh-CN"/>
              </w:rPr>
              <w:t>、《综合布线工程验收规范》GB/T 50312、《泵站技术管理规程》GB/T 30948、《</w:t>
            </w:r>
            <w:r>
              <w:rPr>
                <w:rFonts w:hint="default" w:ascii="宋体" w:hAnsi="Times New Roman" w:eastAsia="宋体" w:cs="Times New Roman"/>
                <w:szCs w:val="21"/>
                <w:lang w:val="en-US" w:eastAsia="zh-CN"/>
              </w:rPr>
              <w:t>电力设备预防性试验规程</w:t>
            </w:r>
            <w:r>
              <w:rPr>
                <w:rFonts w:hint="eastAsia" w:ascii="宋体" w:hAnsi="Times New Roman" w:eastAsia="宋体" w:cs="Times New Roman"/>
                <w:szCs w:val="21"/>
                <w:lang w:val="en-US" w:eastAsia="zh-CN"/>
              </w:rPr>
              <w:t>》</w:t>
            </w:r>
            <w:r>
              <w:rPr>
                <w:rFonts w:hint="default" w:ascii="宋体" w:hAnsi="Times New Roman" w:eastAsia="宋体" w:cs="Times New Roman"/>
                <w:szCs w:val="21"/>
                <w:lang w:val="en-US" w:eastAsia="zh-CN"/>
              </w:rPr>
              <w:t>DL</w:t>
            </w:r>
            <w:r>
              <w:rPr>
                <w:rFonts w:hint="eastAsia" w:ascii="宋体" w:hAnsi="Times New Roman" w:eastAsia="宋体" w:cs="Times New Roman"/>
                <w:szCs w:val="21"/>
                <w:lang w:val="en-US" w:eastAsia="zh-CN"/>
              </w:rPr>
              <w:t>/</w:t>
            </w:r>
            <w:r>
              <w:rPr>
                <w:rFonts w:hint="default" w:ascii="宋体" w:hAnsi="Times New Roman" w:eastAsia="宋体" w:cs="Times New Roman"/>
                <w:szCs w:val="21"/>
                <w:lang w:val="en-US" w:eastAsia="zh-CN"/>
              </w:rPr>
              <w:t>T</w:t>
            </w:r>
            <w:r>
              <w:rPr>
                <w:rFonts w:hint="eastAsia" w:ascii="宋体" w:hAnsi="Times New Roman" w:eastAsia="宋体" w:cs="Times New Roman"/>
                <w:szCs w:val="21"/>
                <w:lang w:val="en-US" w:eastAsia="zh-CN"/>
              </w:rPr>
              <w:t xml:space="preserve"> </w:t>
            </w:r>
            <w:r>
              <w:rPr>
                <w:rFonts w:hint="default" w:ascii="宋体" w:hAnsi="Times New Roman" w:eastAsia="宋体" w:cs="Times New Roman"/>
                <w:szCs w:val="21"/>
                <w:lang w:val="en-US" w:eastAsia="zh-CN"/>
              </w:rPr>
              <w:t>596</w:t>
            </w:r>
            <w:r>
              <w:rPr>
                <w:rFonts w:hint="eastAsia" w:ascii="宋体" w:hAnsi="Times New Roman" w:eastAsia="宋体" w:cs="Times New Roman"/>
                <w:szCs w:val="21"/>
                <w:lang w:val="en-US" w:eastAsia="zh-CN"/>
              </w:rPr>
              <w:t>六个文件，删除了《泵站电气设备预防性试验规程》DB34/T 2292地方标准。</w:t>
            </w:r>
          </w:p>
          <w:p w14:paraId="0F303981">
            <w:pPr>
              <w:keepNext w:val="0"/>
              <w:keepLines w:val="0"/>
              <w:pageBreakBefore w:val="0"/>
              <w:numPr>
                <w:ilvl w:val="0"/>
                <w:numId w:val="1"/>
              </w:numPr>
              <w:kinsoku/>
              <w:wordWrap/>
              <w:overflowPunct/>
              <w:topLinePunct w:val="0"/>
              <w:bidi w:val="0"/>
              <w:spacing w:line="360" w:lineRule="auto"/>
              <w:ind w:left="0" w:leftChars="0" w:firstLine="420" w:firstLineChars="200"/>
              <w:textAlignment w:val="auto"/>
              <w:rPr>
                <w:color w:val="auto"/>
                <w:szCs w:val="21"/>
              </w:rPr>
            </w:pPr>
            <w:r>
              <w:rPr>
                <w:rFonts w:hint="eastAsia"/>
                <w:color w:val="auto"/>
                <w:szCs w:val="21"/>
                <w:lang w:val="en-US" w:eastAsia="zh-CN"/>
              </w:rPr>
              <w:t>基本要求</w:t>
            </w:r>
            <w:r>
              <w:rPr>
                <w:color w:val="auto"/>
                <w:szCs w:val="21"/>
              </w:rPr>
              <w:t>：</w:t>
            </w:r>
            <w:r>
              <w:rPr>
                <w:rFonts w:hint="eastAsia"/>
                <w:color w:val="auto"/>
                <w:szCs w:val="21"/>
                <w:lang w:val="en-US" w:eastAsia="zh-CN"/>
              </w:rPr>
              <w:t>原</w:t>
            </w:r>
            <w:r>
              <w:rPr>
                <w:rFonts w:hint="eastAsia"/>
                <w:color w:val="auto"/>
                <w:szCs w:val="21"/>
              </w:rPr>
              <w:t>第4章</w:t>
            </w:r>
            <w:r>
              <w:rPr>
                <w:rFonts w:hint="eastAsia" w:ascii="宋体" w:hAnsi="宋体" w:eastAsia="宋体" w:cs="宋体"/>
                <w:color w:val="auto"/>
                <w:szCs w:val="21"/>
                <w:lang w:val="en-US" w:eastAsia="zh-CN"/>
              </w:rPr>
              <w:t>“基本规定”和</w:t>
            </w:r>
            <w:r>
              <w:rPr>
                <w:rFonts w:hint="eastAsia"/>
                <w:color w:val="auto"/>
                <w:szCs w:val="21"/>
              </w:rPr>
              <w:t>第5章</w:t>
            </w:r>
            <w:r>
              <w:rPr>
                <w:rFonts w:hint="eastAsia" w:ascii="宋体" w:hAnsi="宋体" w:eastAsia="宋体" w:cs="宋体"/>
                <w:color w:val="auto"/>
                <w:szCs w:val="21"/>
                <w:lang w:val="en-US" w:eastAsia="zh-CN"/>
              </w:rPr>
              <w:t>“一般要求”可以视为泵站设备</w:t>
            </w:r>
            <w:r>
              <w:rPr>
                <w:rFonts w:hint="eastAsia" w:ascii="宋体" w:eastAsia="宋体"/>
                <w:color w:val="auto"/>
                <w:lang w:val="en-US" w:eastAsia="zh-CN"/>
              </w:rPr>
              <w:t>维护保养的</w:t>
            </w:r>
            <w:r>
              <w:rPr>
                <w:rFonts w:hint="eastAsia" w:ascii="宋体" w:hAnsi="宋体" w:eastAsia="宋体" w:cs="宋体"/>
                <w:color w:val="auto"/>
                <w:szCs w:val="21"/>
                <w:lang w:val="en-US" w:eastAsia="zh-CN"/>
              </w:rPr>
              <w:t>一个要素，</w:t>
            </w:r>
            <w:r>
              <w:rPr>
                <w:rFonts w:hint="eastAsia" w:ascii="宋体" w:hAnsi="宋体" w:cs="宋体"/>
                <w:color w:val="auto"/>
                <w:szCs w:val="21"/>
                <w:lang w:val="en-US" w:eastAsia="zh-CN"/>
              </w:rPr>
              <w:t>此次修订</w:t>
            </w:r>
            <w:r>
              <w:rPr>
                <w:rFonts w:hint="eastAsia" w:ascii="宋体" w:hAnsi="宋体" w:eastAsia="宋体" w:cs="宋体"/>
                <w:color w:val="auto"/>
                <w:szCs w:val="21"/>
                <w:lang w:val="en-US" w:eastAsia="zh-CN"/>
              </w:rPr>
              <w:t>两章合并，</w:t>
            </w:r>
            <w:r>
              <w:rPr>
                <w:rFonts w:hint="eastAsia" w:ascii="宋体" w:hAnsi="宋体" w:eastAsia="宋体" w:cs="宋体"/>
                <w:color w:val="auto"/>
                <w:lang w:val="en-US" w:eastAsia="zh-CN"/>
              </w:rPr>
              <w:t>同时修改章标题为“基本要求”</w:t>
            </w:r>
            <w:r>
              <w:rPr>
                <w:rFonts w:hint="eastAsia" w:ascii="宋体" w:hAnsi="宋体" w:cs="宋体"/>
                <w:color w:val="auto"/>
                <w:lang w:val="en-US" w:eastAsia="zh-CN"/>
              </w:rPr>
              <w:t>；</w:t>
            </w:r>
            <w:r>
              <w:rPr>
                <w:rFonts w:hint="eastAsia" w:ascii="宋体" w:hAnsi="宋体" w:eastAsia="宋体" w:cs="宋体"/>
                <w:color w:val="auto"/>
                <w:u w:val="none"/>
                <w:lang w:val="en-US" w:eastAsia="zh-CN"/>
              </w:rPr>
              <w:t>标识属于设备</w:t>
            </w:r>
            <w:r>
              <w:rPr>
                <w:rFonts w:hint="eastAsia" w:ascii="宋体" w:eastAsia="宋体"/>
                <w:color w:val="auto"/>
                <w:u w:val="none"/>
                <w:lang w:val="en-US" w:eastAsia="zh-CN"/>
              </w:rPr>
              <w:t>维护保养必不可少的内容之一，</w:t>
            </w:r>
            <w:r>
              <w:rPr>
                <w:rFonts w:hint="eastAsia" w:ascii="宋体" w:hAnsi="宋体" w:eastAsia="宋体" w:cs="宋体"/>
                <w:color w:val="auto"/>
                <w:u w:val="none"/>
                <w:lang w:val="en-US" w:eastAsia="zh-CN"/>
              </w:rPr>
              <w:t>根据</w:t>
            </w:r>
            <w:r>
              <w:rPr>
                <w:rFonts w:hint="eastAsia" w:ascii="宋体" w:hAnsi="宋体" w:eastAsia="宋体" w:cs="宋体"/>
                <w:color w:val="auto"/>
              </w:rPr>
              <w:t xml:space="preserve">GB/T </w:t>
            </w:r>
            <w:r>
              <w:rPr>
                <w:rFonts w:hint="eastAsia" w:ascii="宋体" w:hAnsi="宋体" w:eastAsia="宋体" w:cs="宋体"/>
                <w:color w:val="auto"/>
                <w:lang w:val="en-US" w:eastAsia="zh-CN"/>
              </w:rPr>
              <w:t>30948《</w:t>
            </w:r>
            <w:r>
              <w:rPr>
                <w:rFonts w:hint="eastAsia" w:ascii="宋体" w:hAnsi="宋体" w:eastAsia="宋体" w:cs="Times New Roman"/>
                <w:strike w:val="0"/>
                <w:dstrike w:val="0"/>
                <w:color w:val="auto"/>
                <w:spacing w:val="4"/>
                <w:sz w:val="21"/>
                <w:szCs w:val="21"/>
                <w:lang w:val="en-US" w:eastAsia="zh-CN"/>
              </w:rPr>
              <w:t>泵</w:t>
            </w:r>
            <w:r>
              <w:rPr>
                <w:rFonts w:hint="eastAsia" w:ascii="宋体" w:hAnsi="宋体"/>
                <w:strike w:val="0"/>
                <w:dstrike w:val="0"/>
                <w:color w:val="auto"/>
                <w:spacing w:val="4"/>
                <w:sz w:val="21"/>
                <w:szCs w:val="21"/>
                <w:lang w:val="en-US" w:eastAsia="zh-CN"/>
              </w:rPr>
              <w:t>站技术管理规程》6.1.3</w:t>
            </w:r>
            <w:r>
              <w:rPr>
                <w:rFonts w:hint="eastAsia" w:ascii="宋体" w:hAnsi="宋体" w:eastAsia="宋体" w:cs="宋体"/>
                <w:color w:val="auto"/>
                <w:lang w:val="en-US" w:eastAsia="zh-CN"/>
              </w:rPr>
              <w:t>，增加</w:t>
            </w:r>
            <w:r>
              <w:rPr>
                <w:rFonts w:hint="eastAsia" w:ascii="宋体" w:hAnsi="宋体" w:eastAsia="宋体" w:cs="宋体"/>
                <w:b w:val="0"/>
                <w:bCs w:val="0"/>
                <w:color w:val="auto"/>
                <w:kern w:val="0"/>
                <w:szCs w:val="20"/>
                <w:lang w:val="en-US" w:eastAsia="zh-CN"/>
              </w:rPr>
              <w:t>机电设备及管路标识</w:t>
            </w:r>
            <w:r>
              <w:rPr>
                <w:rFonts w:hint="eastAsia" w:ascii="宋体" w:hAnsi="宋体" w:cs="宋体"/>
                <w:b w:val="0"/>
                <w:bCs w:val="0"/>
                <w:color w:val="auto"/>
                <w:kern w:val="0"/>
                <w:szCs w:val="20"/>
                <w:lang w:val="en-US" w:eastAsia="zh-CN"/>
              </w:rPr>
              <w:t>有关</w:t>
            </w:r>
            <w:r>
              <w:rPr>
                <w:rFonts w:hint="eastAsia" w:ascii="宋体" w:hAnsi="宋体" w:eastAsia="宋体" w:cs="宋体"/>
                <w:b w:val="0"/>
                <w:bCs w:val="0"/>
                <w:color w:val="auto"/>
                <w:kern w:val="0"/>
                <w:szCs w:val="20"/>
                <w:lang w:val="en-US" w:eastAsia="zh-CN"/>
              </w:rPr>
              <w:t>内容</w:t>
            </w:r>
            <w:r>
              <w:rPr>
                <w:rFonts w:hint="eastAsia" w:ascii="宋体" w:hAnsi="宋体" w:cs="宋体"/>
                <w:b w:val="0"/>
                <w:bCs w:val="0"/>
                <w:color w:val="auto"/>
                <w:kern w:val="0"/>
                <w:szCs w:val="20"/>
                <w:lang w:val="en-US" w:eastAsia="zh-CN"/>
              </w:rPr>
              <w:t>；</w:t>
            </w:r>
            <w:r>
              <w:rPr>
                <w:rFonts w:hint="eastAsia"/>
                <w:color w:val="auto"/>
                <w:lang w:val="en-US" w:eastAsia="zh-CN"/>
              </w:rPr>
              <w:t>标准化颜色可以帮助工作人员快速识别设备和元件，减少误操作风险，</w:t>
            </w:r>
            <w:r>
              <w:rPr>
                <w:rFonts w:ascii="Arial" w:hAnsi="Arial" w:eastAsia="Arial" w:cs="Arial"/>
                <w:i w:val="0"/>
                <w:iCs w:val="0"/>
                <w:caps w:val="0"/>
                <w:color w:val="333333"/>
                <w:spacing w:val="0"/>
                <w:sz w:val="21"/>
                <w:szCs w:val="21"/>
                <w:shd w:val="clear" w:fill="FFFFFF"/>
              </w:rPr>
              <w:t>提升</w:t>
            </w:r>
            <w:r>
              <w:rPr>
                <w:rFonts w:hint="eastAsia" w:ascii="Arial" w:hAnsi="Arial" w:eastAsia="宋体" w:cs="Arial"/>
                <w:i w:val="0"/>
                <w:iCs w:val="0"/>
                <w:caps w:val="0"/>
                <w:color w:val="333333"/>
                <w:spacing w:val="0"/>
                <w:sz w:val="21"/>
                <w:szCs w:val="21"/>
                <w:shd w:val="clear" w:fill="FFFFFF"/>
                <w:lang w:val="en-US" w:eastAsia="zh-CN"/>
              </w:rPr>
              <w:t>单位和</w:t>
            </w:r>
            <w:r>
              <w:rPr>
                <w:rFonts w:ascii="Arial" w:hAnsi="Arial" w:eastAsia="Arial" w:cs="Arial"/>
                <w:i w:val="0"/>
                <w:iCs w:val="0"/>
                <w:caps w:val="0"/>
                <w:color w:val="333333"/>
                <w:spacing w:val="0"/>
                <w:sz w:val="21"/>
                <w:szCs w:val="21"/>
                <w:shd w:val="clear" w:fill="FFFFFF"/>
              </w:rPr>
              <w:t>企业形象</w:t>
            </w:r>
            <w:r>
              <w:rPr>
                <w:rFonts w:hint="eastAsia" w:ascii="Arial" w:hAnsi="Arial" w:cs="Arial"/>
                <w:i w:val="0"/>
                <w:iCs w:val="0"/>
                <w:caps w:val="0"/>
                <w:color w:val="333333"/>
                <w:spacing w:val="0"/>
                <w:sz w:val="21"/>
                <w:szCs w:val="21"/>
                <w:shd w:val="clear" w:fill="FFFFFF"/>
                <w:lang w:eastAsia="zh-CN"/>
              </w:rPr>
              <w:t>，</w:t>
            </w:r>
            <w:r>
              <w:rPr>
                <w:rFonts w:hint="eastAsia" w:ascii="Arial" w:hAnsi="Arial" w:cs="Arial"/>
                <w:i w:val="0"/>
                <w:iCs w:val="0"/>
                <w:caps w:val="0"/>
                <w:color w:val="333333"/>
                <w:spacing w:val="0"/>
                <w:sz w:val="21"/>
                <w:szCs w:val="21"/>
                <w:shd w:val="clear" w:fill="FFFFFF"/>
                <w:lang w:val="en-US" w:eastAsia="zh-CN"/>
              </w:rPr>
              <w:t>故</w:t>
            </w:r>
            <w:r>
              <w:rPr>
                <w:rFonts w:hint="eastAsia"/>
                <w:color w:val="auto"/>
                <w:lang w:val="en-US" w:eastAsia="zh-CN"/>
              </w:rPr>
              <w:t>增加</w:t>
            </w:r>
            <w:r>
              <w:rPr>
                <w:rFonts w:hint="eastAsia"/>
                <w:color w:val="auto"/>
                <w:u w:val="none"/>
                <w:lang w:val="en-US" w:eastAsia="zh-CN"/>
              </w:rPr>
              <w:t>“</w:t>
            </w:r>
            <w:r>
              <w:rPr>
                <w:rFonts w:hint="eastAsia" w:ascii="宋体" w:hAnsi="宋体" w:eastAsia="宋体" w:cs="宋体"/>
                <w:color w:val="auto"/>
                <w:u w:val="none"/>
                <w:lang w:val="en-US" w:eastAsia="zh-CN"/>
              </w:rPr>
              <w:t>同一类别设备外观颜色应一致”有关内容</w:t>
            </w:r>
            <w:r>
              <w:rPr>
                <w:rFonts w:hint="eastAsia" w:ascii="宋体" w:hAnsi="宋体" w:cs="宋体"/>
                <w:color w:val="auto"/>
                <w:u w:val="none"/>
                <w:lang w:val="en-US" w:eastAsia="zh-CN"/>
              </w:rPr>
              <w:t>；</w:t>
            </w:r>
            <w:r>
              <w:rPr>
                <w:rFonts w:hint="eastAsia"/>
                <w:color w:val="auto"/>
                <w:lang w:val="en-US" w:eastAsia="zh-CN"/>
              </w:rPr>
              <w:t>根据</w:t>
            </w:r>
            <w:r>
              <w:rPr>
                <w:rFonts w:hint="eastAsia" w:ascii="宋体" w:hAnsi="宋体" w:eastAsia="宋体" w:cs="宋体"/>
                <w:b w:val="0"/>
                <w:bCs w:val="0"/>
                <w:color w:val="auto"/>
                <w:kern w:val="0"/>
                <w:szCs w:val="20"/>
                <w:lang w:val="en-US" w:eastAsia="zh-CN"/>
              </w:rPr>
              <w:t>GB 50265—2022</w:t>
            </w:r>
            <w:r>
              <w:rPr>
                <w:rFonts w:hint="eastAsia" w:ascii="宋体" w:hAnsi="宋体" w:cs="宋体"/>
                <w:b w:val="0"/>
                <w:bCs w:val="0"/>
                <w:color w:val="auto"/>
                <w:kern w:val="0"/>
                <w:szCs w:val="20"/>
                <w:lang w:val="en-US" w:eastAsia="zh-CN"/>
              </w:rPr>
              <w:t>《</w:t>
            </w:r>
            <w:r>
              <w:rPr>
                <w:rFonts w:hint="eastAsia" w:ascii="宋体" w:hAnsi="宋体" w:eastAsia="宋体" w:cs="宋体"/>
                <w:b w:val="0"/>
                <w:bCs w:val="0"/>
                <w:color w:val="auto"/>
                <w:kern w:val="0"/>
                <w:szCs w:val="20"/>
                <w:lang w:val="en-US" w:eastAsia="zh-CN"/>
              </w:rPr>
              <w:t>泵站设计标准</w:t>
            </w:r>
            <w:r>
              <w:rPr>
                <w:rFonts w:hint="eastAsia" w:ascii="宋体" w:hAnsi="宋体" w:cs="宋体"/>
                <w:b w:val="0"/>
                <w:bCs w:val="0"/>
                <w:color w:val="auto"/>
                <w:kern w:val="0"/>
                <w:szCs w:val="20"/>
                <w:lang w:val="en-US" w:eastAsia="zh-CN"/>
              </w:rPr>
              <w:t>》</w:t>
            </w:r>
            <w:r>
              <w:rPr>
                <w:color w:val="auto"/>
              </w:rPr>
              <w:t>，</w:t>
            </w:r>
            <w:r>
              <w:rPr>
                <w:rFonts w:hint="eastAsia"/>
                <w:color w:val="auto"/>
                <w:szCs w:val="21"/>
              </w:rPr>
              <w:t>增加了</w:t>
            </w:r>
            <w:r>
              <w:rPr>
                <w:rFonts w:hint="eastAsia"/>
                <w:color w:val="auto"/>
                <w:szCs w:val="21"/>
                <w:lang w:eastAsia="zh-CN"/>
              </w:rPr>
              <w:t>室内空气参数、照明等</w:t>
            </w:r>
            <w:r>
              <w:rPr>
                <w:rFonts w:hint="eastAsia"/>
                <w:color w:val="auto"/>
                <w:szCs w:val="21"/>
                <w:lang w:val="en-US" w:eastAsia="zh-CN"/>
              </w:rPr>
              <w:t>规定；根据GB 50053—2013《20kV及以下变电所设计》、GB 51348—2019《民用建筑电气设计标准》等规定，增加“防止雨、雪和蛇、鼠等小动物进入屋内的设施”有关内容（见4.9）</w:t>
            </w:r>
            <w:r>
              <w:rPr>
                <w:color w:val="auto"/>
                <w:szCs w:val="21"/>
              </w:rPr>
              <w:t>。</w:t>
            </w:r>
          </w:p>
          <w:p w14:paraId="282F6CAE">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pPr>
            <w:r>
              <w:rPr>
                <w:rFonts w:hint="eastAsia"/>
                <w:szCs w:val="21"/>
                <w:lang w:val="en-US" w:eastAsia="zh-CN"/>
              </w:rPr>
              <w:t>5.1主水泵</w:t>
            </w:r>
            <w:r>
              <w:rPr>
                <w:szCs w:val="21"/>
              </w:rPr>
              <w:t>：</w:t>
            </w:r>
            <w:r>
              <w:rPr>
                <w:rFonts w:hint="eastAsia" w:ascii="宋体" w:hAnsi="宋体" w:eastAsia="宋体" w:cs="宋体"/>
                <w:color w:val="auto"/>
                <w:lang w:val="en-US" w:eastAsia="zh-CN"/>
              </w:rPr>
              <w:t>叶片、叶轮室、导叶等过流部件都在水下，检查维护需要堵漏排水，工程量较大，应结合大修进行，维护保养周期改为</w:t>
            </w:r>
            <w:r>
              <w:rPr>
                <w:rFonts w:hint="eastAsia" w:ascii="宋体" w:hAnsi="宋体" w:cs="宋体"/>
                <w:bCs/>
                <w:color w:val="auto"/>
                <w:szCs w:val="21"/>
                <w:u w:val="none"/>
                <w:shd w:val="clear" w:color="auto" w:fill="FFFFFF"/>
                <w:lang w:val="en-US" w:eastAsia="zh-CN"/>
              </w:rPr>
              <w:t xml:space="preserve">3年 </w:t>
            </w:r>
            <w:r>
              <w:rPr>
                <w:rFonts w:hint="eastAsia" w:ascii="宋体" w:hAnsi="宋体" w:cs="宋体"/>
                <w:bCs/>
                <w:color w:val="auto"/>
                <w:szCs w:val="21"/>
                <w:u w:val="none"/>
                <w:shd w:val="clear" w:color="auto" w:fill="FFFFFF"/>
              </w:rPr>
              <w:t>～</w:t>
            </w:r>
            <w:r>
              <w:rPr>
                <w:rFonts w:hint="eastAsia" w:ascii="宋体" w:hAnsi="宋体" w:cs="宋体"/>
                <w:bCs/>
                <w:color w:val="auto"/>
                <w:szCs w:val="21"/>
                <w:u w:val="none"/>
                <w:shd w:val="clear" w:color="auto" w:fill="FFFFFF"/>
                <w:lang w:val="en-US" w:eastAsia="zh-CN"/>
              </w:rPr>
              <w:t xml:space="preserve"> 5</w:t>
            </w:r>
            <w:r>
              <w:rPr>
                <w:rFonts w:hint="eastAsia" w:ascii="宋体" w:hAnsi="宋体" w:cs="宋体"/>
                <w:bCs/>
                <w:color w:val="auto"/>
                <w:szCs w:val="21"/>
                <w:u w:val="none"/>
                <w:shd w:val="clear" w:color="auto" w:fill="FFFFFF"/>
              </w:rPr>
              <w:t>年</w:t>
            </w:r>
            <w:r>
              <w:rPr>
                <w:rFonts w:hint="eastAsia" w:ascii="宋体" w:hAnsi="宋体" w:cs="宋体"/>
                <w:bCs/>
                <w:color w:val="auto"/>
                <w:szCs w:val="21"/>
                <w:u w:val="none"/>
                <w:shd w:val="clear" w:color="auto" w:fill="FFFFFF"/>
                <w:lang w:eastAsia="zh-CN"/>
              </w:rPr>
              <w:t>，</w:t>
            </w:r>
            <w:r>
              <w:rPr>
                <w:rFonts w:hint="eastAsia" w:ascii="宋体" w:hAnsi="宋体" w:cs="宋体"/>
                <w:bCs/>
                <w:color w:val="auto"/>
                <w:szCs w:val="21"/>
                <w:u w:val="none"/>
                <w:shd w:val="clear" w:color="auto" w:fill="FFFFFF"/>
                <w:lang w:val="en-US" w:eastAsia="zh-CN"/>
              </w:rPr>
              <w:t>与主水泵大修周期保持一致。（见5.1.2.6）</w:t>
            </w:r>
          </w:p>
          <w:p w14:paraId="12D6097D">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5.2主电动机：缺项，增加风机</w:t>
            </w:r>
            <w:r>
              <w:rPr>
                <w:rFonts w:hint="eastAsia" w:cs="Times New Roman"/>
                <w:szCs w:val="21"/>
                <w:lang w:val="en-US" w:eastAsia="zh-CN"/>
              </w:rPr>
              <w:t>有关</w:t>
            </w:r>
            <w:r>
              <w:rPr>
                <w:rFonts w:hint="eastAsia" w:ascii="Times New Roman" w:hAnsi="Times New Roman" w:cs="Times New Roman"/>
                <w:szCs w:val="21"/>
                <w:lang w:val="en-US" w:eastAsia="zh-CN"/>
              </w:rPr>
              <w:t>内容，删除</w:t>
            </w:r>
            <w:r>
              <w:rPr>
                <w:rFonts w:hint="eastAsia" w:cs="Times New Roman"/>
                <w:szCs w:val="21"/>
                <w:lang w:val="en-US" w:eastAsia="zh-CN"/>
              </w:rPr>
              <w:t>了“风机电动机执行本标准7.8的规定”</w:t>
            </w:r>
            <w:r>
              <w:rPr>
                <w:rFonts w:hint="eastAsia" w:ascii="Times New Roman" w:hAnsi="Times New Roman" w:cs="Times New Roman"/>
                <w:szCs w:val="21"/>
                <w:lang w:val="en-US" w:eastAsia="zh-CN"/>
              </w:rPr>
              <w:t>（见2017版6.2.2.7和本文件6.2.1.6）；定子绕组及分块瓦测温点布置要求不属于维护保养范畴，删除（见原2017版</w:t>
            </w:r>
            <w:r>
              <w:rPr>
                <w:rFonts w:hint="eastAsia" w:cs="Times New Roman"/>
                <w:szCs w:val="21"/>
                <w:lang w:val="en-US" w:eastAsia="zh-CN"/>
              </w:rPr>
              <w:t>6</w:t>
            </w:r>
            <w:r>
              <w:rPr>
                <w:rFonts w:hint="eastAsia" w:ascii="Times New Roman" w:hAnsi="Times New Roman" w:cs="Times New Roman"/>
                <w:szCs w:val="21"/>
                <w:lang w:val="en-US" w:eastAsia="zh-CN"/>
              </w:rPr>
              <w:t>.2.1.5注）；目前大型泵站室内干净整洁，没有必要套防护罩保护，删除了“长期停运期间应套防护罩保护”要求（见2017版6.2.1.9）；根据GB/T 30948《泵站技术管理规程》6.3.14 f），修改碳刷运行温度不超过120℃（见2017版6.2.2.12</w:t>
            </w:r>
            <w:r>
              <w:rPr>
                <w:rFonts w:hint="eastAsia" w:cs="Times New Roman"/>
                <w:szCs w:val="21"/>
                <w:lang w:val="en-US" w:eastAsia="zh-CN"/>
              </w:rPr>
              <w:t>注</w:t>
            </w:r>
            <w:r>
              <w:rPr>
                <w:rFonts w:hint="eastAsia" w:ascii="Times New Roman" w:hAnsi="Times New Roman" w:cs="Times New Roman"/>
                <w:szCs w:val="21"/>
                <w:lang w:val="en-US" w:eastAsia="zh-CN"/>
              </w:rPr>
              <w:t>）</w:t>
            </w:r>
            <w:r>
              <w:rPr>
                <w:rFonts w:hint="eastAsia" w:cs="Times New Roman"/>
                <w:szCs w:val="21"/>
                <w:lang w:val="en-US" w:eastAsia="zh-CN"/>
              </w:rPr>
              <w:t>；</w:t>
            </w:r>
            <w:r>
              <w:rPr>
                <w:rFonts w:hint="eastAsia" w:ascii="宋体" w:hAnsi="宋体"/>
                <w:strike w:val="0"/>
                <w:dstrike w:val="0"/>
                <w:color w:val="auto"/>
                <w:spacing w:val="4"/>
                <w:sz w:val="21"/>
                <w:szCs w:val="21"/>
                <w:u w:val="none"/>
                <w:lang w:val="en-US" w:eastAsia="zh-CN"/>
              </w:rPr>
              <w:t>“</w:t>
            </w:r>
            <w:r>
              <w:rPr>
                <w:rFonts w:hint="eastAsia" w:ascii="宋体" w:hAnsi="宋体"/>
                <w:color w:val="auto"/>
                <w:szCs w:val="21"/>
              </w:rPr>
              <w:t>碳刷磨损不超过</w:t>
            </w:r>
            <w:r>
              <w:rPr>
                <w:rFonts w:hint="eastAsia" w:ascii="宋体" w:hAnsi="宋体"/>
                <w:color w:val="auto"/>
                <w:szCs w:val="21"/>
                <w:u w:val="single"/>
              </w:rPr>
              <w:t>刷握</w:t>
            </w:r>
            <w:r>
              <w:rPr>
                <w:rFonts w:hint="eastAsia" w:ascii="宋体" w:hAnsi="宋体"/>
                <w:color w:val="auto"/>
                <w:szCs w:val="21"/>
              </w:rPr>
              <w:t>的1/3</w:t>
            </w:r>
            <w:r>
              <w:rPr>
                <w:rFonts w:hint="eastAsia" w:ascii="宋体" w:hAnsi="宋体"/>
                <w:strike w:val="0"/>
                <w:dstrike w:val="0"/>
                <w:color w:val="auto"/>
                <w:spacing w:val="4"/>
                <w:sz w:val="21"/>
                <w:szCs w:val="21"/>
                <w:u w:val="none"/>
                <w:lang w:val="en-US" w:eastAsia="zh-CN"/>
              </w:rPr>
              <w:t>”表述不准确，修改为“</w:t>
            </w:r>
            <w:r>
              <w:rPr>
                <w:rFonts w:hint="eastAsia" w:ascii="宋体" w:hAnsi="宋体"/>
                <w:color w:val="auto"/>
                <w:szCs w:val="21"/>
              </w:rPr>
              <w:t>碳刷磨损不超过</w:t>
            </w:r>
            <w:r>
              <w:rPr>
                <w:rFonts w:hint="eastAsia" w:ascii="宋体" w:hAnsi="宋体" w:eastAsia="宋体" w:cs="宋体"/>
                <w:color w:val="auto"/>
                <w:u w:val="single"/>
                <w:lang w:val="en-US" w:eastAsia="zh-CN"/>
              </w:rPr>
              <w:t>原长度</w:t>
            </w:r>
            <w:r>
              <w:rPr>
                <w:rFonts w:hint="eastAsia" w:ascii="宋体" w:hAnsi="宋体"/>
                <w:color w:val="auto"/>
                <w:szCs w:val="21"/>
              </w:rPr>
              <w:t>的1/3</w:t>
            </w:r>
            <w:r>
              <w:rPr>
                <w:rFonts w:hint="eastAsia" w:ascii="宋体" w:hAnsi="宋体"/>
                <w:strike w:val="0"/>
                <w:dstrike w:val="0"/>
                <w:color w:val="auto"/>
                <w:spacing w:val="4"/>
                <w:sz w:val="21"/>
                <w:szCs w:val="21"/>
                <w:u w:val="none"/>
                <w:lang w:val="en-US" w:eastAsia="zh-CN"/>
              </w:rPr>
              <w:t>”</w:t>
            </w:r>
            <w:r>
              <w:rPr>
                <w:rFonts w:hint="eastAsia" w:ascii="Times New Roman" w:hAnsi="Times New Roman" w:cs="Times New Roman"/>
                <w:szCs w:val="21"/>
                <w:lang w:val="en-US" w:eastAsia="zh-CN"/>
              </w:rPr>
              <w:t>。</w:t>
            </w:r>
          </w:p>
          <w:p w14:paraId="43CADB1F">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Times New Roman" w:hAnsi="Times New Roman" w:cs="Times New Roman"/>
                <w:szCs w:val="21"/>
                <w:lang w:val="en-US" w:eastAsia="zh-CN"/>
              </w:rPr>
            </w:pPr>
            <w:r>
              <w:rPr>
                <w:rFonts w:hint="eastAsia" w:ascii="宋体" w:hAnsi="宋体" w:eastAsia="宋体" w:cs="宋体"/>
                <w:sz w:val="21"/>
                <w:szCs w:val="21"/>
                <w:lang w:val="en-US" w:eastAsia="zh-CN"/>
              </w:rPr>
              <w:t>5.3叶片调节机构</w:t>
            </w:r>
            <w:r>
              <w:rPr>
                <w:rFonts w:hint="eastAsia" w:ascii="宋体" w:hAnsi="宋体" w:cs="宋体"/>
                <w:sz w:val="21"/>
                <w:szCs w:val="21"/>
                <w:lang w:val="en-US" w:eastAsia="zh-CN"/>
              </w:rPr>
              <w:t>：缺项，</w:t>
            </w:r>
            <w:r>
              <w:rPr>
                <w:rFonts w:hint="eastAsia" w:ascii="宋体" w:hAnsi="宋体" w:eastAsia="宋体" w:cs="Times New Roman"/>
                <w:strike w:val="0"/>
                <w:dstrike w:val="0"/>
                <w:color w:val="auto"/>
                <w:spacing w:val="4"/>
                <w:sz w:val="21"/>
                <w:szCs w:val="21"/>
                <w:lang w:val="en-US" w:eastAsia="zh-CN"/>
              </w:rPr>
              <w:t>根据</w:t>
            </w:r>
            <w:r>
              <w:rPr>
                <w:rFonts w:hint="eastAsia" w:ascii="宋体" w:hAnsi="宋体" w:eastAsia="宋体" w:cs="宋体"/>
                <w:color w:val="auto"/>
                <w:lang w:val="en-US" w:eastAsia="zh-CN"/>
              </w:rPr>
              <w:t>SL 625</w:t>
            </w:r>
            <w:r>
              <w:rPr>
                <w:rFonts w:hint="eastAsia" w:ascii="宋体" w:hAnsi="宋体" w:cs="宋体"/>
                <w:color w:val="auto"/>
                <w:lang w:val="en-US" w:eastAsia="zh-CN"/>
              </w:rPr>
              <w:t>《</w:t>
            </w:r>
            <w:r>
              <w:rPr>
                <w:rFonts w:hint="eastAsia" w:ascii="宋体" w:hAnsi="宋体" w:eastAsia="宋体" w:cs="宋体"/>
                <w:color w:val="auto"/>
                <w:lang w:val="en-US" w:eastAsia="zh-CN"/>
              </w:rPr>
              <w:t>水泵液压调节系统基本技术条件</w:t>
            </w:r>
            <w:r>
              <w:rPr>
                <w:rFonts w:hint="eastAsia" w:ascii="宋体" w:hAnsi="宋体" w:cs="宋体"/>
                <w:color w:val="auto"/>
                <w:lang w:val="en-US" w:eastAsia="zh-CN"/>
              </w:rPr>
              <w:t>》</w:t>
            </w:r>
            <w:r>
              <w:rPr>
                <w:rFonts w:hint="eastAsia" w:ascii="宋体" w:hAnsi="宋体" w:eastAsia="宋体" w:cs="宋体"/>
                <w:color w:val="auto"/>
                <w:lang w:val="en-US" w:eastAsia="zh-CN"/>
              </w:rPr>
              <w:t>5.1</w:t>
            </w:r>
            <w:r>
              <w:rPr>
                <w:rFonts w:hint="eastAsia" w:ascii="宋体" w:hAnsi="宋体" w:cs="宋体"/>
                <w:color w:val="auto"/>
                <w:lang w:val="en-US" w:eastAsia="zh-CN"/>
              </w:rPr>
              <w:t>，</w:t>
            </w:r>
            <w:r>
              <w:rPr>
                <w:rFonts w:hint="eastAsia" w:ascii="宋体" w:hAnsi="宋体" w:eastAsia="宋体" w:cs="宋体"/>
                <w:color w:val="auto"/>
                <w:lang w:val="en-US" w:eastAsia="zh-CN"/>
              </w:rPr>
              <w:t>增加</w:t>
            </w:r>
            <w:r>
              <w:rPr>
                <w:rFonts w:hint="eastAsia" w:ascii="宋体" w:hAnsi="宋体" w:cs="宋体"/>
                <w:color w:val="auto"/>
                <w:lang w:val="en-US" w:eastAsia="zh-CN"/>
              </w:rPr>
              <w:t>限位、自保持等内容，</w:t>
            </w:r>
            <w:r>
              <w:rPr>
                <w:rFonts w:hint="eastAsia" w:ascii="宋体" w:hAnsi="宋体" w:eastAsia="宋体" w:cs="宋体"/>
                <w:color w:val="auto"/>
                <w:szCs w:val="21"/>
                <w:u w:val="none"/>
              </w:rPr>
              <w:t>储能装置</w:t>
            </w:r>
            <w:r>
              <w:rPr>
                <w:rFonts w:hint="eastAsia" w:ascii="宋体" w:hAnsi="宋体" w:eastAsia="宋体" w:cs="宋体"/>
                <w:color w:val="auto"/>
                <w:szCs w:val="21"/>
                <w:lang w:val="en-US" w:eastAsia="zh-CN"/>
              </w:rPr>
              <w:t>属于油系统，删除</w:t>
            </w:r>
            <w:r>
              <w:rPr>
                <w:rFonts w:hint="eastAsia" w:ascii="宋体" w:hAnsi="宋体" w:eastAsia="宋体" w:cs="宋体"/>
                <w:color w:val="auto"/>
                <w:szCs w:val="21"/>
                <w:u w:val="none"/>
              </w:rPr>
              <w:t>储能装置</w:t>
            </w:r>
            <w:r>
              <w:rPr>
                <w:rFonts w:hint="eastAsia" w:ascii="宋体" w:hAnsi="宋体" w:cs="Times New Roman"/>
                <w:color w:val="auto"/>
                <w:sz w:val="21"/>
                <w:szCs w:val="21"/>
                <w:u w:val="none"/>
                <w:lang w:val="en-US" w:eastAsia="zh-CN" w:bidi="ar-SA"/>
              </w:rPr>
              <w:t>有关内容（见2017版</w:t>
            </w:r>
            <w:r>
              <w:rPr>
                <w:rFonts w:hint="eastAsia" w:ascii="宋体" w:hAnsi="宋体" w:eastAsia="宋体" w:cs="Times New Roman"/>
                <w:color w:val="auto"/>
                <w:sz w:val="21"/>
                <w:szCs w:val="21"/>
                <w:u w:val="none"/>
                <w:lang w:val="en-US" w:eastAsia="zh-CN" w:bidi="ar-SA"/>
              </w:rPr>
              <w:t>6.2.3.5</w:t>
            </w:r>
            <w:r>
              <w:rPr>
                <w:rFonts w:hint="eastAsia" w:ascii="宋体" w:hAnsi="宋体" w:cs="Times New Roman"/>
                <w:color w:val="auto"/>
                <w:sz w:val="21"/>
                <w:szCs w:val="21"/>
                <w:u w:val="none"/>
                <w:lang w:val="en-US" w:eastAsia="zh-CN" w:bidi="ar-SA"/>
              </w:rPr>
              <w:t>）。</w:t>
            </w:r>
          </w:p>
          <w:p w14:paraId="19B2D010">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color w:val="auto"/>
                <w:lang w:val="en-US" w:eastAsia="zh-CN"/>
              </w:rPr>
            </w:pPr>
            <w:r>
              <w:rPr>
                <w:rFonts w:hint="eastAsia" w:ascii="宋体" w:hAnsi="宋体" w:eastAsia="宋体" w:cs="宋体"/>
                <w:sz w:val="21"/>
                <w:szCs w:val="21"/>
                <w:lang w:val="en-US" w:eastAsia="zh-CN"/>
              </w:rPr>
              <w:t>6电气设备</w:t>
            </w:r>
            <w:r>
              <w:rPr>
                <w:rFonts w:hint="eastAsia" w:ascii="宋体" w:hAnsi="宋体" w:cs="宋体"/>
                <w:sz w:val="21"/>
                <w:szCs w:val="21"/>
                <w:lang w:val="en-US" w:eastAsia="zh-CN"/>
              </w:rPr>
              <w:t>：</w:t>
            </w:r>
            <w:r>
              <w:rPr>
                <w:rFonts w:hint="eastAsia"/>
                <w:color w:val="auto"/>
                <w:lang w:val="en-US" w:eastAsia="zh-CN"/>
              </w:rPr>
              <w:t>屏柜底部封闭情况可以通过打开柜门或盖板很容易观察到，因此“屏柜底部封闭完好”维护保养周期调整到日常（见6.6.1.1、6.7.1.1、6.9.1.1、6.10.1.1、6.12.1.1、6.13.1.1），“6.11保护和自动装置”增加“屏柜底部封闭完好”（见6.11.1.1）</w:t>
            </w:r>
          </w:p>
          <w:p w14:paraId="64765FDA">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Times New Roman" w:hAnsi="Times New Roman" w:cs="Times New Roman"/>
                <w:szCs w:val="21"/>
                <w:lang w:val="en-US" w:eastAsia="zh-CN"/>
              </w:rPr>
            </w:pPr>
            <w:r>
              <w:rPr>
                <w:rFonts w:hint="eastAsia" w:ascii="Times New Roman" w:hAnsi="Times New Roman" w:cs="Times New Roman"/>
                <w:lang w:val="en-US" w:eastAsia="zh-CN"/>
              </w:rPr>
              <w:t>6.6高压开关柜</w:t>
            </w:r>
            <w:r>
              <w:rPr>
                <w:rFonts w:hint="eastAsia" w:cs="Times New Roman"/>
                <w:lang w:val="en-US" w:eastAsia="zh-CN"/>
              </w:rPr>
              <w:t>：为</w:t>
            </w:r>
            <w:r>
              <w:rPr>
                <w:rFonts w:hint="eastAsia" w:ascii="宋体" w:hAnsi="宋体" w:eastAsia="宋体" w:cs="Times New Roman"/>
                <w:strike w:val="0"/>
                <w:dstrike w:val="0"/>
                <w:color w:val="auto"/>
                <w:spacing w:val="4"/>
                <w:sz w:val="21"/>
                <w:szCs w:val="21"/>
                <w:lang w:val="en-US" w:eastAsia="zh-CN"/>
              </w:rPr>
              <w:t>保持维护保养周期一致</w:t>
            </w:r>
            <w:r>
              <w:rPr>
                <w:rFonts w:hint="eastAsia" w:ascii="宋体" w:hAnsi="宋体" w:cs="Times New Roman"/>
                <w:strike w:val="0"/>
                <w:dstrike w:val="0"/>
                <w:color w:val="auto"/>
                <w:spacing w:val="4"/>
                <w:sz w:val="21"/>
                <w:szCs w:val="21"/>
                <w:lang w:val="en-US" w:eastAsia="zh-CN"/>
              </w:rPr>
              <w:t>性，将高压开关柜“二次导线”维护保养周期调整为“年”（见</w:t>
            </w:r>
            <w:r>
              <w:rPr>
                <w:rFonts w:hint="eastAsia" w:ascii="宋体" w:hAnsi="宋体" w:cs="Times New Roman"/>
                <w:color w:val="auto"/>
                <w:sz w:val="21"/>
                <w:szCs w:val="21"/>
                <w:u w:val="none"/>
                <w:lang w:val="en-US" w:eastAsia="zh-CN" w:bidi="ar-SA"/>
              </w:rPr>
              <w:t>2017版7</w:t>
            </w:r>
            <w:r>
              <w:rPr>
                <w:rFonts w:hint="eastAsia" w:ascii="宋体" w:hAnsi="宋体" w:eastAsia="宋体" w:cs="Times New Roman"/>
                <w:color w:val="auto"/>
                <w:sz w:val="21"/>
                <w:szCs w:val="21"/>
                <w:u w:val="none"/>
                <w:lang w:val="en-US" w:eastAsia="zh-CN" w:bidi="ar-SA"/>
              </w:rPr>
              <w:t>.</w:t>
            </w:r>
            <w:r>
              <w:rPr>
                <w:rFonts w:hint="eastAsia" w:ascii="宋体" w:hAnsi="宋体" w:cs="Times New Roman"/>
                <w:color w:val="auto"/>
                <w:sz w:val="21"/>
                <w:szCs w:val="21"/>
                <w:u w:val="none"/>
                <w:lang w:val="en-US" w:eastAsia="zh-CN" w:bidi="ar-SA"/>
              </w:rPr>
              <w:t>6</w:t>
            </w:r>
            <w:r>
              <w:rPr>
                <w:rFonts w:hint="eastAsia" w:ascii="宋体" w:hAnsi="宋体" w:eastAsia="宋体" w:cs="Times New Roman"/>
                <w:color w:val="auto"/>
                <w:sz w:val="21"/>
                <w:szCs w:val="21"/>
                <w:u w:val="none"/>
                <w:lang w:val="en-US" w:eastAsia="zh-CN" w:bidi="ar-SA"/>
              </w:rPr>
              <w:t>.</w:t>
            </w:r>
            <w:r>
              <w:rPr>
                <w:rFonts w:hint="eastAsia" w:ascii="宋体" w:hAnsi="宋体" w:cs="Times New Roman"/>
                <w:color w:val="auto"/>
                <w:sz w:val="21"/>
                <w:szCs w:val="21"/>
                <w:u w:val="none"/>
                <w:lang w:val="en-US" w:eastAsia="zh-CN" w:bidi="ar-SA"/>
              </w:rPr>
              <w:t>2</w:t>
            </w:r>
            <w:r>
              <w:rPr>
                <w:rFonts w:hint="eastAsia" w:ascii="宋体" w:hAnsi="宋体" w:eastAsia="宋体" w:cs="Times New Roman"/>
                <w:color w:val="auto"/>
                <w:sz w:val="21"/>
                <w:szCs w:val="21"/>
                <w:u w:val="none"/>
                <w:lang w:val="en-US" w:eastAsia="zh-CN" w:bidi="ar-SA"/>
              </w:rPr>
              <w:t>.</w:t>
            </w:r>
            <w:r>
              <w:rPr>
                <w:rFonts w:hint="eastAsia" w:ascii="宋体" w:hAnsi="宋体" w:cs="Times New Roman"/>
                <w:color w:val="auto"/>
                <w:sz w:val="21"/>
                <w:szCs w:val="21"/>
                <w:u w:val="none"/>
                <w:lang w:val="en-US" w:eastAsia="zh-CN" w:bidi="ar-SA"/>
              </w:rPr>
              <w:t>3和本文件</w:t>
            </w:r>
            <w:r>
              <w:rPr>
                <w:rFonts w:hint="eastAsia" w:ascii="宋体" w:hAnsi="宋体" w:cs="Times New Roman"/>
                <w:strike w:val="0"/>
                <w:dstrike w:val="0"/>
                <w:color w:val="auto"/>
                <w:spacing w:val="4"/>
                <w:sz w:val="21"/>
                <w:szCs w:val="21"/>
                <w:lang w:val="en-US" w:eastAsia="zh-CN"/>
              </w:rPr>
              <w:t>6.6.2.3）；</w:t>
            </w:r>
            <w:r>
              <w:rPr>
                <w:rFonts w:hint="eastAsia" w:ascii="宋体" w:hAnsi="宋体" w:eastAsia="宋体" w:cs="Times New Roman"/>
                <w:strike w:val="0"/>
                <w:dstrike w:val="0"/>
                <w:color w:val="auto"/>
                <w:spacing w:val="4"/>
                <w:sz w:val="21"/>
                <w:szCs w:val="21"/>
                <w:lang w:val="en-US" w:eastAsia="zh-CN"/>
              </w:rPr>
              <w:t>微机保护装置安装在高压开关柜面板上，可以作为开关柜的一部分，故增加</w:t>
            </w:r>
            <w:r>
              <w:rPr>
                <w:rFonts w:hint="eastAsia" w:ascii="宋体" w:hAnsi="宋体" w:eastAsia="宋体" w:cs="Times New Roman"/>
                <w:strike w:val="0"/>
                <w:dstrike w:val="0"/>
                <w:color w:val="auto"/>
                <w:spacing w:val="4"/>
                <w:sz w:val="21"/>
                <w:szCs w:val="21"/>
                <w:u w:val="none"/>
                <w:lang w:val="en-US" w:eastAsia="zh-CN"/>
              </w:rPr>
              <w:t>微机保护装置有关内容</w:t>
            </w:r>
            <w:r>
              <w:rPr>
                <w:rFonts w:hint="eastAsia" w:ascii="宋体" w:hAnsi="宋体" w:cs="Times New Roman"/>
                <w:strike w:val="0"/>
                <w:dstrike w:val="0"/>
                <w:color w:val="auto"/>
                <w:spacing w:val="4"/>
                <w:sz w:val="21"/>
                <w:szCs w:val="21"/>
                <w:u w:val="none"/>
                <w:lang w:val="en-US" w:eastAsia="zh-CN"/>
              </w:rPr>
              <w:t>（见</w:t>
            </w:r>
            <w:r>
              <w:rPr>
                <w:rFonts w:hint="eastAsia"/>
                <w:color w:val="auto"/>
                <w:lang w:val="en-US" w:eastAsia="zh-CN"/>
              </w:rPr>
              <w:t>6.6.2.7</w:t>
            </w:r>
            <w:r>
              <w:rPr>
                <w:rFonts w:hint="eastAsia" w:ascii="宋体" w:hAnsi="宋体" w:cs="Times New Roman"/>
                <w:strike w:val="0"/>
                <w:dstrike w:val="0"/>
                <w:color w:val="auto"/>
                <w:spacing w:val="4"/>
                <w:sz w:val="21"/>
                <w:szCs w:val="21"/>
                <w:u w:val="none"/>
                <w:lang w:val="en-US" w:eastAsia="zh-CN"/>
              </w:rPr>
              <w:t>）</w:t>
            </w:r>
            <w:r>
              <w:rPr>
                <w:rFonts w:hint="eastAsia" w:ascii="宋体" w:hAnsi="宋体" w:eastAsia="宋体" w:cs="Times New Roman"/>
                <w:strike w:val="0"/>
                <w:dstrike w:val="0"/>
                <w:color w:val="auto"/>
                <w:spacing w:val="4"/>
                <w:sz w:val="21"/>
                <w:szCs w:val="21"/>
                <w:lang w:val="en-US" w:eastAsia="zh-CN"/>
              </w:rPr>
              <w:t>。</w:t>
            </w:r>
          </w:p>
          <w:p w14:paraId="09F7BC6E">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Times New Roman" w:hAnsi="Times New Roman" w:cs="Times New Roman"/>
                <w:szCs w:val="21"/>
                <w:lang w:val="en-US" w:eastAsia="zh-CN"/>
              </w:rPr>
            </w:pPr>
            <w:r>
              <w:rPr>
                <w:rFonts w:hint="eastAsia" w:ascii="Times New Roman" w:hAnsi="Times New Roman" w:cs="Times New Roman"/>
                <w:lang w:val="en-US" w:eastAsia="zh-CN"/>
              </w:rPr>
              <w:t>6.8低压电动机：</w:t>
            </w:r>
            <w:r>
              <w:rPr>
                <w:rFonts w:hint="eastAsia" w:ascii="宋体" w:hAnsi="宋体" w:eastAsia="宋体" w:cs="Times New Roman"/>
                <w:strike w:val="0"/>
                <w:dstrike w:val="0"/>
                <w:color w:val="auto"/>
                <w:spacing w:val="4"/>
                <w:sz w:val="21"/>
                <w:szCs w:val="21"/>
                <w:lang w:val="en-US" w:eastAsia="zh-CN"/>
              </w:rPr>
              <w:t>当室内空气湿度大时，可以通过除湿机</w:t>
            </w:r>
            <w:r>
              <w:rPr>
                <w:rFonts w:hint="eastAsia" w:ascii="宋体" w:hAnsi="宋体" w:cs="Times New Roman"/>
                <w:strike w:val="0"/>
                <w:dstrike w:val="0"/>
                <w:color w:val="auto"/>
                <w:spacing w:val="4"/>
                <w:sz w:val="21"/>
                <w:szCs w:val="21"/>
                <w:lang w:val="en-US" w:eastAsia="zh-CN"/>
              </w:rPr>
              <w:t>等设备</w:t>
            </w:r>
            <w:r>
              <w:rPr>
                <w:rFonts w:hint="eastAsia" w:ascii="宋体" w:hAnsi="宋体" w:eastAsia="宋体" w:cs="Times New Roman"/>
                <w:strike w:val="0"/>
                <w:dstrike w:val="0"/>
                <w:color w:val="auto"/>
                <w:spacing w:val="4"/>
                <w:sz w:val="21"/>
                <w:szCs w:val="21"/>
                <w:lang w:val="en-US" w:eastAsia="zh-CN"/>
              </w:rPr>
              <w:t>进行除湿，保持室内</w:t>
            </w:r>
            <w:r>
              <w:rPr>
                <w:rFonts w:hint="eastAsia" w:ascii="宋体" w:hAnsi="宋体" w:eastAsia="宋体" w:cs="宋体"/>
                <w:color w:val="auto"/>
                <w:u w:val="none"/>
                <w:lang w:val="en-US" w:eastAsia="zh-CN"/>
              </w:rPr>
              <w:t>空气湿度符合要求，</w:t>
            </w:r>
            <w:r>
              <w:rPr>
                <w:rFonts w:hint="eastAsia" w:ascii="宋体" w:hAnsi="宋体" w:cs="宋体"/>
                <w:color w:val="auto"/>
                <w:u w:val="none"/>
                <w:lang w:val="en-US" w:eastAsia="zh-CN"/>
              </w:rPr>
              <w:t>因此</w:t>
            </w:r>
            <w:r>
              <w:rPr>
                <w:rFonts w:hint="eastAsia" w:ascii="宋体" w:hAnsi="宋体" w:eastAsia="宋体" w:cs="宋体"/>
                <w:color w:val="auto"/>
                <w:u w:val="none"/>
                <w:lang w:val="en-US" w:eastAsia="zh-CN"/>
              </w:rPr>
              <w:t>无需对电动机进行专项除湿，</w:t>
            </w:r>
            <w:r>
              <w:rPr>
                <w:rFonts w:hint="eastAsia" w:ascii="宋体" w:hAnsi="宋体" w:cs="宋体"/>
                <w:color w:val="auto"/>
                <w:u w:val="none"/>
                <w:lang w:val="en-US" w:eastAsia="zh-CN"/>
              </w:rPr>
              <w:t>删除</w:t>
            </w:r>
            <w:r>
              <w:rPr>
                <w:rFonts w:hint="eastAsia" w:hAnsi="宋体" w:cs="宋体"/>
                <w:color w:val="auto"/>
                <w:u w:val="none"/>
                <w:lang w:val="en-US" w:eastAsia="zh-CN"/>
              </w:rPr>
              <w:t>“</w:t>
            </w:r>
            <w:r>
              <w:rPr>
                <w:rFonts w:hint="eastAsia" w:ascii="宋体" w:hAnsi="宋体" w:cs="宋体"/>
                <w:color w:val="auto"/>
                <w:szCs w:val="21"/>
                <w:u w:val="none"/>
              </w:rPr>
              <w:t>梅雨季节或潮湿天气，应对电动机进行除湿</w:t>
            </w:r>
            <w:r>
              <w:rPr>
                <w:rFonts w:hint="eastAsia" w:hAnsi="宋体" w:cs="宋体"/>
                <w:color w:val="auto"/>
                <w:szCs w:val="21"/>
                <w:u w:val="none"/>
                <w:lang w:eastAsia="zh-CN"/>
              </w:rPr>
              <w:t>”</w:t>
            </w:r>
            <w:r>
              <w:rPr>
                <w:rFonts w:hint="eastAsia" w:ascii="宋体" w:hAnsi="宋体" w:cs="宋体"/>
                <w:color w:val="auto"/>
                <w:u w:val="none"/>
                <w:lang w:val="en-US" w:eastAsia="zh-CN"/>
              </w:rPr>
              <w:t>（见</w:t>
            </w:r>
            <w:r>
              <w:rPr>
                <w:rFonts w:hint="eastAsia" w:ascii="宋体" w:hAnsi="宋体" w:cs="Times New Roman"/>
                <w:color w:val="auto"/>
                <w:sz w:val="21"/>
                <w:szCs w:val="21"/>
                <w:u w:val="none"/>
                <w:lang w:val="en-US" w:eastAsia="zh-CN" w:bidi="ar-SA"/>
              </w:rPr>
              <w:t>2017版</w:t>
            </w:r>
            <w:r>
              <w:rPr>
                <w:rFonts w:hint="eastAsia" w:ascii="宋体" w:hAnsi="宋体" w:eastAsia="宋体" w:cs="宋体"/>
                <w:color w:val="auto"/>
                <w:u w:val="none"/>
                <w:lang w:val="en-US" w:eastAsia="zh-CN"/>
              </w:rPr>
              <w:t>7.8.1.2</w:t>
            </w:r>
            <w:r>
              <w:rPr>
                <w:rFonts w:hint="eastAsia" w:ascii="宋体" w:hAnsi="宋体" w:cs="宋体"/>
                <w:color w:val="auto"/>
                <w:u w:val="none"/>
                <w:lang w:val="en-US" w:eastAsia="zh-CN"/>
              </w:rPr>
              <w:t>）；</w:t>
            </w:r>
            <w:r>
              <w:rPr>
                <w:rFonts w:hint="eastAsia" w:ascii="宋体" w:hAnsi="宋体" w:eastAsia="宋体" w:cs="宋体"/>
                <w:color w:val="auto"/>
                <w:u w:val="none"/>
                <w:lang w:val="en-US" w:eastAsia="zh-CN"/>
              </w:rPr>
              <w:t>增加</w:t>
            </w:r>
            <w:r>
              <w:rPr>
                <w:rFonts w:hint="eastAsia" w:ascii="宋体" w:hAnsi="宋体" w:eastAsia="宋体" w:cs="Times New Roman"/>
                <w:strike w:val="0"/>
                <w:dstrike w:val="0"/>
                <w:color w:val="auto"/>
                <w:spacing w:val="4"/>
                <w:sz w:val="21"/>
                <w:szCs w:val="21"/>
                <w:u w:val="none"/>
                <w:lang w:val="en-US" w:eastAsia="zh-CN"/>
              </w:rPr>
              <w:t>电动机外观要求</w:t>
            </w:r>
            <w:r>
              <w:rPr>
                <w:rFonts w:hint="eastAsia" w:ascii="宋体" w:hAnsi="宋体" w:cs="Times New Roman"/>
                <w:strike w:val="0"/>
                <w:dstrike w:val="0"/>
                <w:color w:val="auto"/>
                <w:spacing w:val="4"/>
                <w:sz w:val="21"/>
                <w:szCs w:val="21"/>
                <w:u w:val="none"/>
                <w:lang w:val="en-US" w:eastAsia="zh-CN"/>
              </w:rPr>
              <w:t>；根据</w:t>
            </w:r>
            <w:r>
              <w:rPr>
                <w:rFonts w:hint="eastAsia" w:ascii="宋体" w:hAnsi="宋体" w:eastAsia="宋体" w:cs="Times New Roman"/>
                <w:strike w:val="0"/>
                <w:dstrike w:val="0"/>
                <w:color w:val="auto"/>
                <w:spacing w:val="4"/>
                <w:sz w:val="21"/>
                <w:szCs w:val="21"/>
                <w:u w:val="none"/>
                <w:lang w:val="en-US" w:eastAsia="zh-CN"/>
              </w:rPr>
              <w:t>GB 50150 - 2016《电气装置安装工程 电气设备交接试验标准》</w:t>
            </w:r>
            <w:r>
              <w:rPr>
                <w:rFonts w:hint="eastAsia" w:ascii="宋体" w:hAnsi="宋体" w:cs="Times New Roman"/>
                <w:strike w:val="0"/>
                <w:dstrike w:val="0"/>
                <w:color w:val="auto"/>
                <w:spacing w:val="4"/>
                <w:sz w:val="21"/>
                <w:szCs w:val="21"/>
                <w:u w:val="none"/>
                <w:lang w:val="en-US" w:eastAsia="zh-CN"/>
              </w:rPr>
              <w:t>，</w:t>
            </w:r>
            <w:r>
              <w:rPr>
                <w:rFonts w:hint="eastAsia" w:ascii="宋体" w:hAnsi="宋体" w:eastAsia="宋体" w:cs="宋体"/>
                <w:color w:val="auto"/>
                <w:u w:val="none"/>
                <w:lang w:val="en-US" w:eastAsia="zh-CN"/>
              </w:rPr>
              <w:t>删除</w:t>
            </w:r>
            <w:r>
              <w:rPr>
                <w:rFonts w:hint="eastAsia" w:hAnsi="宋体" w:cs="宋体"/>
                <w:color w:val="auto"/>
                <w:szCs w:val="21"/>
                <w:u w:val="none"/>
                <w:lang w:val="en-US" w:eastAsia="zh-CN"/>
              </w:rPr>
              <w:t>“</w:t>
            </w:r>
            <w:r>
              <w:rPr>
                <w:rFonts w:hint="eastAsia" w:ascii="宋体" w:hAnsi="宋体" w:cs="宋体"/>
                <w:color w:val="auto"/>
                <w:szCs w:val="21"/>
                <w:u w:val="none"/>
              </w:rPr>
              <w:t>并同前次所测值对比，不得低于前次值的1/3～1/5（换算到相同温度）</w:t>
            </w:r>
            <w:r>
              <w:rPr>
                <w:rFonts w:hint="eastAsia" w:hAnsi="宋体" w:cs="宋体"/>
                <w:color w:val="auto"/>
                <w:szCs w:val="21"/>
                <w:u w:val="none"/>
                <w:lang w:val="en-US" w:eastAsia="zh-CN"/>
              </w:rPr>
              <w:t>”</w:t>
            </w:r>
            <w:r>
              <w:rPr>
                <w:rFonts w:hint="eastAsia" w:ascii="宋体" w:hAnsi="宋体" w:cs="宋体"/>
                <w:szCs w:val="21"/>
                <w:lang w:val="en-US" w:eastAsia="zh-CN"/>
              </w:rPr>
              <w:t>（</w:t>
            </w:r>
            <w:r>
              <w:rPr>
                <w:rFonts w:hint="eastAsia" w:ascii="Times New Roman" w:hAnsi="Times New Roman" w:cs="Times New Roman"/>
                <w:szCs w:val="21"/>
                <w:lang w:val="en-US" w:eastAsia="zh-CN"/>
              </w:rPr>
              <w:t>见2017版7.8.2.2和本文件6.8.2.2</w:t>
            </w:r>
            <w:r>
              <w:rPr>
                <w:rFonts w:hint="eastAsia" w:ascii="宋体" w:hAnsi="宋体" w:cs="宋体"/>
                <w:szCs w:val="21"/>
                <w:lang w:val="en-US" w:eastAsia="zh-CN"/>
              </w:rPr>
              <w:t>）。</w:t>
            </w:r>
          </w:p>
          <w:p w14:paraId="2E8B5651">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Times New Roman" w:hAnsi="Times New Roman" w:cs="Times New Roman"/>
                <w:szCs w:val="21"/>
                <w:lang w:val="en-US" w:eastAsia="zh-CN"/>
              </w:rPr>
            </w:pPr>
            <w:r>
              <w:rPr>
                <w:rFonts w:hint="eastAsia" w:ascii="宋体" w:hAnsi="宋体" w:eastAsia="宋体" w:cs="宋体"/>
                <w:bCs w:val="0"/>
                <w:color w:val="auto"/>
                <w:kern w:val="0"/>
                <w:szCs w:val="21"/>
                <w:lang w:val="en-US" w:eastAsia="zh-CN"/>
              </w:rPr>
              <w:t>7.1油系统</w:t>
            </w:r>
            <w:r>
              <w:rPr>
                <w:rFonts w:hint="eastAsia" w:ascii="宋体" w:hAnsi="宋体" w:cs="宋体"/>
                <w:bCs w:val="0"/>
                <w:color w:val="auto"/>
                <w:kern w:val="0"/>
                <w:szCs w:val="21"/>
                <w:lang w:val="en-US" w:eastAsia="zh-CN"/>
              </w:rPr>
              <w:t>：</w:t>
            </w:r>
            <w:r>
              <w:rPr>
                <w:rFonts w:hint="eastAsia"/>
                <w:color w:val="auto"/>
                <w:lang w:val="en-US" w:eastAsia="zh-CN"/>
              </w:rPr>
              <w:t>液压站及输送管道为油系统的一部分，将油系统和液压站及输送管道合并为“</w:t>
            </w:r>
            <w:r>
              <w:rPr>
                <w:rFonts w:hint="eastAsia" w:ascii="宋体" w:hAnsi="宋体" w:eastAsia="宋体" w:cs="宋体"/>
                <w:bCs w:val="0"/>
                <w:color w:val="auto"/>
                <w:kern w:val="0"/>
                <w:szCs w:val="21"/>
                <w:lang w:val="en-US" w:eastAsia="zh-CN"/>
              </w:rPr>
              <w:t>油系统</w:t>
            </w:r>
            <w:r>
              <w:rPr>
                <w:rFonts w:hint="eastAsia"/>
                <w:color w:val="auto"/>
                <w:lang w:val="en-US" w:eastAsia="zh-CN"/>
              </w:rPr>
              <w:t>”（见2017版8.1、10.5和本文件7.1）。</w:t>
            </w:r>
          </w:p>
          <w:p w14:paraId="1B4D3F02">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Times New Roman" w:hAnsi="Times New Roman" w:cs="Times New Roman"/>
                <w:szCs w:val="21"/>
                <w:lang w:val="en-US" w:eastAsia="zh-CN"/>
              </w:rPr>
            </w:pPr>
            <w:r>
              <w:rPr>
                <w:rFonts w:hint="eastAsia" w:ascii="宋体" w:hAnsi="宋体" w:eastAsia="宋体" w:cs="宋体"/>
                <w:bCs w:val="0"/>
                <w:color w:val="auto"/>
                <w:kern w:val="0"/>
                <w:szCs w:val="21"/>
                <w:lang w:val="en-US" w:eastAsia="zh-CN"/>
              </w:rPr>
              <w:t>7.3水系统</w:t>
            </w:r>
            <w:r>
              <w:rPr>
                <w:rFonts w:hint="eastAsia" w:ascii="宋体" w:hAnsi="宋体" w:cs="宋体"/>
                <w:bCs w:val="0"/>
                <w:color w:val="auto"/>
                <w:kern w:val="0"/>
                <w:szCs w:val="21"/>
                <w:lang w:val="en-US" w:eastAsia="zh-CN"/>
              </w:rPr>
              <w:t>：</w:t>
            </w:r>
            <w:r>
              <w:rPr>
                <w:rFonts w:hint="eastAsia"/>
                <w:color w:val="auto"/>
                <w:lang w:val="en-US" w:eastAsia="zh-CN"/>
              </w:rPr>
              <w:t>缺项，增加了滤水器有关内容（</w:t>
            </w:r>
            <w:r>
              <w:rPr>
                <w:rFonts w:hint="eastAsia" w:ascii="宋体" w:hAnsi="宋体" w:cs="Times New Roman"/>
                <w:strike w:val="0"/>
                <w:dstrike w:val="0"/>
                <w:color w:val="auto"/>
                <w:spacing w:val="4"/>
                <w:sz w:val="21"/>
                <w:szCs w:val="21"/>
                <w:lang w:val="en-US" w:eastAsia="zh-CN"/>
              </w:rPr>
              <w:t>见7.3.2.4</w:t>
            </w:r>
            <w:r>
              <w:rPr>
                <w:rFonts w:hint="eastAsia"/>
                <w:color w:val="auto"/>
                <w:lang w:val="en-US" w:eastAsia="zh-CN"/>
              </w:rPr>
              <w:t>）。</w:t>
            </w:r>
          </w:p>
          <w:p w14:paraId="701EC54C">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宋体" w:hAnsi="Times New Roman" w:eastAsia="宋体" w:cs="Times New Roman"/>
                <w:color w:val="auto"/>
                <w:lang w:val="en-US" w:eastAsia="zh-CN"/>
              </w:rPr>
            </w:pPr>
            <w:r>
              <w:rPr>
                <w:rFonts w:hint="eastAsia" w:ascii="宋体" w:eastAsia="宋体"/>
                <w:color w:val="auto"/>
                <w:lang w:val="en-US" w:eastAsia="zh-CN"/>
              </w:rPr>
              <w:t>8</w:t>
            </w:r>
            <w:r>
              <w:rPr>
                <w:rFonts w:hint="default" w:ascii="宋体" w:eastAsia="宋体"/>
                <w:color w:val="auto"/>
                <w:lang w:val="en-US" w:eastAsia="zh-CN"/>
              </w:rPr>
              <w:t>金属结构及启闭设备</w:t>
            </w:r>
            <w:r>
              <w:rPr>
                <w:rFonts w:hint="eastAsia" w:ascii="宋体"/>
                <w:color w:val="auto"/>
                <w:lang w:val="en-US" w:eastAsia="zh-CN"/>
              </w:rPr>
              <w:t>：根据</w:t>
            </w:r>
            <w:r>
              <w:rPr>
                <w:rFonts w:hint="eastAsia" w:ascii="宋体" w:hAnsi="宋体" w:eastAsia="宋体" w:cs="Times New Roman"/>
                <w:strike w:val="0"/>
                <w:dstrike w:val="0"/>
                <w:color w:val="auto"/>
                <w:spacing w:val="4"/>
                <w:sz w:val="21"/>
                <w:szCs w:val="21"/>
                <w:lang w:val="en-US" w:eastAsia="zh-CN"/>
              </w:rPr>
              <w:t>SL 176《水利水电工程施工质量检验与评定规程》</w:t>
            </w:r>
            <w:r>
              <w:rPr>
                <w:rFonts w:hint="eastAsia"/>
                <w:color w:val="auto"/>
                <w:lang w:val="en-US" w:eastAsia="zh-CN"/>
              </w:rPr>
              <w:t>将</w:t>
            </w:r>
            <w:r>
              <w:rPr>
                <w:rFonts w:hint="default" w:ascii="宋体" w:eastAsia="宋体"/>
                <w:color w:val="auto"/>
                <w:lang w:val="en-US" w:eastAsia="zh-CN"/>
              </w:rPr>
              <w:t>金属结构</w:t>
            </w:r>
            <w:r>
              <w:rPr>
                <w:rFonts w:hint="eastAsia"/>
                <w:color w:val="auto"/>
                <w:lang w:val="en-US" w:eastAsia="zh-CN"/>
              </w:rPr>
              <w:t>修改</w:t>
            </w:r>
            <w:r>
              <w:rPr>
                <w:rFonts w:hint="default" w:ascii="宋体" w:eastAsia="宋体"/>
                <w:color w:val="auto"/>
                <w:lang w:val="en-US" w:eastAsia="zh-CN"/>
              </w:rPr>
              <w:t>为金属结构及启闭设备</w:t>
            </w:r>
            <w:r>
              <w:rPr>
                <w:rFonts w:hint="eastAsia" w:ascii="宋体" w:hAnsi="宋体" w:eastAsia="宋体" w:cs="Times New Roman"/>
                <w:strike w:val="0"/>
                <w:dstrike w:val="0"/>
                <w:color w:val="0000FF"/>
                <w:spacing w:val="4"/>
                <w:sz w:val="21"/>
                <w:szCs w:val="21"/>
                <w:lang w:val="en-US" w:eastAsia="zh-CN"/>
              </w:rPr>
              <w:t>，</w:t>
            </w:r>
            <w:r>
              <w:rPr>
                <w:rFonts w:hint="eastAsia" w:ascii="宋体" w:hAnsi="宋体" w:cs="Times New Roman"/>
                <w:strike w:val="0"/>
                <w:dstrike w:val="0"/>
                <w:color w:val="auto"/>
                <w:spacing w:val="4"/>
                <w:sz w:val="21"/>
                <w:szCs w:val="21"/>
                <w:lang w:val="en-US" w:eastAsia="zh-CN"/>
              </w:rPr>
              <w:t>根据</w:t>
            </w:r>
            <w:r>
              <w:rPr>
                <w:rFonts w:hint="eastAsia" w:eastAsia="宋体" w:cs="Times New Roman"/>
                <w:color w:val="auto"/>
                <w:lang w:val="en-US" w:eastAsia="zh-CN"/>
              </w:rPr>
              <w:t>GB/T 30948</w:t>
            </w:r>
            <w:r>
              <w:rPr>
                <w:rFonts w:hint="eastAsia" w:ascii="宋体" w:hAnsi="宋体" w:eastAsia="宋体" w:cs="宋体"/>
                <w:color w:val="auto"/>
                <w:lang w:val="en-US" w:eastAsia="zh-CN"/>
              </w:rPr>
              <w:t>《</w:t>
            </w:r>
            <w:r>
              <w:rPr>
                <w:rFonts w:hint="eastAsia" w:ascii="宋体" w:hAnsi="宋体" w:eastAsia="宋体" w:cs="Times New Roman"/>
                <w:strike w:val="0"/>
                <w:dstrike w:val="0"/>
                <w:color w:val="auto"/>
                <w:spacing w:val="4"/>
                <w:sz w:val="21"/>
                <w:szCs w:val="21"/>
                <w:lang w:val="en-US" w:eastAsia="zh-CN"/>
              </w:rPr>
              <w:t>泵</w:t>
            </w:r>
            <w:r>
              <w:rPr>
                <w:rFonts w:hint="eastAsia" w:ascii="宋体" w:hAnsi="宋体"/>
                <w:strike w:val="0"/>
                <w:dstrike w:val="0"/>
                <w:color w:val="auto"/>
                <w:spacing w:val="4"/>
                <w:sz w:val="21"/>
                <w:szCs w:val="21"/>
                <w:lang w:val="en-US" w:eastAsia="zh-CN"/>
              </w:rPr>
              <w:t>站技术管理规程》，</w:t>
            </w:r>
            <w:r>
              <w:rPr>
                <w:rFonts w:hint="eastAsia"/>
                <w:color w:val="auto"/>
                <w:lang w:val="en-US" w:eastAsia="zh-CN"/>
              </w:rPr>
              <w:t>压力管道修改为管道及伸缩节，增加了</w:t>
            </w:r>
            <w:r>
              <w:rPr>
                <w:rFonts w:hint="eastAsia" w:ascii="宋体" w:hAnsi="宋体" w:eastAsia="宋体" w:cs="宋体"/>
                <w:bCs w:val="0"/>
                <w:kern w:val="0"/>
                <w:szCs w:val="21"/>
                <w:lang w:val="en-US" w:eastAsia="zh-CN"/>
              </w:rPr>
              <w:t>拦污栅及清污设备</w:t>
            </w:r>
            <w:r>
              <w:rPr>
                <w:rFonts w:hint="eastAsia" w:ascii="宋体" w:hAnsi="宋体" w:cs="宋体"/>
                <w:bCs w:val="0"/>
                <w:kern w:val="0"/>
                <w:szCs w:val="21"/>
                <w:lang w:val="en-US" w:eastAsia="zh-CN"/>
              </w:rPr>
              <w:t>；</w:t>
            </w:r>
            <w:r>
              <w:rPr>
                <w:rFonts w:hint="eastAsia" w:ascii="宋体" w:hAnsi="Times New Roman" w:eastAsia="宋体" w:cs="Times New Roman"/>
                <w:color w:val="auto"/>
                <w:lang w:val="en-US" w:eastAsia="zh-CN"/>
              </w:rPr>
              <w:t>大型泵站无铸铁闸门，故删除铸铁闸门有关内容。</w:t>
            </w:r>
          </w:p>
          <w:p w14:paraId="6930F444">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宋体" w:hAnsi="Times New Roman" w:eastAsia="宋体" w:cs="Times New Roman"/>
                <w:color w:val="auto"/>
                <w:lang w:val="en-US" w:eastAsia="zh-CN"/>
              </w:rPr>
            </w:pPr>
            <w:r>
              <w:rPr>
                <w:rFonts w:hint="eastAsia" w:ascii="宋体" w:hAnsi="宋体" w:eastAsia="宋体" w:cs="宋体"/>
                <w:b w:val="0"/>
                <w:bCs/>
                <w:szCs w:val="21"/>
                <w:shd w:val="clear" w:color="auto" w:fill="FFFFFF"/>
                <w:lang w:val="en-US" w:eastAsia="zh-CN"/>
              </w:rPr>
              <w:t>8.2钢闸门</w:t>
            </w:r>
            <w:r>
              <w:rPr>
                <w:szCs w:val="21"/>
              </w:rPr>
              <w:t>：</w:t>
            </w:r>
            <w:r>
              <w:rPr>
                <w:rFonts w:hint="eastAsia"/>
                <w:szCs w:val="21"/>
              </w:rPr>
              <w:t>根据</w:t>
            </w:r>
            <w:r>
              <w:rPr>
                <w:rFonts w:hint="default" w:ascii="Times New Roman" w:hAnsi="Times New Roman" w:cs="Times New Roman"/>
                <w:szCs w:val="21"/>
              </w:rPr>
              <w:t>ＳＬ</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75</w:t>
            </w:r>
            <w:r>
              <w:rPr>
                <w:rFonts w:hint="eastAsia"/>
                <w:szCs w:val="21"/>
                <w:lang w:eastAsia="zh-CN"/>
              </w:rPr>
              <w:t>《</w:t>
            </w:r>
            <w:r>
              <w:rPr>
                <w:rFonts w:hint="eastAsia"/>
                <w:szCs w:val="21"/>
              </w:rPr>
              <w:t>水闸技术管理规程</w:t>
            </w:r>
            <w:r>
              <w:rPr>
                <w:rFonts w:hint="eastAsia"/>
                <w:szCs w:val="21"/>
                <w:lang w:eastAsia="zh-CN"/>
              </w:rPr>
              <w:t>》</w:t>
            </w:r>
            <w:r>
              <w:rPr>
                <w:rFonts w:hint="eastAsia"/>
                <w:szCs w:val="21"/>
              </w:rPr>
              <w:t>第4.8.3</w:t>
            </w:r>
            <w:r>
              <w:rPr>
                <w:rFonts w:hint="eastAsia"/>
                <w:szCs w:val="21"/>
                <w:lang w:val="en-US" w:eastAsia="zh-CN"/>
              </w:rPr>
              <w:t>~</w:t>
            </w:r>
            <w:r>
              <w:rPr>
                <w:rFonts w:hint="eastAsia"/>
                <w:szCs w:val="21"/>
              </w:rPr>
              <w:t>4.8.5</w:t>
            </w:r>
            <w:r>
              <w:rPr>
                <w:rFonts w:hint="eastAsia"/>
                <w:szCs w:val="21"/>
                <w:lang w:eastAsia="zh-CN"/>
              </w:rPr>
              <w:t>，</w:t>
            </w:r>
            <w:r>
              <w:rPr>
                <w:rFonts w:hint="eastAsia"/>
                <w:color w:val="auto"/>
                <w:lang w:val="en-US" w:eastAsia="zh-CN"/>
              </w:rPr>
              <w:t>增加了</w:t>
            </w:r>
            <w:r>
              <w:rPr>
                <w:rFonts w:hint="eastAsia" w:ascii="宋体" w:eastAsia="宋体"/>
                <w:color w:val="auto"/>
                <w:lang w:val="en-US" w:eastAsia="zh-CN"/>
              </w:rPr>
              <w:t>钢闸门</w:t>
            </w:r>
            <w:r>
              <w:rPr>
                <w:rFonts w:hint="eastAsia" w:ascii="Times New Roman" w:hAnsi="Times New Roman" w:eastAsia="宋体" w:cs="Times New Roman"/>
                <w:color w:val="auto"/>
                <w:lang w:val="en-US" w:eastAsia="zh-CN"/>
              </w:rPr>
              <w:t>吊耳、吊杆及锁定装置、受力拉板或撑板更换，潜孔闸门顶止水修复有关内容。</w:t>
            </w:r>
          </w:p>
          <w:p w14:paraId="4F6AC938">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宋体" w:hAnsi="Times New Roman" w:eastAsia="宋体" w:cs="Times New Roman"/>
                <w:color w:val="auto"/>
                <w:lang w:val="en-US" w:eastAsia="zh-CN"/>
              </w:rPr>
            </w:pPr>
            <w:r>
              <w:rPr>
                <w:rFonts w:hint="eastAsia" w:ascii="宋体" w:hAnsi="宋体" w:eastAsia="宋体" w:cs="宋体"/>
                <w:bCs w:val="0"/>
                <w:kern w:val="0"/>
                <w:szCs w:val="21"/>
                <w:lang w:val="en-US" w:eastAsia="zh-CN"/>
              </w:rPr>
              <w:t>8.6管道及伸缩节</w:t>
            </w:r>
            <w:r>
              <w:rPr>
                <w:szCs w:val="21"/>
              </w:rPr>
              <w:t>：</w:t>
            </w:r>
            <w:r>
              <w:rPr>
                <w:rFonts w:hint="eastAsia" w:ascii="宋体" w:hAnsi="宋体" w:eastAsia="宋体" w:cs="宋体"/>
                <w:color w:val="auto"/>
                <w:szCs w:val="21"/>
                <w:lang w:val="en-US" w:eastAsia="zh-CN"/>
              </w:rPr>
              <w:t>原日常</w:t>
            </w:r>
            <w:r>
              <w:rPr>
                <w:rFonts w:hint="eastAsia" w:ascii="宋体" w:hAnsi="宋体" w:eastAsia="宋体" w:cs="宋体"/>
                <w:color w:val="auto"/>
                <w:szCs w:val="21"/>
              </w:rPr>
              <w:t>9.2.1.6</w:t>
            </w:r>
            <w:r>
              <w:rPr>
                <w:rFonts w:hint="eastAsia" w:ascii="宋体" w:hAnsi="宋体" w:eastAsia="宋体" w:cs="宋体"/>
                <w:color w:val="auto"/>
                <w:szCs w:val="21"/>
                <w:lang w:val="en-US" w:eastAsia="zh-CN"/>
              </w:rPr>
              <w:t>调整到定期8.6.2.6</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与本文件6.1.2.7、6.2.2.8等接地</w:t>
            </w:r>
            <w:r>
              <w:rPr>
                <w:rFonts w:hint="eastAsia" w:ascii="宋体" w:hAnsi="宋体" w:cs="宋体"/>
                <w:color w:val="auto"/>
                <w:szCs w:val="21"/>
                <w:lang w:val="en-US" w:eastAsia="zh-CN"/>
              </w:rPr>
              <w:t>维护保养周期</w:t>
            </w:r>
            <w:r>
              <w:rPr>
                <w:rFonts w:hint="eastAsia" w:ascii="宋体" w:hAnsi="宋体" w:eastAsia="宋体" w:cs="宋体"/>
                <w:color w:val="auto"/>
                <w:szCs w:val="21"/>
                <w:lang w:val="en-US" w:eastAsia="zh-CN"/>
              </w:rPr>
              <w:t>保持一致</w:t>
            </w:r>
            <w:r>
              <w:rPr>
                <w:rFonts w:hint="eastAsia" w:ascii="宋体" w:hAnsi="宋体" w:cs="宋体"/>
                <w:color w:val="auto"/>
                <w:szCs w:val="21"/>
                <w:lang w:val="en-US" w:eastAsia="zh-CN"/>
              </w:rPr>
              <w:t>；</w:t>
            </w:r>
            <w:r>
              <w:rPr>
                <w:rFonts w:hint="eastAsia" w:eastAsia="宋体" w:cs="Times New Roman"/>
                <w:color w:val="auto"/>
                <w:lang w:val="en-US" w:eastAsia="zh-CN"/>
              </w:rPr>
              <w:t>根据GB/T 30948第7.8.2，</w:t>
            </w:r>
            <w:r>
              <w:rPr>
                <w:rFonts w:hint="eastAsia" w:ascii="宋体" w:hAnsi="宋体" w:eastAsia="宋体" w:cs="宋体"/>
                <w:bCs w:val="0"/>
                <w:kern w:val="0"/>
                <w:szCs w:val="21"/>
                <w:lang w:val="en-US" w:eastAsia="zh-CN"/>
              </w:rPr>
              <w:t>增加</w:t>
            </w:r>
            <w:r>
              <w:rPr>
                <w:rFonts w:hint="default" w:ascii="宋体" w:hAnsi="宋体" w:eastAsia="宋体" w:cs="宋体"/>
                <w:bCs w:val="0"/>
                <w:kern w:val="0"/>
                <w:szCs w:val="21"/>
                <w:lang w:val="en-US" w:eastAsia="zh-CN"/>
              </w:rPr>
              <w:t>压力钢管</w:t>
            </w:r>
            <w:r>
              <w:rPr>
                <w:rFonts w:hint="eastAsia" w:ascii="宋体" w:hAnsi="宋体" w:eastAsia="宋体" w:cs="宋体"/>
                <w:bCs w:val="0"/>
                <w:kern w:val="0"/>
                <w:szCs w:val="21"/>
                <w:lang w:val="en-US" w:eastAsia="zh-CN"/>
              </w:rPr>
              <w:t>安全检测内容。</w:t>
            </w:r>
          </w:p>
          <w:p w14:paraId="3084EE68">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宋体" w:hAnsi="宋体" w:cs="宋体"/>
                <w:color w:val="auto"/>
                <w:szCs w:val="21"/>
                <w:u w:val="none"/>
                <w:lang w:val="en-US" w:eastAsia="zh-CN"/>
              </w:rPr>
            </w:pPr>
            <w:r>
              <w:rPr>
                <w:rFonts w:hint="eastAsia" w:ascii="宋体" w:hAnsi="宋体" w:eastAsia="宋体" w:cs="宋体"/>
                <w:bCs w:val="0"/>
                <w:kern w:val="0"/>
                <w:szCs w:val="21"/>
                <w:lang w:val="en-US" w:eastAsia="zh-CN"/>
              </w:rPr>
              <w:t>8.7卷扬式启闭机</w:t>
            </w:r>
            <w:r>
              <w:rPr>
                <w:rFonts w:hint="eastAsia" w:ascii="宋体" w:hAnsi="宋体" w:cs="宋体"/>
                <w:bCs w:val="0"/>
                <w:kern w:val="0"/>
                <w:szCs w:val="21"/>
                <w:lang w:val="en-US" w:eastAsia="zh-CN"/>
              </w:rPr>
              <w:t>：根据SL/T 722第4.4.1条增加相关内容；缺项，对原10.6.2.1 b）、d）合并，并增加转动轴、滑轮、转动轮、齿轮、轴承等部位检查润滑状况及更换润滑油或润滑油脂的有关要求；根据SL/T 722《水工钢闸门和启闭机安全运行规程》第4.4.2条，原10.6.2.1 a）并调整到定期（见8.7.2.4）并增加有关内容；原10.6.2.2 k）与10.6.2.2 f）内容有重复，根据ＳＬ75水闸技术管理规程附</w:t>
            </w:r>
            <w:r>
              <w:rPr>
                <w:rFonts w:hint="eastAsia" w:ascii="宋体" w:hAnsi="宋体" w:cs="宋体"/>
                <w:color w:val="auto"/>
                <w:szCs w:val="21"/>
                <w:u w:val="none"/>
                <w:lang w:val="en-US" w:eastAsia="zh-CN"/>
              </w:rPr>
              <w:t>录C.2.5，增加制动轮、制动带有关内容，增加液压制动器相关内容；增加移动式启闭机相关内容。</w:t>
            </w:r>
            <w:r>
              <w:rPr>
                <w:rFonts w:hint="eastAsia" w:ascii="宋体" w:hAnsi="宋体" w:cs="宋体"/>
                <w:szCs w:val="21"/>
                <w:lang w:val="en-US" w:eastAsia="zh-CN"/>
              </w:rPr>
              <w:t>（</w:t>
            </w:r>
            <w:r>
              <w:rPr>
                <w:rFonts w:hint="eastAsia" w:ascii="Times New Roman" w:hAnsi="Times New Roman" w:cs="Times New Roman"/>
                <w:szCs w:val="21"/>
                <w:lang w:val="en-US" w:eastAsia="zh-CN"/>
              </w:rPr>
              <w:t>见2017版10.6.2和本文件8.7</w:t>
            </w:r>
            <w:r>
              <w:rPr>
                <w:rFonts w:hint="eastAsia" w:ascii="宋体" w:hAnsi="宋体" w:cs="宋体"/>
                <w:szCs w:val="21"/>
                <w:lang w:val="en-US" w:eastAsia="zh-CN"/>
              </w:rPr>
              <w:t>）</w:t>
            </w:r>
          </w:p>
          <w:p w14:paraId="436DA693">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宋体" w:hAnsi="宋体" w:cs="宋体"/>
                <w:color w:val="auto"/>
                <w:szCs w:val="21"/>
                <w:u w:val="none"/>
                <w:lang w:val="en-US" w:eastAsia="zh-CN"/>
              </w:rPr>
            </w:pPr>
            <w:r>
              <w:rPr>
                <w:rFonts w:hint="eastAsia" w:ascii="宋体" w:hAnsi="宋体" w:eastAsia="宋体" w:cs="宋体"/>
                <w:bCs w:val="0"/>
                <w:kern w:val="0"/>
                <w:szCs w:val="21"/>
                <w:lang w:val="en-US" w:eastAsia="zh-CN"/>
              </w:rPr>
              <w:t>8.9螺杆式启闭机</w:t>
            </w:r>
            <w:r>
              <w:rPr>
                <w:rFonts w:hint="eastAsia" w:ascii="宋体" w:hAnsi="宋体" w:cs="宋体"/>
                <w:bCs w:val="0"/>
                <w:kern w:val="0"/>
                <w:szCs w:val="21"/>
                <w:lang w:val="en-US" w:eastAsia="zh-CN"/>
              </w:rPr>
              <w:t>：</w:t>
            </w:r>
            <w:r>
              <w:rPr>
                <w:rFonts w:hint="eastAsia" w:eastAsia="宋体" w:cs="Times New Roman"/>
                <w:color w:val="auto"/>
                <w:lang w:val="en-US" w:eastAsia="zh-CN"/>
              </w:rPr>
              <w:t>根据SL/T 722第4.7.1条</w:t>
            </w:r>
            <w:r>
              <w:rPr>
                <w:rFonts w:hint="eastAsia" w:cs="Times New Roman"/>
                <w:color w:val="auto"/>
                <w:lang w:val="en-US" w:eastAsia="zh-CN"/>
              </w:rPr>
              <w:t>和</w:t>
            </w:r>
            <w:r>
              <w:rPr>
                <w:rFonts w:hint="eastAsia" w:eastAsia="宋体" w:cs="Times New Roman"/>
                <w:color w:val="auto"/>
                <w:lang w:val="en-US" w:eastAsia="zh-CN"/>
              </w:rPr>
              <w:t>第4.7.2条增加相关内容</w:t>
            </w:r>
            <w:r>
              <w:rPr>
                <w:rFonts w:hint="eastAsia" w:cs="Times New Roman"/>
                <w:color w:val="auto"/>
                <w:lang w:val="en-US" w:eastAsia="zh-CN"/>
              </w:rPr>
              <w:t>；</w:t>
            </w:r>
            <w:r>
              <w:rPr>
                <w:rFonts w:hint="eastAsia" w:eastAsia="宋体" w:cs="Times New Roman"/>
                <w:color w:val="auto"/>
                <w:lang w:val="en-US" w:eastAsia="zh-CN"/>
              </w:rPr>
              <w:t>原日常10.6.1.1 a）与本文件定期8.9.2.2重复，删除。（见2017版10.6.1</w:t>
            </w:r>
            <w:r>
              <w:rPr>
                <w:rFonts w:hint="eastAsia" w:ascii="Times New Roman" w:hAnsi="Times New Roman" w:cs="Times New Roman"/>
                <w:color w:val="auto"/>
                <w:szCs w:val="21"/>
                <w:lang w:val="en-US" w:eastAsia="zh-CN"/>
              </w:rPr>
              <w:t>和本文件8.9</w:t>
            </w:r>
            <w:r>
              <w:rPr>
                <w:rFonts w:hint="eastAsia" w:ascii="宋体" w:hAnsi="宋体" w:cs="宋体"/>
                <w:color w:val="auto"/>
                <w:szCs w:val="21"/>
                <w:lang w:val="en-US" w:eastAsia="zh-CN"/>
              </w:rPr>
              <w:t>）</w:t>
            </w:r>
          </w:p>
          <w:p w14:paraId="69AD5EBA">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宋体" w:hAnsi="宋体" w:cs="宋体"/>
                <w:color w:val="auto"/>
                <w:szCs w:val="21"/>
                <w:u w:val="none"/>
                <w:lang w:val="en-US" w:eastAsia="zh-CN"/>
              </w:rPr>
            </w:pPr>
            <w:r>
              <w:rPr>
                <w:rFonts w:hint="eastAsia" w:ascii="宋体" w:hAnsi="宋体" w:cs="宋体"/>
                <w:color w:val="auto"/>
                <w:szCs w:val="21"/>
                <w:u w:val="none"/>
                <w:lang w:val="en-US" w:eastAsia="zh-CN"/>
              </w:rPr>
              <w:t>8.10拦污栅及清污设备：</w:t>
            </w:r>
            <w:r>
              <w:rPr>
                <w:rFonts w:hint="eastAsia" w:ascii="宋体" w:hAnsi="宋体" w:cs="宋体"/>
                <w:b w:val="0"/>
                <w:bCs w:val="0"/>
                <w:szCs w:val="21"/>
                <w:shd w:val="clear" w:color="auto" w:fill="FFFFFF"/>
                <w:lang w:val="en-US" w:eastAsia="zh-CN"/>
              </w:rPr>
              <w:t>原第10.3.2.2条与第10.3.2.3条内</w:t>
            </w:r>
            <w:r>
              <w:rPr>
                <w:rFonts w:hint="eastAsia" w:ascii="宋体" w:hAnsi="宋体" w:cs="宋体"/>
                <w:color w:val="auto"/>
                <w:szCs w:val="21"/>
                <w:u w:val="none"/>
                <w:lang w:val="en-US" w:eastAsia="zh-CN"/>
              </w:rPr>
              <w:t>容有重复，删除原10.3.2.2条（</w:t>
            </w:r>
            <w:r>
              <w:rPr>
                <w:rFonts w:hint="eastAsia" w:ascii="Times New Roman" w:hAnsi="Times New Roman" w:cs="Times New Roman"/>
                <w:color w:val="auto"/>
                <w:szCs w:val="21"/>
                <w:lang w:val="en-US" w:eastAsia="zh-CN"/>
              </w:rPr>
              <w:t>见2017版10.3.2.2</w:t>
            </w:r>
            <w:r>
              <w:rPr>
                <w:rFonts w:hint="eastAsia" w:ascii="宋体" w:hAnsi="宋体" w:cs="宋体"/>
                <w:color w:val="auto"/>
                <w:szCs w:val="21"/>
                <w:u w:val="none"/>
                <w:lang w:val="en-US" w:eastAsia="zh-CN"/>
              </w:rPr>
              <w:t>）。</w:t>
            </w:r>
          </w:p>
          <w:p w14:paraId="2D00F83F">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Times New Roman" w:hAnsi="黑体" w:cs="黑体"/>
                <w:b w:val="0"/>
                <w:bCs w:val="0"/>
                <w:color w:val="auto"/>
                <w:kern w:val="0"/>
                <w:szCs w:val="21"/>
                <w:lang w:val="en-US" w:eastAsia="zh-CN"/>
              </w:rPr>
            </w:pPr>
            <w:bookmarkStart w:id="0" w:name="_Toc649"/>
            <w:bookmarkStart w:id="1" w:name="_Toc32190"/>
            <w:bookmarkStart w:id="2" w:name="_Toc8646"/>
            <w:bookmarkStart w:id="3" w:name="_Toc28374"/>
            <w:bookmarkStart w:id="4" w:name="_Toc26439"/>
            <w:r>
              <w:rPr>
                <w:rFonts w:hint="eastAsia" w:hAnsi="黑体" w:cs="黑体"/>
                <w:b w:val="0"/>
                <w:bCs w:val="0"/>
                <w:kern w:val="0"/>
                <w:szCs w:val="21"/>
                <w:lang w:val="en-US" w:eastAsia="zh-CN"/>
              </w:rPr>
              <w:t>9监控系统和视频监视系统</w:t>
            </w:r>
            <w:bookmarkEnd w:id="0"/>
            <w:bookmarkEnd w:id="1"/>
            <w:bookmarkEnd w:id="2"/>
            <w:bookmarkEnd w:id="3"/>
            <w:bookmarkEnd w:id="4"/>
            <w:r>
              <w:rPr>
                <w:rFonts w:hint="eastAsia" w:hAnsi="黑体" w:cs="黑体"/>
                <w:b w:val="0"/>
                <w:bCs w:val="0"/>
                <w:kern w:val="0"/>
                <w:szCs w:val="21"/>
                <w:lang w:val="en-US" w:eastAsia="zh-CN"/>
              </w:rPr>
              <w:t>：</w:t>
            </w:r>
            <w:r>
              <w:rPr>
                <w:rFonts w:hint="eastAsia" w:ascii="Times New Roman" w:hAnsi="黑体" w:cs="黑体"/>
                <w:b w:val="0"/>
                <w:bCs w:val="0"/>
                <w:kern w:val="0"/>
                <w:szCs w:val="21"/>
                <w:lang w:val="en-US" w:eastAsia="zh-CN"/>
              </w:rPr>
              <w:t>根据GB/T 30948，将自动化系统改为控制系统和视频监视系统；根据GB/T 30948附录D，增加摄像机、监控立杆和设备箱日常维护保养有关内容</w:t>
            </w:r>
            <w:r>
              <w:rPr>
                <w:rFonts w:hint="eastAsia" w:hAnsi="黑体" w:cs="黑体"/>
                <w:b w:val="0"/>
                <w:bCs w:val="0"/>
                <w:kern w:val="0"/>
                <w:szCs w:val="21"/>
                <w:lang w:val="en-US" w:eastAsia="zh-CN"/>
              </w:rPr>
              <w:t>；</w:t>
            </w:r>
            <w:r>
              <w:rPr>
                <w:rFonts w:hint="eastAsia" w:ascii="Times New Roman" w:hAnsi="黑体" w:cs="黑体"/>
                <w:b w:val="0"/>
                <w:bCs w:val="0"/>
                <w:kern w:val="0"/>
                <w:szCs w:val="21"/>
                <w:lang w:val="en-US" w:eastAsia="zh-CN"/>
              </w:rPr>
              <w:t>将原日常11.1.4条调整到本文件定期9.2.1.5，</w:t>
            </w:r>
            <w:r>
              <w:rPr>
                <w:rFonts w:hint="eastAsia" w:ascii="宋体" w:hAnsi="宋体" w:eastAsia="宋体" w:cs="宋体"/>
                <w:color w:val="auto"/>
                <w:szCs w:val="21"/>
                <w:lang w:val="en-US" w:eastAsia="zh-CN"/>
              </w:rPr>
              <w:t>与本文件6.1.2.7、6.2.2.8</w:t>
            </w:r>
            <w:r>
              <w:rPr>
                <w:rFonts w:hint="eastAsia" w:ascii="Times New Roman" w:hAnsi="黑体" w:cs="黑体"/>
                <w:b w:val="0"/>
                <w:bCs w:val="0"/>
                <w:kern w:val="0"/>
                <w:szCs w:val="21"/>
                <w:lang w:val="en-US" w:eastAsia="zh-CN"/>
              </w:rPr>
              <w:t>等条文接地维护保养周期保持一致；根据DB36/T 743.2 - 2021《高速公路机电系统维护技术规范 第2部分：监控系统》，增加“计算机系统及其外部连接设备外观干净整洁，无污渍、灰尘”（见9.1.2）；根据GB/T 30948《泵站技术管理规程》附录D 表D12，增加9.1.4、9.1.5、9.1.6等内容；根据DB34/T 4640 - 2023《“雪亮工程”运维服务规范》，增加9.1.7（见2017版第11章和本文件第9章）。</w:t>
            </w:r>
          </w:p>
          <w:p w14:paraId="20E49876">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hAnsi="黑体" w:cs="黑体"/>
                <w:b w:val="0"/>
                <w:bCs w:val="0"/>
                <w:kern w:val="0"/>
                <w:szCs w:val="21"/>
                <w:lang w:val="en-US" w:eastAsia="zh-CN"/>
              </w:rPr>
            </w:pPr>
            <w:r>
              <w:rPr>
                <w:rFonts w:hint="eastAsia" w:ascii="宋体" w:hAnsi="宋体" w:eastAsia="宋体" w:cs="宋体"/>
                <w:sz w:val="21"/>
                <w:szCs w:val="21"/>
                <w:lang w:val="en-US" w:eastAsia="zh-CN"/>
              </w:rPr>
              <w:t>9.2</w:t>
            </w:r>
            <w:r>
              <w:rPr>
                <w:rFonts w:hint="eastAsia" w:ascii="宋体" w:hAnsi="宋体" w:cs="宋体"/>
                <w:sz w:val="21"/>
                <w:szCs w:val="21"/>
                <w:lang w:val="en-US" w:eastAsia="zh-CN"/>
              </w:rPr>
              <w:t>定期维护保养内容：根据GB/T 30948《泵站技术管理规程》第7.9.6条增加“系统软件及数据库文件等相关信息的备份与存档，应符合GB/T 30948的规定”（见9.2.1.4）；缺项，根据DB34/T 4640 - 2023《“雪亮工程”运维服务规范》，增加9.2.2.2部分内容和9.2.2.4、9.2.2.5；参考DB54/T 0160-2019《水利工程视频监控系统技术规范》5.5.1、DB34/T 2923-2017《水利工程视频图像站建设技术规范》4.4.3等，增加了视频数据处理、存储有关要求（见9.2.2.3），大型泵站属于重点部位场所，故要求录像存储时间不少于30d；根据DB34/T 4640 - 2023《“雪亮工程”运维服务规范》，增加网线及光纤安装、连接、绑扎、标识有关内容（见9.2.3.2）；根据</w:t>
            </w:r>
            <w:r>
              <w:rPr>
                <w:rFonts w:hint="default" w:ascii="宋体" w:hAnsi="宋体" w:cs="宋体"/>
                <w:sz w:val="21"/>
                <w:szCs w:val="21"/>
                <w:lang w:val="en-US" w:eastAsia="zh-CN"/>
              </w:rPr>
              <w:t>GB/T 50312</w:t>
            </w:r>
            <w:r>
              <w:rPr>
                <w:rFonts w:hint="eastAsia" w:ascii="宋体" w:hAnsi="宋体" w:cs="宋体"/>
                <w:sz w:val="21"/>
                <w:szCs w:val="21"/>
                <w:lang w:val="en-US" w:eastAsia="zh-CN"/>
              </w:rPr>
              <w:t>《综合布线工程验收规范》增加9.2.3.3、9.2.3.4有关内容；缺项，根据DB36/T 743.2 - 2021《高速公路机电系统维护技术规范+第2部分：监控系统》增加UPS有关内容，增加“UPS蓄电池维护执行本文件6.10.2.2、6.10.2.3的规定”；</w:t>
            </w:r>
            <w:r>
              <w:rPr>
                <w:rFonts w:hint="eastAsia" w:ascii="宋体" w:hAnsi="宋体" w:cs="宋体"/>
                <w:sz w:val="21"/>
                <w:szCs w:val="21"/>
                <w:lang w:val="en-US" w:eastAsia="zh-CN"/>
              </w:rPr>
              <w:t>根据</w:t>
            </w:r>
            <w:r>
              <w:rPr>
                <w:rFonts w:hint="eastAsia" w:ascii="宋体" w:hAnsi="宋体" w:cs="宋体"/>
                <w:sz w:val="21"/>
                <w:szCs w:val="21"/>
                <w:lang w:val="en-US" w:eastAsia="zh-CN"/>
              </w:rPr>
              <w:t>根据GB/T 30948《泵站技术管理规程》第7.9.3条并参照DL/T 1971 - 2019《水轮发电机组状态在</w:t>
            </w:r>
            <w:r>
              <w:rPr>
                <w:rFonts w:hint="eastAsia" w:hAnsi="黑体" w:cs="黑体"/>
                <w:b w:val="0"/>
                <w:bCs w:val="0"/>
                <w:kern w:val="0"/>
                <w:szCs w:val="21"/>
                <w:lang w:val="en-US" w:eastAsia="zh-CN"/>
              </w:rPr>
              <w:t>线监测系统运行及维护规程》，增加机组状态在线监测系统有关内容。</w:t>
            </w:r>
          </w:p>
          <w:p w14:paraId="1DFE1454">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宋体" w:hAnsi="宋体" w:cs="宋体"/>
                <w:color w:val="auto"/>
                <w:szCs w:val="21"/>
                <w:u w:val="none"/>
                <w:lang w:val="en-US" w:eastAsia="zh-CN"/>
              </w:rPr>
            </w:pPr>
            <w:r>
              <w:rPr>
                <w:rFonts w:hint="eastAsia" w:ascii="宋体" w:hAnsi="宋体" w:eastAsia="宋体" w:cs="宋体"/>
                <w:color w:val="auto"/>
                <w:sz w:val="21"/>
                <w:szCs w:val="21"/>
                <w:lang w:val="en-US" w:eastAsia="zh-CN"/>
              </w:rPr>
              <w:t>10附属设施</w:t>
            </w:r>
            <w:r>
              <w:rPr>
                <w:rFonts w:hint="eastAsia" w:ascii="宋体" w:hAnsi="宋体" w:cs="宋体"/>
                <w:color w:val="auto"/>
                <w:sz w:val="21"/>
                <w:szCs w:val="21"/>
                <w:lang w:val="en-US" w:eastAsia="zh-CN"/>
              </w:rPr>
              <w:t>：我省大型泵站备用电源目前均为柴油发电机，故“自备发电机”改为“备用柴油发电机”；液压站及输送管道调整到油系统，清污设备、启闭设备调整到金属结构及启闭设备；通风采暖维护保养内容为通风设备内容，目前我省大型泵站均未安装有采暖设施，故“通风采暖”改为“通风系统”。</w:t>
            </w:r>
          </w:p>
          <w:p w14:paraId="03A95084">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宋体" w:hAnsi="宋体" w:cs="宋体"/>
                <w:color w:val="auto"/>
                <w:szCs w:val="21"/>
                <w:u w:val="none"/>
                <w:lang w:val="en-US" w:eastAsia="zh-CN"/>
              </w:rPr>
            </w:pPr>
            <w:r>
              <w:rPr>
                <w:rFonts w:hint="eastAsia" w:ascii="宋体" w:hAnsi="宋体" w:eastAsia="宋体" w:cs="宋体"/>
                <w:color w:val="auto"/>
                <w:sz w:val="21"/>
                <w:szCs w:val="21"/>
                <w:lang w:val="en-US" w:eastAsia="zh-CN"/>
              </w:rPr>
              <w:t>10.2起重设备</w:t>
            </w:r>
            <w:r>
              <w:rPr>
                <w:rFonts w:hint="eastAsia" w:ascii="宋体" w:hAnsi="宋体" w:cs="宋体"/>
                <w:color w:val="auto"/>
                <w:sz w:val="21"/>
                <w:szCs w:val="21"/>
                <w:lang w:val="en-US" w:eastAsia="zh-CN"/>
              </w:rPr>
              <w:t>：裸露式滑触线安全性能差，现已淘汰不使用，删除有关内容；根据ＳＬ 75《水闸技术管理规程》附录C.2.5，增加：制动轮、制动带相关内容；增加液压制动器相关内容（</w:t>
            </w:r>
            <w:r>
              <w:rPr>
                <w:rFonts w:hint="eastAsia" w:ascii="Times New Roman" w:hAnsi="Times New Roman" w:cs="Times New Roman"/>
                <w:color w:val="auto"/>
                <w:szCs w:val="21"/>
                <w:lang w:val="en-US" w:eastAsia="zh-CN"/>
              </w:rPr>
              <w:t>见2017版10.2.2.8、10.2.2.9、10.2.216和本文件10.2.2.8</w:t>
            </w:r>
            <w:r>
              <w:rPr>
                <w:rFonts w:hint="eastAsia" w:ascii="宋体" w:hAnsi="宋体" w:cs="宋体"/>
                <w:color w:val="auto"/>
                <w:sz w:val="21"/>
                <w:szCs w:val="21"/>
                <w:lang w:val="en-US" w:eastAsia="zh-CN"/>
              </w:rPr>
              <w:t>）。</w:t>
            </w:r>
          </w:p>
          <w:p w14:paraId="2B135820">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宋体" w:hAnsi="宋体" w:eastAsia="宋体" w:cs="Times New Roman"/>
                <w:b w:val="0"/>
                <w:bCs w:val="0"/>
                <w:strike w:val="0"/>
                <w:dstrike w:val="0"/>
                <w:color w:val="auto"/>
                <w:spacing w:val="4"/>
                <w:sz w:val="21"/>
                <w:szCs w:val="21"/>
                <w:lang w:val="en-US" w:eastAsia="zh-CN"/>
              </w:rPr>
            </w:pPr>
            <w:r>
              <w:rPr>
                <w:rFonts w:hint="eastAsia" w:ascii="宋体" w:hAnsi="宋体" w:eastAsia="宋体" w:cs="宋体"/>
                <w:sz w:val="21"/>
                <w:szCs w:val="21"/>
                <w:lang w:val="en-US" w:eastAsia="zh-CN"/>
              </w:rPr>
              <w:t>10.3通风系统</w:t>
            </w:r>
            <w:r>
              <w:rPr>
                <w:rFonts w:hint="eastAsia" w:ascii="宋体" w:hAnsi="宋体" w:cs="宋体"/>
                <w:sz w:val="21"/>
                <w:szCs w:val="21"/>
                <w:lang w:val="en-US" w:eastAsia="zh-CN"/>
              </w:rPr>
              <w:t>：</w:t>
            </w:r>
            <w:r>
              <w:rPr>
                <w:rFonts w:hint="eastAsia" w:ascii="宋体" w:hAnsi="宋体" w:eastAsia="宋体" w:cs="Times New Roman"/>
                <w:b w:val="0"/>
                <w:bCs w:val="0"/>
                <w:strike w:val="0"/>
                <w:dstrike w:val="0"/>
                <w:color w:val="auto"/>
                <w:spacing w:val="4"/>
                <w:sz w:val="21"/>
                <w:szCs w:val="21"/>
                <w:lang w:val="en-US" w:eastAsia="zh-CN"/>
              </w:rPr>
              <w:t>增加</w:t>
            </w:r>
            <w:r>
              <w:rPr>
                <w:rFonts w:hint="default" w:ascii="宋体" w:hAnsi="宋体" w:eastAsia="宋体" w:cs="Times New Roman"/>
                <w:b w:val="0"/>
                <w:bCs w:val="0"/>
                <w:strike w:val="0"/>
                <w:dstrike w:val="0"/>
                <w:color w:val="auto"/>
                <w:spacing w:val="4"/>
                <w:sz w:val="21"/>
                <w:szCs w:val="21"/>
                <w:lang w:val="en-US" w:eastAsia="zh-CN"/>
              </w:rPr>
              <w:t>感应探头</w:t>
            </w:r>
            <w:r>
              <w:rPr>
                <w:rFonts w:hint="eastAsia" w:ascii="宋体" w:hAnsi="宋体" w:eastAsia="宋体" w:cs="Times New Roman"/>
                <w:b w:val="0"/>
                <w:bCs w:val="0"/>
                <w:strike w:val="0"/>
                <w:dstrike w:val="0"/>
                <w:color w:val="auto"/>
                <w:spacing w:val="4"/>
                <w:sz w:val="21"/>
                <w:szCs w:val="21"/>
                <w:lang w:val="en-US" w:eastAsia="zh-CN"/>
              </w:rPr>
              <w:t>相关内容</w:t>
            </w:r>
            <w:r>
              <w:rPr>
                <w:rFonts w:hint="eastAsia" w:ascii="宋体" w:hAnsi="宋体" w:cs="Times New Roman"/>
                <w:b w:val="0"/>
                <w:bCs w:val="0"/>
                <w:strike w:val="0"/>
                <w:dstrike w:val="0"/>
                <w:color w:val="auto"/>
                <w:spacing w:val="4"/>
                <w:sz w:val="21"/>
                <w:szCs w:val="21"/>
                <w:lang w:val="en-US" w:eastAsia="zh-CN"/>
              </w:rPr>
              <w:t>（</w:t>
            </w:r>
            <w:r>
              <w:rPr>
                <w:rFonts w:hint="eastAsia" w:ascii="Times New Roman" w:hAnsi="Times New Roman" w:cs="Times New Roman"/>
                <w:color w:val="auto"/>
                <w:szCs w:val="21"/>
                <w:lang w:val="en-US" w:eastAsia="zh-CN"/>
              </w:rPr>
              <w:t>见10.3.2.3</w:t>
            </w:r>
            <w:r>
              <w:rPr>
                <w:rFonts w:hint="eastAsia" w:ascii="宋体" w:hAnsi="宋体" w:cs="宋体"/>
                <w:color w:val="auto"/>
                <w:sz w:val="21"/>
                <w:szCs w:val="21"/>
                <w:lang w:val="en-US" w:eastAsia="zh-CN"/>
              </w:rPr>
              <w:t>）。</w:t>
            </w:r>
          </w:p>
          <w:p w14:paraId="23042BF5">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宋体" w:hAnsi="宋体" w:eastAsia="宋体" w:cs="Times New Roman"/>
                <w:b w:val="0"/>
                <w:bCs w:val="0"/>
                <w:strike w:val="0"/>
                <w:dstrike w:val="0"/>
                <w:color w:val="auto"/>
                <w:spacing w:val="4"/>
                <w:sz w:val="21"/>
                <w:szCs w:val="21"/>
                <w:lang w:val="en-US" w:eastAsia="zh-CN"/>
              </w:rPr>
            </w:pPr>
            <w:r>
              <w:rPr>
                <w:rFonts w:hint="eastAsia" w:ascii="宋体" w:hAnsi="宋体" w:eastAsia="宋体" w:cs="宋体"/>
                <w:sz w:val="21"/>
                <w:szCs w:val="21"/>
                <w:lang w:val="en-US" w:eastAsia="zh-CN"/>
              </w:rPr>
              <w:t>10.4避雷设施</w:t>
            </w:r>
            <w:r>
              <w:rPr>
                <w:rFonts w:hint="eastAsia" w:ascii="宋体" w:hAnsi="宋体" w:cs="宋体"/>
                <w:sz w:val="21"/>
                <w:szCs w:val="21"/>
                <w:lang w:val="en-US" w:eastAsia="zh-CN"/>
              </w:rPr>
              <w:t>：</w:t>
            </w:r>
            <w:r>
              <w:rPr>
                <w:rFonts w:hint="eastAsia" w:ascii="宋体" w:hAnsi="宋体" w:eastAsia="宋体" w:cs="Times New Roman"/>
                <w:b w:val="0"/>
                <w:bCs w:val="0"/>
                <w:strike w:val="0"/>
                <w:dstrike w:val="0"/>
                <w:color w:val="auto"/>
                <w:spacing w:val="4"/>
                <w:sz w:val="21"/>
                <w:szCs w:val="21"/>
                <w:lang w:val="en-US" w:eastAsia="zh-CN"/>
              </w:rPr>
              <w:t>增加</w:t>
            </w:r>
            <w:r>
              <w:rPr>
                <w:rFonts w:hint="default" w:ascii="宋体" w:hAnsi="宋体" w:eastAsia="宋体" w:cs="Times New Roman"/>
                <w:b w:val="0"/>
                <w:bCs w:val="0"/>
                <w:strike w:val="0"/>
                <w:dstrike w:val="0"/>
                <w:color w:val="auto"/>
                <w:spacing w:val="4"/>
                <w:sz w:val="21"/>
                <w:szCs w:val="21"/>
                <w:lang w:val="en-US" w:eastAsia="zh-CN"/>
              </w:rPr>
              <w:t>避雷针驱鸟器</w:t>
            </w:r>
            <w:r>
              <w:rPr>
                <w:rFonts w:hint="eastAsia" w:ascii="宋体" w:hAnsi="宋体" w:eastAsia="宋体" w:cs="Times New Roman"/>
                <w:b w:val="0"/>
                <w:bCs w:val="0"/>
                <w:strike w:val="0"/>
                <w:dstrike w:val="0"/>
                <w:color w:val="auto"/>
                <w:spacing w:val="4"/>
                <w:sz w:val="21"/>
                <w:szCs w:val="21"/>
                <w:lang w:val="en-US" w:eastAsia="zh-CN"/>
              </w:rPr>
              <w:t>、</w:t>
            </w:r>
            <w:r>
              <w:rPr>
                <w:rFonts w:hint="default" w:ascii="宋体" w:hAnsi="宋体" w:eastAsia="宋体" w:cs="Times New Roman"/>
                <w:b w:val="0"/>
                <w:bCs w:val="0"/>
                <w:strike w:val="0"/>
                <w:dstrike w:val="0"/>
                <w:color w:val="auto"/>
                <w:spacing w:val="4"/>
                <w:sz w:val="21"/>
                <w:szCs w:val="21"/>
                <w:lang w:val="en-US" w:eastAsia="zh-CN"/>
              </w:rPr>
              <w:t>避雷带</w:t>
            </w:r>
            <w:r>
              <w:rPr>
                <w:rFonts w:hint="eastAsia" w:ascii="宋体" w:hAnsi="宋体" w:eastAsia="宋体" w:cs="Times New Roman"/>
                <w:b w:val="0"/>
                <w:bCs w:val="0"/>
                <w:strike w:val="0"/>
                <w:dstrike w:val="0"/>
                <w:color w:val="auto"/>
                <w:spacing w:val="4"/>
                <w:sz w:val="21"/>
                <w:szCs w:val="21"/>
                <w:lang w:val="en-US" w:eastAsia="zh-CN"/>
              </w:rPr>
              <w:t>相关内容</w:t>
            </w:r>
            <w:r>
              <w:rPr>
                <w:rFonts w:hint="eastAsia" w:ascii="宋体" w:hAnsi="宋体" w:cs="Times New Roman"/>
                <w:b w:val="0"/>
                <w:bCs w:val="0"/>
                <w:strike w:val="0"/>
                <w:dstrike w:val="0"/>
                <w:color w:val="auto"/>
                <w:spacing w:val="4"/>
                <w:sz w:val="21"/>
                <w:szCs w:val="21"/>
                <w:lang w:val="en-US" w:eastAsia="zh-CN"/>
              </w:rPr>
              <w:t>（</w:t>
            </w:r>
            <w:r>
              <w:rPr>
                <w:rFonts w:hint="eastAsia" w:ascii="Times New Roman" w:hAnsi="Times New Roman" w:cs="Times New Roman"/>
                <w:color w:val="auto"/>
                <w:szCs w:val="21"/>
                <w:lang w:val="en-US" w:eastAsia="zh-CN"/>
              </w:rPr>
              <w:t>见10.4.1.3、10.4.1.4</w:t>
            </w:r>
            <w:r>
              <w:rPr>
                <w:rFonts w:hint="eastAsia" w:ascii="宋体" w:hAnsi="宋体" w:cs="宋体"/>
                <w:color w:val="auto"/>
                <w:sz w:val="21"/>
                <w:szCs w:val="21"/>
                <w:lang w:val="en-US" w:eastAsia="zh-CN"/>
              </w:rPr>
              <w:t>）。</w:t>
            </w:r>
          </w:p>
          <w:p w14:paraId="54186C31">
            <w:pPr>
              <w:pStyle w:val="6"/>
              <w:keepNext w:val="0"/>
              <w:keepLines w:val="0"/>
              <w:pageBreakBefore w:val="0"/>
              <w:numPr>
                <w:ilvl w:val="0"/>
                <w:numId w:val="1"/>
              </w:numPr>
              <w:kinsoku/>
              <w:wordWrap/>
              <w:overflowPunct/>
              <w:topLinePunct w:val="0"/>
              <w:bidi w:val="0"/>
              <w:spacing w:after="0" w:line="360" w:lineRule="auto"/>
              <w:ind w:left="0" w:leftChars="0" w:firstLine="420" w:firstLineChars="200"/>
              <w:textAlignment w:val="auto"/>
              <w:rPr>
                <w:rFonts w:hint="eastAsia" w:ascii="宋体" w:hAnsi="宋体" w:eastAsia="宋体" w:cs="Times New Roman"/>
                <w:b w:val="0"/>
                <w:bCs w:val="0"/>
                <w:strike w:val="0"/>
                <w:dstrike w:val="0"/>
                <w:color w:val="auto"/>
                <w:spacing w:val="4"/>
                <w:sz w:val="21"/>
                <w:szCs w:val="21"/>
                <w:lang w:val="en-US" w:eastAsia="zh-CN"/>
              </w:rPr>
            </w:pPr>
            <w:r>
              <w:rPr>
                <w:rFonts w:hint="eastAsia" w:ascii="宋体" w:hAnsi="宋体" w:cs="宋体"/>
                <w:color w:val="auto"/>
                <w:sz w:val="21"/>
                <w:szCs w:val="21"/>
                <w:lang w:val="en-US" w:eastAsia="zh-CN"/>
              </w:rPr>
              <w:t>10.5</w:t>
            </w:r>
            <w:r>
              <w:rPr>
                <w:rFonts w:hint="eastAsia" w:ascii="宋体" w:hAnsi="宋体" w:cs="宋体"/>
                <w:b w:val="0"/>
                <w:bCs w:val="0"/>
                <w:color w:val="auto"/>
                <w:szCs w:val="21"/>
                <w:shd w:val="clear" w:color="auto" w:fill="FFFFFF"/>
                <w:lang w:val="en-US" w:eastAsia="zh-CN"/>
              </w:rPr>
              <w:t>消防系统：</w:t>
            </w:r>
            <w:r>
              <w:rPr>
                <w:rFonts w:hint="eastAsia" w:ascii="宋体" w:hAnsi="宋体" w:eastAsia="宋体" w:cs="宋体"/>
                <w:b w:val="0"/>
                <w:bCs w:val="0"/>
                <w:color w:val="auto"/>
                <w:szCs w:val="21"/>
                <w:shd w:val="clear" w:color="auto" w:fill="FFFFFF"/>
                <w:lang w:val="en-US" w:eastAsia="zh-CN"/>
              </w:rPr>
              <w:t>原10.8.2.1、10.8.2.2</w:t>
            </w:r>
            <w:r>
              <w:rPr>
                <w:rFonts w:hint="eastAsia" w:ascii="宋体" w:hAnsi="宋体" w:cs="宋体"/>
                <w:b w:val="0"/>
                <w:bCs w:val="0"/>
                <w:color w:val="auto"/>
                <w:szCs w:val="21"/>
                <w:shd w:val="clear" w:color="auto" w:fill="FFFFFF"/>
                <w:lang w:val="en-US" w:eastAsia="zh-CN"/>
              </w:rPr>
              <w:t>项目维护保养内容、方法、周期基本一致，</w:t>
            </w:r>
            <w:r>
              <w:rPr>
                <w:rFonts w:hint="eastAsia" w:ascii="宋体" w:hAnsi="宋体" w:eastAsia="宋体" w:cs="宋体"/>
                <w:b w:val="0"/>
                <w:bCs w:val="0"/>
                <w:color w:val="auto"/>
                <w:szCs w:val="21"/>
                <w:shd w:val="clear" w:color="auto" w:fill="FFFFFF"/>
                <w:lang w:val="en-US" w:eastAsia="zh-CN"/>
              </w:rPr>
              <w:t>合并</w:t>
            </w:r>
            <w:bookmarkStart w:id="35" w:name="_GoBack"/>
            <w:bookmarkEnd w:id="35"/>
            <w:r>
              <w:rPr>
                <w:rFonts w:hint="eastAsia" w:ascii="宋体" w:hAnsi="宋体" w:cs="宋体"/>
                <w:b w:val="0"/>
                <w:bCs w:val="0"/>
                <w:color w:val="auto"/>
                <w:szCs w:val="21"/>
                <w:shd w:val="clear" w:color="auto" w:fill="FFFFFF"/>
                <w:lang w:val="en-US" w:eastAsia="zh-CN"/>
              </w:rPr>
              <w:t>。</w:t>
            </w:r>
          </w:p>
          <w:p w14:paraId="3F928460">
            <w:pPr>
              <w:pStyle w:val="9"/>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contextualSpacing/>
              <w:textAlignment w:val="auto"/>
              <w:rPr>
                <w:rFonts w:ascii="Times New Roman"/>
                <w:b/>
                <w:bCs/>
                <w:szCs w:val="21"/>
              </w:rPr>
            </w:pPr>
            <w:r>
              <w:rPr>
                <w:rFonts w:ascii="Times New Roman"/>
                <w:b/>
                <w:szCs w:val="21"/>
              </w:rPr>
              <w:t>主要技术指标、参数</w:t>
            </w:r>
            <w:r>
              <w:rPr>
                <w:rFonts w:ascii="Times New Roman"/>
                <w:b/>
                <w:bCs/>
                <w:szCs w:val="21"/>
              </w:rPr>
              <w:t>：</w:t>
            </w:r>
          </w:p>
          <w:p w14:paraId="54AEA868">
            <w:pPr>
              <w:pStyle w:val="9"/>
              <w:keepNext w:val="0"/>
              <w:keepLines w:val="0"/>
              <w:pageBreakBefore w:val="0"/>
              <w:widowControl/>
              <w:kinsoku/>
              <w:wordWrap/>
              <w:overflowPunct/>
              <w:topLinePunct w:val="0"/>
              <w:autoSpaceDE w:val="0"/>
              <w:autoSpaceDN w:val="0"/>
              <w:bidi w:val="0"/>
              <w:adjustRightInd w:val="0"/>
              <w:snapToGrid w:val="0"/>
              <w:spacing w:line="360" w:lineRule="auto"/>
              <w:contextualSpacing/>
              <w:textAlignment w:val="auto"/>
              <w:rPr>
                <w:rFonts w:ascii="Times New Roman"/>
                <w:b/>
                <w:bCs/>
                <w:szCs w:val="21"/>
              </w:rPr>
            </w:pPr>
            <w:r>
              <w:rPr>
                <w:rFonts w:ascii="Times New Roman"/>
                <w:szCs w:val="21"/>
              </w:rPr>
              <w:t>无</w:t>
            </w:r>
          </w:p>
          <w:p w14:paraId="48E19DFE">
            <w:pPr>
              <w:pStyle w:val="9"/>
              <w:keepNext w:val="0"/>
              <w:keepLines w:val="0"/>
              <w:pageBreakBefore w:val="0"/>
              <w:widowControl/>
              <w:kinsoku/>
              <w:wordWrap/>
              <w:overflowPunct/>
              <w:topLinePunct w:val="0"/>
              <w:autoSpaceDE w:val="0"/>
              <w:autoSpaceDN w:val="0"/>
              <w:bidi w:val="0"/>
              <w:adjustRightInd w:val="0"/>
              <w:spacing w:line="360" w:lineRule="auto"/>
              <w:ind w:firstLine="0" w:firstLineChars="0"/>
              <w:contextualSpacing/>
              <w:textAlignment w:val="auto"/>
              <w:rPr>
                <w:rFonts w:ascii="Times New Roman"/>
                <w:b/>
                <w:szCs w:val="21"/>
              </w:rPr>
            </w:pPr>
            <w:r>
              <w:rPr>
                <w:rFonts w:ascii="Times New Roman"/>
                <w:b/>
                <w:szCs w:val="21"/>
              </w:rPr>
              <w:t>试验验证的论述：</w:t>
            </w:r>
          </w:p>
          <w:p w14:paraId="259D0374">
            <w:pPr>
              <w:pStyle w:val="9"/>
              <w:keepNext w:val="0"/>
              <w:keepLines w:val="0"/>
              <w:pageBreakBefore w:val="0"/>
              <w:widowControl/>
              <w:kinsoku/>
              <w:wordWrap/>
              <w:overflowPunct/>
              <w:topLinePunct w:val="0"/>
              <w:autoSpaceDE w:val="0"/>
              <w:autoSpaceDN w:val="0"/>
              <w:bidi w:val="0"/>
              <w:adjustRightInd w:val="0"/>
              <w:snapToGrid w:val="0"/>
              <w:spacing w:line="360" w:lineRule="auto"/>
              <w:contextualSpacing/>
              <w:textAlignment w:val="auto"/>
              <w:rPr>
                <w:rFonts w:ascii="Times New Roman"/>
                <w:b/>
                <w:bCs/>
                <w:szCs w:val="21"/>
              </w:rPr>
            </w:pPr>
            <w:r>
              <w:rPr>
                <w:rFonts w:ascii="Times New Roman"/>
                <w:szCs w:val="21"/>
              </w:rPr>
              <w:t>无</w:t>
            </w:r>
          </w:p>
        </w:tc>
      </w:tr>
      <w:tr w14:paraId="4C60B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60B215CB">
            <w:pPr>
              <w:pStyle w:val="9"/>
              <w:adjustRightInd w:val="0"/>
              <w:spacing w:line="360" w:lineRule="auto"/>
              <w:ind w:firstLine="0" w:firstLineChars="0"/>
              <w:contextualSpacing/>
              <w:rPr>
                <w:rFonts w:ascii="Times New Roman"/>
                <w:szCs w:val="21"/>
              </w:rPr>
            </w:pPr>
            <w:bookmarkStart w:id="5" w:name="_Toc464902852"/>
            <w:bookmarkStart w:id="6" w:name="_Toc465074266"/>
            <w:bookmarkStart w:id="7" w:name="_Toc464905809"/>
            <w:bookmarkStart w:id="8" w:name="_Toc464905613"/>
            <w:bookmarkStart w:id="9" w:name="_Toc464905557"/>
            <w:r>
              <w:rPr>
                <w:rFonts w:ascii="Times New Roman"/>
                <w:szCs w:val="21"/>
              </w:rPr>
              <w:t>5、标准中如果涉及专利，应有明确的知识产权说明</w:t>
            </w:r>
            <w:bookmarkEnd w:id="5"/>
            <w:bookmarkEnd w:id="6"/>
            <w:bookmarkEnd w:id="7"/>
            <w:bookmarkEnd w:id="8"/>
            <w:bookmarkEnd w:id="9"/>
          </w:p>
        </w:tc>
      </w:tr>
      <w:tr w14:paraId="6BF56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3AAC9EF0">
            <w:pPr>
              <w:pStyle w:val="9"/>
              <w:adjustRightInd w:val="0"/>
              <w:spacing w:line="360" w:lineRule="auto"/>
              <w:contextualSpacing/>
              <w:rPr>
                <w:rFonts w:ascii="Times New Roman"/>
                <w:szCs w:val="21"/>
              </w:rPr>
            </w:pPr>
            <w:r>
              <w:rPr>
                <w:rFonts w:ascii="Times New Roman"/>
                <w:szCs w:val="21"/>
              </w:rPr>
              <w:t>无</w:t>
            </w:r>
          </w:p>
        </w:tc>
      </w:tr>
      <w:tr w14:paraId="17FCF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348F9DE5">
            <w:pPr>
              <w:pStyle w:val="9"/>
              <w:adjustRightInd w:val="0"/>
              <w:spacing w:line="360" w:lineRule="auto"/>
              <w:ind w:firstLine="0" w:firstLineChars="0"/>
              <w:contextualSpacing/>
              <w:rPr>
                <w:rFonts w:ascii="Times New Roman"/>
                <w:szCs w:val="21"/>
              </w:rPr>
            </w:pPr>
            <w:bookmarkStart w:id="10" w:name="_Toc465074267"/>
            <w:bookmarkStart w:id="11" w:name="_Toc464905614"/>
            <w:bookmarkStart w:id="12" w:name="_Toc464902853"/>
            <w:bookmarkStart w:id="13" w:name="_Toc464905810"/>
            <w:bookmarkStart w:id="14" w:name="_Toc464905558"/>
            <w:r>
              <w:rPr>
                <w:rFonts w:ascii="Times New Roman"/>
                <w:szCs w:val="21"/>
              </w:rPr>
              <w:t>6、采用国际标准或国外先进标准的，说明采标程度，以及国内外同类标准水平的对比情况</w:t>
            </w:r>
            <w:bookmarkEnd w:id="10"/>
            <w:bookmarkEnd w:id="11"/>
            <w:bookmarkEnd w:id="12"/>
            <w:bookmarkEnd w:id="13"/>
            <w:bookmarkEnd w:id="14"/>
          </w:p>
        </w:tc>
      </w:tr>
      <w:tr w14:paraId="6EA3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7773E63D">
            <w:pPr>
              <w:pStyle w:val="9"/>
              <w:adjustRightInd w:val="0"/>
              <w:spacing w:line="360" w:lineRule="auto"/>
              <w:contextualSpacing/>
              <w:rPr>
                <w:rFonts w:ascii="Times New Roman"/>
                <w:szCs w:val="21"/>
              </w:rPr>
            </w:pPr>
            <w:r>
              <w:rPr>
                <w:rFonts w:ascii="Times New Roman"/>
                <w:szCs w:val="21"/>
              </w:rPr>
              <w:t>无</w:t>
            </w:r>
          </w:p>
        </w:tc>
      </w:tr>
      <w:tr w14:paraId="3558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21C0153D">
            <w:pPr>
              <w:pStyle w:val="9"/>
              <w:adjustRightInd w:val="0"/>
              <w:spacing w:line="360" w:lineRule="auto"/>
              <w:ind w:firstLine="0" w:firstLineChars="0"/>
              <w:contextualSpacing/>
              <w:rPr>
                <w:rFonts w:ascii="Times New Roman"/>
                <w:szCs w:val="21"/>
              </w:rPr>
            </w:pPr>
            <w:bookmarkStart w:id="15" w:name="_Toc464902854"/>
            <w:bookmarkStart w:id="16" w:name="_Toc464905811"/>
            <w:bookmarkStart w:id="17" w:name="_Toc464905615"/>
            <w:bookmarkStart w:id="18" w:name="_Toc465074268"/>
            <w:bookmarkStart w:id="19" w:name="_Toc464905559"/>
            <w:r>
              <w:rPr>
                <w:rFonts w:ascii="Times New Roman"/>
                <w:szCs w:val="21"/>
              </w:rPr>
              <w:t>7、重大分歧意见的处理经过和依据</w:t>
            </w:r>
            <w:bookmarkEnd w:id="15"/>
            <w:bookmarkEnd w:id="16"/>
            <w:bookmarkEnd w:id="17"/>
            <w:bookmarkEnd w:id="18"/>
            <w:bookmarkEnd w:id="19"/>
          </w:p>
        </w:tc>
      </w:tr>
      <w:tr w14:paraId="583BD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0E2EB887">
            <w:pPr>
              <w:pStyle w:val="9"/>
              <w:adjustRightInd w:val="0"/>
              <w:spacing w:line="360" w:lineRule="auto"/>
              <w:contextualSpacing/>
              <w:rPr>
                <w:rFonts w:ascii="Times New Roman"/>
                <w:szCs w:val="21"/>
              </w:rPr>
            </w:pPr>
            <w:r>
              <w:rPr>
                <w:rFonts w:ascii="Times New Roman"/>
                <w:szCs w:val="21"/>
              </w:rPr>
              <w:t>无</w:t>
            </w:r>
          </w:p>
        </w:tc>
      </w:tr>
      <w:tr w14:paraId="0202A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69261E19">
            <w:pPr>
              <w:pStyle w:val="9"/>
              <w:adjustRightInd w:val="0"/>
              <w:spacing w:line="360" w:lineRule="auto"/>
              <w:ind w:firstLine="0" w:firstLineChars="0"/>
              <w:contextualSpacing/>
              <w:rPr>
                <w:rFonts w:ascii="Times New Roman"/>
                <w:szCs w:val="21"/>
              </w:rPr>
            </w:pPr>
            <w:bookmarkStart w:id="20" w:name="_Toc464905616"/>
            <w:bookmarkStart w:id="21" w:name="_Toc464905560"/>
            <w:bookmarkStart w:id="22" w:name="_Toc464902855"/>
            <w:bookmarkStart w:id="23" w:name="_Toc465074269"/>
            <w:bookmarkStart w:id="24" w:name="_Toc464905812"/>
            <w:r>
              <w:rPr>
                <w:rFonts w:ascii="Times New Roman"/>
                <w:szCs w:val="21"/>
              </w:rPr>
              <w:t>8、贯彻标准的要求和措施建议（包括组织措施、技术措施、过渡办法、实施日期等）</w:t>
            </w:r>
            <w:bookmarkEnd w:id="20"/>
            <w:bookmarkEnd w:id="21"/>
            <w:bookmarkEnd w:id="22"/>
            <w:bookmarkEnd w:id="23"/>
            <w:bookmarkEnd w:id="24"/>
          </w:p>
        </w:tc>
      </w:tr>
      <w:tr w14:paraId="09CB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1" w:hRule="atLeast"/>
          <w:jc w:val="center"/>
        </w:trPr>
        <w:tc>
          <w:tcPr>
            <w:tcW w:w="5000" w:type="pct"/>
            <w:gridSpan w:val="6"/>
            <w:vAlign w:val="center"/>
          </w:tcPr>
          <w:p w14:paraId="572E871E">
            <w:pPr>
              <w:adjustRightInd w:val="0"/>
              <w:snapToGrid w:val="0"/>
              <w:spacing w:line="360" w:lineRule="auto"/>
              <w:ind w:firstLine="420" w:firstLineChars="200"/>
              <w:rPr>
                <w:szCs w:val="21"/>
              </w:rPr>
            </w:pPr>
            <w:r>
              <w:rPr>
                <w:szCs w:val="21"/>
              </w:rPr>
              <w:t>为使标准能切实发挥技术指导作用，规范</w:t>
            </w:r>
            <w:r>
              <w:rPr>
                <w:rFonts w:hint="eastAsia" w:ascii="Times New Roman"/>
                <w:bCs/>
                <w:caps/>
                <w:szCs w:val="21"/>
              </w:rPr>
              <w:t>大型泵站设备维护保养</w:t>
            </w:r>
            <w:r>
              <w:rPr>
                <w:rFonts w:hint="eastAsia" w:ascii="Times New Roman"/>
                <w:bCs/>
                <w:caps/>
                <w:szCs w:val="21"/>
                <w:lang w:val="en-US" w:eastAsia="zh-CN"/>
              </w:rPr>
              <w:t>项目、内容、周期</w:t>
            </w:r>
            <w:r>
              <w:rPr>
                <w:szCs w:val="21"/>
              </w:rPr>
              <w:t>和标准，保证</w:t>
            </w:r>
            <w:r>
              <w:rPr>
                <w:rFonts w:hint="eastAsia" w:ascii="Times New Roman"/>
                <w:bCs/>
                <w:caps/>
                <w:szCs w:val="21"/>
              </w:rPr>
              <w:t>泵站设备</w:t>
            </w:r>
            <w:r>
              <w:rPr>
                <w:szCs w:val="21"/>
              </w:rPr>
              <w:t>长期安全可靠运行，充分发挥</w:t>
            </w:r>
            <w:r>
              <w:rPr>
                <w:rFonts w:hint="eastAsia"/>
                <w:szCs w:val="21"/>
                <w:lang w:val="en-US" w:eastAsia="zh-CN"/>
              </w:rPr>
              <w:t>泵站</w:t>
            </w:r>
            <w:r>
              <w:rPr>
                <w:szCs w:val="21"/>
              </w:rPr>
              <w:t>应有的经济及社会效益，建议：</w:t>
            </w:r>
          </w:p>
          <w:p w14:paraId="4D55F598">
            <w:pPr>
              <w:numPr>
                <w:ilvl w:val="0"/>
                <w:numId w:val="2"/>
              </w:numPr>
              <w:adjustRightInd w:val="0"/>
              <w:snapToGrid w:val="0"/>
              <w:spacing w:line="360" w:lineRule="auto"/>
              <w:ind w:firstLine="420" w:firstLineChars="200"/>
              <w:rPr>
                <w:szCs w:val="21"/>
              </w:rPr>
            </w:pPr>
            <w:r>
              <w:rPr>
                <w:szCs w:val="21"/>
              </w:rPr>
              <w:t>由行业行政主管部门组织标准的贯彻实施，并对实施情况进行监督检查。</w:t>
            </w:r>
          </w:p>
          <w:p w14:paraId="5DD20AE0">
            <w:pPr>
              <w:pStyle w:val="6"/>
              <w:numPr>
                <w:ilvl w:val="0"/>
                <w:numId w:val="2"/>
              </w:numPr>
              <w:ind w:left="0" w:leftChars="0" w:firstLine="420" w:firstLineChars="200"/>
              <w:rPr>
                <w:szCs w:val="21"/>
              </w:rPr>
            </w:pPr>
            <w:r>
              <w:rPr>
                <w:rFonts w:hint="eastAsia" w:ascii="Times New Roman" w:hAnsi="Times New Roman" w:eastAsia="宋体" w:cs="Times New Roman"/>
                <w:kern w:val="2"/>
                <w:sz w:val="21"/>
                <w:szCs w:val="21"/>
                <w:lang w:val="en-US" w:eastAsia="zh-CN" w:bidi="ar-SA"/>
              </w:rPr>
              <w:t>成立宣贯小组，由标准</w:t>
            </w:r>
            <w:r>
              <w:rPr>
                <w:rFonts w:hint="eastAsia" w:cs="Times New Roman"/>
                <w:kern w:val="2"/>
                <w:sz w:val="21"/>
                <w:szCs w:val="21"/>
                <w:lang w:val="en-US" w:eastAsia="zh-CN" w:bidi="ar-SA"/>
              </w:rPr>
              <w:t>修订小</w:t>
            </w:r>
            <w:r>
              <w:rPr>
                <w:rFonts w:hint="eastAsia" w:ascii="Times New Roman" w:hAnsi="Times New Roman" w:eastAsia="宋体" w:cs="Times New Roman"/>
                <w:kern w:val="2"/>
                <w:sz w:val="21"/>
                <w:szCs w:val="21"/>
                <w:lang w:val="en-US" w:eastAsia="zh-CN" w:bidi="ar-SA"/>
              </w:rPr>
              <w:t>组组长任标准宣贯实施小组组长，其他起草人员为成员，在标准归口单位指导下开展标准宣贯工作，并</w:t>
            </w:r>
            <w:r>
              <w:rPr>
                <w:szCs w:val="21"/>
              </w:rPr>
              <w:t>加强示范推广</w:t>
            </w:r>
            <w:r>
              <w:rPr>
                <w:rFonts w:hint="eastAsia" w:ascii="Times New Roman" w:hAnsi="Times New Roman" w:eastAsia="宋体" w:cs="Times New Roman"/>
                <w:kern w:val="2"/>
                <w:sz w:val="21"/>
                <w:szCs w:val="21"/>
                <w:lang w:val="en-US" w:eastAsia="zh-CN" w:bidi="ar-SA"/>
              </w:rPr>
              <w:t>。</w:t>
            </w:r>
          </w:p>
          <w:p w14:paraId="5E04413E">
            <w:pPr>
              <w:pStyle w:val="9"/>
              <w:adjustRightInd w:val="0"/>
              <w:snapToGrid w:val="0"/>
              <w:spacing w:line="360" w:lineRule="auto"/>
              <w:contextualSpacing/>
              <w:rPr>
                <w:rFonts w:ascii="Times New Roman"/>
                <w:szCs w:val="21"/>
              </w:rPr>
            </w:pPr>
            <w:r>
              <w:rPr>
                <w:rFonts w:ascii="Times New Roman"/>
                <w:kern w:val="2"/>
                <w:szCs w:val="21"/>
              </w:rPr>
              <w:t>（3）做好跟踪调查，定期对标准的执行情况、实施情况进行调查评估，及时发现标准在执行中的问题，以便在修订时修改完善，不断提升标准水平，提高标准的科学性、合理性、协调性和可操作性。</w:t>
            </w:r>
          </w:p>
        </w:tc>
      </w:tr>
      <w:tr w14:paraId="014C8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66BFEFA1">
            <w:pPr>
              <w:pStyle w:val="9"/>
              <w:adjustRightInd w:val="0"/>
              <w:spacing w:line="360" w:lineRule="auto"/>
              <w:ind w:firstLine="0" w:firstLineChars="0"/>
              <w:contextualSpacing/>
              <w:rPr>
                <w:rFonts w:ascii="Times New Roman"/>
                <w:szCs w:val="21"/>
              </w:rPr>
            </w:pPr>
            <w:bookmarkStart w:id="25" w:name="_Toc464902856"/>
            <w:bookmarkStart w:id="26" w:name="_Toc464905617"/>
            <w:bookmarkStart w:id="27" w:name="_Toc465074270"/>
            <w:bookmarkStart w:id="28" w:name="_Toc464905813"/>
            <w:bookmarkStart w:id="29" w:name="_Toc464905561"/>
            <w:r>
              <w:rPr>
                <w:rFonts w:ascii="Times New Roman"/>
                <w:szCs w:val="21"/>
              </w:rPr>
              <w:t>9、废止现行相关标准的建议</w:t>
            </w:r>
            <w:bookmarkEnd w:id="25"/>
            <w:bookmarkEnd w:id="26"/>
            <w:bookmarkEnd w:id="27"/>
            <w:bookmarkEnd w:id="28"/>
            <w:bookmarkEnd w:id="29"/>
          </w:p>
        </w:tc>
      </w:tr>
      <w:tr w14:paraId="151BE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0245BC88">
            <w:pPr>
              <w:pStyle w:val="9"/>
              <w:adjustRightInd w:val="0"/>
              <w:spacing w:line="360" w:lineRule="auto"/>
              <w:contextualSpacing/>
              <w:rPr>
                <w:rFonts w:ascii="Times New Roman"/>
                <w:szCs w:val="21"/>
              </w:rPr>
            </w:pPr>
            <w:r>
              <w:rPr>
                <w:rFonts w:ascii="Times New Roman"/>
                <w:szCs w:val="21"/>
              </w:rPr>
              <w:t>无</w:t>
            </w:r>
          </w:p>
        </w:tc>
      </w:tr>
      <w:tr w14:paraId="3AF7D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6"/>
            <w:vAlign w:val="center"/>
          </w:tcPr>
          <w:p w14:paraId="1F46CD26">
            <w:pPr>
              <w:pStyle w:val="9"/>
              <w:adjustRightInd w:val="0"/>
              <w:spacing w:line="360" w:lineRule="auto"/>
              <w:ind w:firstLine="0" w:firstLineChars="0"/>
              <w:contextualSpacing/>
              <w:rPr>
                <w:rFonts w:ascii="Times New Roman"/>
                <w:szCs w:val="21"/>
              </w:rPr>
            </w:pPr>
            <w:bookmarkStart w:id="30" w:name="_Toc464902857"/>
            <w:bookmarkStart w:id="31" w:name="_Toc464905814"/>
            <w:bookmarkStart w:id="32" w:name="_Toc464905562"/>
            <w:bookmarkStart w:id="33" w:name="_Toc464905618"/>
            <w:bookmarkStart w:id="34" w:name="_Toc465074271"/>
            <w:r>
              <w:rPr>
                <w:rFonts w:ascii="Times New Roman"/>
                <w:szCs w:val="21"/>
              </w:rPr>
              <w:t>10、其它应予说明的事项</w:t>
            </w:r>
            <w:bookmarkEnd w:id="30"/>
            <w:bookmarkEnd w:id="31"/>
            <w:bookmarkEnd w:id="32"/>
            <w:bookmarkEnd w:id="33"/>
            <w:bookmarkEnd w:id="34"/>
          </w:p>
        </w:tc>
      </w:tr>
      <w:tr w14:paraId="0EBC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5000" w:type="pct"/>
            <w:gridSpan w:val="6"/>
            <w:vAlign w:val="center"/>
          </w:tcPr>
          <w:p w14:paraId="6F519E62">
            <w:pPr>
              <w:pStyle w:val="9"/>
              <w:keepNext w:val="0"/>
              <w:keepLines w:val="0"/>
              <w:pageBreakBefore w:val="0"/>
              <w:widowControl/>
              <w:kinsoku/>
              <w:wordWrap/>
              <w:overflowPunct/>
              <w:topLinePunct w:val="0"/>
              <w:autoSpaceDE w:val="0"/>
              <w:autoSpaceDN w:val="0"/>
              <w:bidi w:val="0"/>
              <w:adjustRightInd w:val="0"/>
              <w:snapToGrid w:val="0"/>
              <w:spacing w:line="360" w:lineRule="auto"/>
              <w:contextualSpacing/>
              <w:textAlignment w:val="auto"/>
              <w:rPr>
                <w:rFonts w:ascii="Times New Roman"/>
                <w:szCs w:val="21"/>
              </w:rPr>
            </w:pPr>
            <w:r>
              <w:rPr>
                <w:rFonts w:ascii="Times New Roman"/>
              </w:rPr>
              <w:t>建议在本标准实施后，各相关单位对在标准执行过程中发现的问题及时向有关部门反馈，以利在今后修订时能有针对性地进行分析和研究，使之不断完善。</w:t>
            </w:r>
          </w:p>
        </w:tc>
      </w:tr>
    </w:tbl>
    <w:p w14:paraId="7993FD45">
      <w:pPr>
        <w:pStyle w:val="11"/>
        <w:rPr>
          <w:rFonts w:hint="eastAsia" w:eastAsia="宋体"/>
          <w:lang w:eastAsia="zh-CN"/>
        </w:rPr>
      </w:pPr>
      <w:r>
        <w:rPr>
          <w:rFonts w:hint="eastAsia" w:ascii="黑体" w:hAnsi="黑体" w:eastAsia="黑体" w:cs="黑体"/>
          <w:lang w:val="en-US" w:eastAsia="zh-CN"/>
        </w:rPr>
        <w:t>注：</w:t>
      </w:r>
      <w:r>
        <w:rPr>
          <w:rFonts w:ascii="Times New Roman"/>
        </w:rPr>
        <w:t>没有的请填写</w:t>
      </w:r>
      <w:r>
        <w:rPr>
          <w:rFonts w:hint="eastAsia" w:ascii="Times New Roman"/>
          <w:lang w:eastAsia="zh-CN"/>
        </w:rPr>
        <w:t>“</w:t>
      </w:r>
      <w:r>
        <w:rPr>
          <w:rFonts w:ascii="Times New Roman"/>
        </w:rPr>
        <w:t>无</w:t>
      </w:r>
      <w:r>
        <w:rPr>
          <w:rFonts w:hint="eastAsia" w:ascii="Times New Roman"/>
          <w:lang w:eastAsia="zh-CN"/>
        </w:rPr>
        <w:t>”。</w:t>
      </w:r>
    </w:p>
    <w:sectPr>
      <w:pgSz w:w="11906" w:h="16838"/>
      <w:pgMar w:top="1474" w:right="1587"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1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04C37"/>
    <w:multiLevelType w:val="singleLevel"/>
    <w:tmpl w:val="03A04C37"/>
    <w:lvl w:ilvl="0" w:tentative="0">
      <w:start w:val="1"/>
      <w:numFmt w:val="decimal"/>
      <w:suff w:val="nothing"/>
      <w:lvlText w:val="（%1）"/>
      <w:lvlJc w:val="left"/>
    </w:lvl>
  </w:abstractNum>
  <w:abstractNum w:abstractNumId="1">
    <w:nsid w:val="6E276FAD"/>
    <w:multiLevelType w:val="singleLevel"/>
    <w:tmpl w:val="6E276FA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dhNWJjZTBmZTI0YTM1ZDgyZWY2NGY4NTkwZWM4NGIifQ=="/>
  </w:docVars>
  <w:rsids>
    <w:rsidRoot w:val="00D96FA9"/>
    <w:rsid w:val="00032530"/>
    <w:rsid w:val="0008324C"/>
    <w:rsid w:val="000A36A9"/>
    <w:rsid w:val="000D3023"/>
    <w:rsid w:val="00267857"/>
    <w:rsid w:val="003102A9"/>
    <w:rsid w:val="0032383E"/>
    <w:rsid w:val="00351E6C"/>
    <w:rsid w:val="003A3C77"/>
    <w:rsid w:val="00400333"/>
    <w:rsid w:val="00403599"/>
    <w:rsid w:val="00524572"/>
    <w:rsid w:val="00A56582"/>
    <w:rsid w:val="00A81AB6"/>
    <w:rsid w:val="00AF7F63"/>
    <w:rsid w:val="00B6000B"/>
    <w:rsid w:val="00C777D0"/>
    <w:rsid w:val="00D13D2B"/>
    <w:rsid w:val="00D619BE"/>
    <w:rsid w:val="00D65C46"/>
    <w:rsid w:val="00D96FA9"/>
    <w:rsid w:val="00EA4EAB"/>
    <w:rsid w:val="00FC0479"/>
    <w:rsid w:val="038552A1"/>
    <w:rsid w:val="03F06029"/>
    <w:rsid w:val="056106F1"/>
    <w:rsid w:val="074129EB"/>
    <w:rsid w:val="083434A5"/>
    <w:rsid w:val="08365B47"/>
    <w:rsid w:val="098E3992"/>
    <w:rsid w:val="0A2020DC"/>
    <w:rsid w:val="0AF53E38"/>
    <w:rsid w:val="0B574263"/>
    <w:rsid w:val="0C333D4B"/>
    <w:rsid w:val="0C9A711D"/>
    <w:rsid w:val="0FAE784A"/>
    <w:rsid w:val="11867540"/>
    <w:rsid w:val="12CA3C35"/>
    <w:rsid w:val="13214F83"/>
    <w:rsid w:val="179D539B"/>
    <w:rsid w:val="18106785"/>
    <w:rsid w:val="18C8668F"/>
    <w:rsid w:val="1C005132"/>
    <w:rsid w:val="1C106C5A"/>
    <w:rsid w:val="1C7C601B"/>
    <w:rsid w:val="1DA065AD"/>
    <w:rsid w:val="1E772313"/>
    <w:rsid w:val="1F1D6D7E"/>
    <w:rsid w:val="235F7A4B"/>
    <w:rsid w:val="24A03AF0"/>
    <w:rsid w:val="29904878"/>
    <w:rsid w:val="2A4A6CFB"/>
    <w:rsid w:val="2FB83480"/>
    <w:rsid w:val="2FFE7544"/>
    <w:rsid w:val="316A4119"/>
    <w:rsid w:val="31F91898"/>
    <w:rsid w:val="32F52D52"/>
    <w:rsid w:val="340F2E77"/>
    <w:rsid w:val="36F56D67"/>
    <w:rsid w:val="390B55E2"/>
    <w:rsid w:val="39B763F5"/>
    <w:rsid w:val="3BE4758D"/>
    <w:rsid w:val="3CB84BBF"/>
    <w:rsid w:val="3FC00289"/>
    <w:rsid w:val="418E2C03"/>
    <w:rsid w:val="43477C4C"/>
    <w:rsid w:val="43EA577A"/>
    <w:rsid w:val="45EE5707"/>
    <w:rsid w:val="461D5993"/>
    <w:rsid w:val="49E36EF3"/>
    <w:rsid w:val="4A1E2486"/>
    <w:rsid w:val="4FD239B6"/>
    <w:rsid w:val="53CA4C80"/>
    <w:rsid w:val="54611531"/>
    <w:rsid w:val="54947768"/>
    <w:rsid w:val="54D75BA1"/>
    <w:rsid w:val="55601AE0"/>
    <w:rsid w:val="56C032E5"/>
    <w:rsid w:val="57002A99"/>
    <w:rsid w:val="58A57A97"/>
    <w:rsid w:val="59C34673"/>
    <w:rsid w:val="59D5120B"/>
    <w:rsid w:val="5D2C3F01"/>
    <w:rsid w:val="5EF751D1"/>
    <w:rsid w:val="62F45876"/>
    <w:rsid w:val="64102425"/>
    <w:rsid w:val="674A49BE"/>
    <w:rsid w:val="6A911C3A"/>
    <w:rsid w:val="6BCA7774"/>
    <w:rsid w:val="6C311A2A"/>
    <w:rsid w:val="6DCD6424"/>
    <w:rsid w:val="6F7D09D1"/>
    <w:rsid w:val="71184E25"/>
    <w:rsid w:val="75765A87"/>
    <w:rsid w:val="78CD45FA"/>
    <w:rsid w:val="79A34197"/>
    <w:rsid w:val="79A90D10"/>
    <w:rsid w:val="7A356A48"/>
    <w:rsid w:val="7A9E666A"/>
    <w:rsid w:val="7C960BAF"/>
    <w:rsid w:val="7E7C2E97"/>
    <w:rsid w:val="7F680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6"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6"/>
    <w:pPr>
      <w:spacing w:after="120"/>
      <w:ind w:left="420"/>
    </w:pPr>
    <w:rPr>
      <w:kern w:val="1"/>
    </w:rPr>
  </w:style>
  <w:style w:type="paragraph" w:styleId="3">
    <w:name w:val="Balloon Text"/>
    <w:basedOn w:val="1"/>
    <w:link w:val="12"/>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qFormat/>
    <w:uiPriority w:val="0"/>
    <w:pPr>
      <w:spacing w:line="400" w:lineRule="exact"/>
      <w:ind w:left="480" w:firstLine="640" w:firstLineChars="200"/>
    </w:pPr>
  </w:style>
  <w:style w:type="paragraph" w:customStyle="1" w:styleId="9">
    <w:name w:val="段"/>
    <w:link w:val="1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
    <w:name w:val="段 Char"/>
    <w:basedOn w:val="8"/>
    <w:link w:val="9"/>
    <w:qFormat/>
    <w:uiPriority w:val="0"/>
    <w:rPr>
      <w:rFonts w:ascii="宋体" w:hAnsi="Times New Roman" w:eastAsia="宋体" w:cs="Times New Roman"/>
      <w:kern w:val="0"/>
      <w:szCs w:val="20"/>
    </w:rPr>
  </w:style>
  <w:style w:type="paragraph" w:customStyle="1" w:styleId="11">
    <w:name w:val="注：（正文）"/>
    <w:basedOn w:val="1"/>
    <w:next w:val="9"/>
    <w:qFormat/>
    <w:uiPriority w:val="0"/>
    <w:pPr>
      <w:autoSpaceDE w:val="0"/>
      <w:autoSpaceDN w:val="0"/>
      <w:ind w:left="726" w:hanging="363"/>
    </w:pPr>
    <w:rPr>
      <w:rFonts w:ascii="宋体"/>
      <w:kern w:val="0"/>
      <w:sz w:val="18"/>
      <w:szCs w:val="18"/>
    </w:rPr>
  </w:style>
  <w:style w:type="character" w:customStyle="1" w:styleId="12">
    <w:name w:val="批注框文本 字符"/>
    <w:basedOn w:val="8"/>
    <w:link w:val="3"/>
    <w:semiHidden/>
    <w:qFormat/>
    <w:uiPriority w:val="99"/>
    <w:rPr>
      <w:rFonts w:ascii="Times New Roman" w:hAnsi="Times New Roman" w:eastAsia="宋体" w:cs="Times New Roman"/>
      <w:sz w:val="18"/>
      <w:szCs w:val="18"/>
    </w:rPr>
  </w:style>
  <w:style w:type="paragraph" w:customStyle="1" w:styleId="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4">
    <w:name w:val="页眉 字符"/>
    <w:basedOn w:val="8"/>
    <w:link w:val="5"/>
    <w:qFormat/>
    <w:uiPriority w:val="99"/>
    <w:rPr>
      <w:rFonts w:ascii="Times New Roman" w:hAnsi="Times New Roman" w:eastAsia="宋体" w:cs="Times New Roman"/>
      <w:kern w:val="2"/>
      <w:sz w:val="18"/>
      <w:szCs w:val="18"/>
    </w:rPr>
  </w:style>
  <w:style w:type="character" w:customStyle="1" w:styleId="15">
    <w:name w:val="页脚 字符"/>
    <w:basedOn w:val="8"/>
    <w:link w:val="4"/>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5563</Words>
  <Characters>6628</Characters>
  <Lines>32</Lines>
  <Paragraphs>9</Paragraphs>
  <TotalTime>1</TotalTime>
  <ScaleCrop>false</ScaleCrop>
  <LinksUpToDate>false</LinksUpToDate>
  <CharactersWithSpaces>6754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2020-03-13T05:53:00Z</dcterms:created>
  <dc:creator>郑玉艳</dc:creator>
  <cp:lastModifiedBy>松间明月</cp:lastModifiedBy>
  <cp:lastPrinted>2024-12-13T00:44:00Z</cp:lastPrinted>
  <dcterms:modified xsi:type="dcterms:W3CDTF">2025-01-13T02:19:49Z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D04A95978E574DA0B19AE764269BDF26</vt:lpwstr>
  </property>
  <property fmtid="{D5CDD505-2E9C-101B-9397-08002B2CF9AE}" pid="4" name="KSOTemplateDocerSaveRecord">
    <vt:lpwstr>eyJoZGlkIjoiZWVmZWQwM2JjNGFjNzcxNDMzNTE2ZWMxNjRkMTkzZjYiLCJ1c2VySWQiOiIzMTM1MzcxMTUifQ==</vt:lpwstr>
  </property>
</Properties>
</file>