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E9A5C">
      <w:pPr>
        <w:pStyle w:val="11"/>
        <w:spacing w:before="78" w:after="156"/>
        <w:rPr>
          <w:rFonts w:ascii="Times New Roman"/>
        </w:rPr>
      </w:pPr>
      <w:r>
        <w:rPr>
          <w:rFonts w:ascii="Times New Roman"/>
        </w:rPr>
        <w:br w:type="textWrapping"/>
      </w:r>
      <w:bookmarkStart w:id="0" w:name="_Toc62551451"/>
      <w:bookmarkStart w:id="1" w:name="_Toc63675175"/>
      <w:bookmarkStart w:id="2" w:name="_Toc59631390"/>
      <w:bookmarkStart w:id="3" w:name="_Toc63084856"/>
      <w:bookmarkStart w:id="4" w:name="_Toc59631296"/>
      <w:r>
        <w:rPr>
          <w:rFonts w:ascii="Times New Roman"/>
        </w:rPr>
        <w:t>（资料性）</w:t>
      </w:r>
      <w:bookmarkEnd w:id="0"/>
      <w:bookmarkEnd w:id="1"/>
      <w:bookmarkEnd w:id="2"/>
      <w:bookmarkEnd w:id="3"/>
      <w:bookmarkEnd w:id="4"/>
    </w:p>
    <w:p w14:paraId="635D94A4">
      <w:pPr>
        <w:spacing w:line="360" w:lineRule="auto"/>
        <w:jc w:val="center"/>
        <w:rPr>
          <w:rFonts w:ascii="Times New Roman" w:hAnsi="Times New Roman" w:eastAsia="华文中宋"/>
          <w:color w:val="000000"/>
          <w:sz w:val="36"/>
          <w:szCs w:val="36"/>
        </w:rPr>
      </w:pPr>
      <w:r>
        <w:rPr>
          <w:rFonts w:ascii="Times New Roman" w:hAnsi="Times New Roman" w:eastAsia="黑体"/>
          <w:color w:val="000000"/>
        </w:rPr>
        <w:t>安徽省地方标准编制说明</w:t>
      </w: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249"/>
        <w:gridCol w:w="3825"/>
        <w:gridCol w:w="990"/>
        <w:gridCol w:w="1305"/>
        <w:gridCol w:w="1507"/>
      </w:tblGrid>
      <w:tr w14:paraId="7D65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943" w:type="dxa"/>
            <w:gridSpan w:val="2"/>
            <w:vAlign w:val="center"/>
          </w:tcPr>
          <w:p w14:paraId="4B59D3AF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标准名称</w:t>
            </w:r>
          </w:p>
        </w:tc>
        <w:tc>
          <w:tcPr>
            <w:tcW w:w="7627" w:type="dxa"/>
            <w:gridSpan w:val="4"/>
            <w:vAlign w:val="center"/>
          </w:tcPr>
          <w:p w14:paraId="0C1CD44A">
            <w:pPr>
              <w:pStyle w:val="19"/>
              <w:ind w:firstLine="0" w:firstLineChars="0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虚拟电厂建设运营管理技术规范</w:t>
            </w:r>
          </w:p>
        </w:tc>
      </w:tr>
      <w:tr w14:paraId="0845D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3" w:type="dxa"/>
            <w:gridSpan w:val="2"/>
            <w:vAlign w:val="center"/>
          </w:tcPr>
          <w:p w14:paraId="76FBD8C0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任务来源</w:t>
            </w:r>
          </w:p>
          <w:p w14:paraId="5B1112F2">
            <w:pPr>
              <w:pStyle w:val="19"/>
              <w:ind w:firstLine="0" w:firstLineChars="0"/>
              <w:rPr>
                <w:rFonts w:ascii="Times New Roman"/>
              </w:rPr>
            </w:pPr>
            <w:r>
              <w:rPr>
                <w:rFonts w:ascii="Times New Roman"/>
              </w:rPr>
              <w:t>（项目计划号）</w:t>
            </w:r>
          </w:p>
        </w:tc>
        <w:tc>
          <w:tcPr>
            <w:tcW w:w="7627" w:type="dxa"/>
            <w:gridSpan w:val="4"/>
            <w:vAlign w:val="center"/>
          </w:tcPr>
          <w:p w14:paraId="70EB09E0">
            <w:pPr>
              <w:pStyle w:val="19"/>
              <w:ind w:firstLine="0" w:firstLineChars="0"/>
              <w:rPr>
                <w:rFonts w:hint="default" w:asci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highlight w:val="none"/>
                <w:shd w:val="clear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/>
                <w:color w:val="000000" w:themeColor="text1"/>
                <w:highlight w:val="none"/>
                <w:shd w:val="clear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/>
                <w:color w:val="000000" w:themeColor="text1"/>
                <w:highlight w:val="none"/>
                <w:shd w:val="clear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/>
                <w:color w:val="000000" w:themeColor="text1"/>
                <w:highlight w:val="none"/>
                <w:shd w:val="clear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2-208</w:t>
            </w:r>
          </w:p>
        </w:tc>
      </w:tr>
      <w:tr w14:paraId="700E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3" w:type="dxa"/>
            <w:gridSpan w:val="2"/>
            <w:vAlign w:val="center"/>
          </w:tcPr>
          <w:p w14:paraId="2F997C01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第一起草单位</w:t>
            </w:r>
          </w:p>
          <w:p w14:paraId="042B76D8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（盖章）</w:t>
            </w:r>
          </w:p>
        </w:tc>
        <w:tc>
          <w:tcPr>
            <w:tcW w:w="7627" w:type="dxa"/>
            <w:gridSpan w:val="4"/>
            <w:vAlign w:val="center"/>
          </w:tcPr>
          <w:p w14:paraId="4D3C9437">
            <w:pPr>
              <w:pStyle w:val="19"/>
              <w:ind w:firstLine="0" w:firstLineChars="0"/>
              <w:rPr>
                <w:rFonts w:ascii="Times New Roman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</w:rPr>
              <w:t>国网安徽省电力有限公司</w:t>
            </w:r>
          </w:p>
        </w:tc>
      </w:tr>
      <w:tr w14:paraId="6128A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3" w:type="dxa"/>
            <w:gridSpan w:val="2"/>
            <w:vAlign w:val="center"/>
          </w:tcPr>
          <w:p w14:paraId="64116F27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单位地址</w:t>
            </w:r>
          </w:p>
        </w:tc>
        <w:tc>
          <w:tcPr>
            <w:tcW w:w="7627" w:type="dxa"/>
            <w:gridSpan w:val="4"/>
            <w:vAlign w:val="center"/>
          </w:tcPr>
          <w:p w14:paraId="4E1C3926">
            <w:pPr>
              <w:pStyle w:val="19"/>
              <w:ind w:firstLine="0" w:firstLineChars="0"/>
              <w:rPr>
                <w:rFonts w:asci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安徽省合肥市</w:t>
            </w:r>
            <w:r>
              <w:rPr>
                <w:rFonts w:hint="eastAsia" w:ascii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黄山路9号</w:t>
            </w:r>
          </w:p>
        </w:tc>
      </w:tr>
      <w:tr w14:paraId="4AC3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3" w:type="dxa"/>
            <w:gridSpan w:val="2"/>
            <w:vAlign w:val="center"/>
          </w:tcPr>
          <w:p w14:paraId="3A714304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参与起草单位</w:t>
            </w:r>
          </w:p>
        </w:tc>
        <w:tc>
          <w:tcPr>
            <w:tcW w:w="7627" w:type="dxa"/>
            <w:gridSpan w:val="4"/>
            <w:vAlign w:val="center"/>
          </w:tcPr>
          <w:p w14:paraId="70F7147D">
            <w:pPr>
              <w:pStyle w:val="19"/>
              <w:ind w:firstLine="0" w:firstLineChars="0"/>
              <w:rPr>
                <w:rFonts w:ascii="Times New Roman"/>
                <w:szCs w:val="21"/>
                <w:highlight w:val="yellow"/>
              </w:rPr>
            </w:pPr>
          </w:p>
        </w:tc>
      </w:tr>
      <w:tr w14:paraId="309E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570" w:type="dxa"/>
            <w:gridSpan w:val="6"/>
            <w:vAlign w:val="center"/>
          </w:tcPr>
          <w:p w14:paraId="67FA20E3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标准起草人</w:t>
            </w:r>
          </w:p>
          <w:p w14:paraId="15160C8C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（全部起草人，应与标准文本前言中起草人排序一致）</w:t>
            </w:r>
          </w:p>
        </w:tc>
      </w:tr>
      <w:tr w14:paraId="5021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617FF580">
            <w:pPr>
              <w:pStyle w:val="19"/>
              <w:ind w:firstLine="0" w:firstLineChars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序号</w:t>
            </w:r>
          </w:p>
        </w:tc>
        <w:tc>
          <w:tcPr>
            <w:tcW w:w="1249" w:type="dxa"/>
            <w:vAlign w:val="center"/>
          </w:tcPr>
          <w:p w14:paraId="3F514A8B">
            <w:pPr>
              <w:pStyle w:val="19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姓名</w:t>
            </w:r>
          </w:p>
        </w:tc>
        <w:tc>
          <w:tcPr>
            <w:tcW w:w="3825" w:type="dxa"/>
            <w:vAlign w:val="center"/>
          </w:tcPr>
          <w:p w14:paraId="105EB511">
            <w:pPr>
              <w:pStyle w:val="19"/>
              <w:ind w:firstLine="1265" w:firstLineChars="60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单位</w:t>
            </w:r>
          </w:p>
        </w:tc>
        <w:tc>
          <w:tcPr>
            <w:tcW w:w="990" w:type="dxa"/>
            <w:vAlign w:val="center"/>
          </w:tcPr>
          <w:p w14:paraId="784145AA">
            <w:pPr>
              <w:pStyle w:val="19"/>
              <w:ind w:firstLine="211" w:firstLineChars="10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职务</w:t>
            </w:r>
          </w:p>
        </w:tc>
        <w:tc>
          <w:tcPr>
            <w:tcW w:w="1305" w:type="dxa"/>
            <w:vAlign w:val="center"/>
          </w:tcPr>
          <w:p w14:paraId="76CFF52A">
            <w:pPr>
              <w:pStyle w:val="19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职称</w:t>
            </w:r>
          </w:p>
        </w:tc>
        <w:tc>
          <w:tcPr>
            <w:tcW w:w="1507" w:type="dxa"/>
            <w:vAlign w:val="center"/>
          </w:tcPr>
          <w:p w14:paraId="7F4EE6C4">
            <w:pPr>
              <w:pStyle w:val="19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电话</w:t>
            </w:r>
          </w:p>
        </w:tc>
      </w:tr>
      <w:tr w14:paraId="0C69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3335CB84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  <w:bookmarkStart w:id="42" w:name="_GoBack"/>
            <w:bookmarkEnd w:id="42"/>
          </w:p>
        </w:tc>
        <w:tc>
          <w:tcPr>
            <w:tcW w:w="1249" w:type="dxa"/>
            <w:vAlign w:val="center"/>
          </w:tcPr>
          <w:p w14:paraId="0C7F04E4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34506463">
            <w:pPr>
              <w:pStyle w:val="19"/>
              <w:ind w:left="0" w:leftChars="0" w:firstLine="0" w:firstLineChars="0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2F4052AE">
            <w:pPr>
              <w:pStyle w:val="19"/>
              <w:ind w:left="0" w:leftChars="0"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23114721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351B8BAF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1184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04BD52BD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249" w:type="dxa"/>
            <w:vAlign w:val="center"/>
          </w:tcPr>
          <w:p w14:paraId="525762AE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59A44CA9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990" w:type="dxa"/>
            <w:vAlign w:val="center"/>
          </w:tcPr>
          <w:p w14:paraId="694ABC31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76B4CD46">
            <w:pPr>
              <w:pStyle w:val="19"/>
              <w:ind w:left="0" w:leftChars="0"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507" w:type="dxa"/>
            <w:vAlign w:val="center"/>
          </w:tcPr>
          <w:p w14:paraId="45F904AA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306E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94" w:type="dxa"/>
            <w:vAlign w:val="center"/>
          </w:tcPr>
          <w:p w14:paraId="164B21EC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249" w:type="dxa"/>
            <w:vAlign w:val="center"/>
          </w:tcPr>
          <w:p w14:paraId="3D8724F1"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0288DF0B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06160F45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1BA778AE">
            <w:pPr>
              <w:pStyle w:val="19"/>
              <w:ind w:left="0" w:leftChars="0"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3C627D1D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3F79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94" w:type="dxa"/>
            <w:vAlign w:val="center"/>
          </w:tcPr>
          <w:p w14:paraId="7E23E0D6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249" w:type="dxa"/>
            <w:vAlign w:val="center"/>
          </w:tcPr>
          <w:p w14:paraId="7451CBEE"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6A9F333D">
            <w:pPr>
              <w:pStyle w:val="19"/>
              <w:spacing w:line="276" w:lineRule="auto"/>
              <w:ind w:firstLine="0" w:firstLineChars="0"/>
              <w:jc w:val="center"/>
              <w:rPr>
                <w:rFonts w:hint="eastAsia" w:ascii="Times New Roman" w:eastAsia="宋体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71DFB6D">
            <w:pPr>
              <w:pStyle w:val="19"/>
              <w:ind w:left="0" w:leftChars="0"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615611D8">
            <w:pPr>
              <w:pStyle w:val="19"/>
              <w:ind w:left="0" w:leftChars="0"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4BE2B1F6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083AB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2D60E6A6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249" w:type="dxa"/>
            <w:vAlign w:val="center"/>
          </w:tcPr>
          <w:p w14:paraId="3A808907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42A32716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990" w:type="dxa"/>
            <w:vAlign w:val="center"/>
          </w:tcPr>
          <w:p w14:paraId="18CAA759">
            <w:pPr>
              <w:pStyle w:val="19"/>
              <w:ind w:left="0" w:leftChars="0"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305" w:type="dxa"/>
            <w:vAlign w:val="center"/>
          </w:tcPr>
          <w:p w14:paraId="68DB70F7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507" w:type="dxa"/>
            <w:vAlign w:val="center"/>
          </w:tcPr>
          <w:p w14:paraId="43559F97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7310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24DDCB13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249" w:type="dxa"/>
            <w:vAlign w:val="center"/>
          </w:tcPr>
          <w:p w14:paraId="7FFE2882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48C6BAB0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0EFB241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4C024F4B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1507" w:type="dxa"/>
            <w:vAlign w:val="center"/>
          </w:tcPr>
          <w:p w14:paraId="74C1B6A5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75E5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9466CF6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FDDAB8C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427A3B9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BCF731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304616B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6A2F429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2E3A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D3644F5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vAlign w:val="center"/>
          </w:tcPr>
          <w:p w14:paraId="3A94F653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5D2350F1">
            <w:pPr>
              <w:pStyle w:val="19"/>
              <w:ind w:firstLine="0" w:firstLineChars="0"/>
              <w:jc w:val="center"/>
              <w:rPr>
                <w:rFonts w:hint="eastAsia" w:ascii="Times New Roman" w:eastAsia="宋体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2C37B6AF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0EFC63AA">
            <w:pPr>
              <w:pStyle w:val="19"/>
              <w:ind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72BE96C2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70BB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E1E5DE2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vAlign w:val="center"/>
          </w:tcPr>
          <w:p w14:paraId="37C6B86E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6FCC5AD2">
            <w:pPr>
              <w:pStyle w:val="19"/>
              <w:ind w:firstLine="0" w:firstLineChars="0"/>
              <w:jc w:val="center"/>
              <w:rPr>
                <w:rFonts w:ascii="Times New Roman"/>
              </w:rPr>
            </w:pPr>
          </w:p>
        </w:tc>
        <w:tc>
          <w:tcPr>
            <w:tcW w:w="990" w:type="dxa"/>
            <w:vAlign w:val="center"/>
          </w:tcPr>
          <w:p w14:paraId="42B7D937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096A083A">
            <w:pPr>
              <w:pStyle w:val="19"/>
              <w:ind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554E70EE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0663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42B779D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42C7329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AEC680D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640725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3A3E9B4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3B5ACB7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2E6B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1DE9FA44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vAlign w:val="center"/>
          </w:tcPr>
          <w:p w14:paraId="75D31F65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06B701B3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288CED9D">
            <w:pPr>
              <w:pStyle w:val="19"/>
              <w:ind w:left="0" w:leftChars="0"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22B27DE2">
            <w:pPr>
              <w:pStyle w:val="19"/>
              <w:ind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7B6E4560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1F8C2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17BE2A9C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vAlign w:val="center"/>
          </w:tcPr>
          <w:p w14:paraId="070834E3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3825" w:type="dxa"/>
            <w:vAlign w:val="center"/>
          </w:tcPr>
          <w:p w14:paraId="0753B47A">
            <w:pPr>
              <w:pStyle w:val="19"/>
              <w:ind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56F6B757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08063E31">
            <w:pPr>
              <w:pStyle w:val="19"/>
              <w:ind w:firstLine="0" w:firstLineChars="0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 w14:paraId="4E925BCB">
            <w:pPr>
              <w:pStyle w:val="19"/>
              <w:ind w:left="0" w:leftChars="0" w:firstLine="0" w:firstLineChars="0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</w:tr>
      <w:tr w14:paraId="10E6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8B94A2A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A615483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6D198C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E77D70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3D8625A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2DC3DD6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7310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1F02410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841C4F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A237655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58C6ED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BB1284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AA9DB6B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79D2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CCE6772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050757E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A6878A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364B21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BFFFF9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E8C9352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7423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6AF9438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66B028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EA526F6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86BD1E">
            <w:pPr>
              <w:pStyle w:val="19"/>
              <w:ind w:left="0" w:leftChars="0"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D675235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DD9D698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2796A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508DA89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3ED3DF5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113C812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CE2CDC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A84C228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CCAFB4B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4283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7A91C5E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D7077AE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DE718E1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7792F6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974CC39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7EFB342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7681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7C03C722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0FEF146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BC5A895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C1E9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82ABFBF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149E2ED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48E0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C9E80DE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E72231D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163C856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E5F02F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F995B23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CEA40A0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0BA7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48F300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9C778CA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C030362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A7834D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58ADFFD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BC18277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38F3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88A754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F529039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1BBC2C0">
            <w:pPr>
              <w:pStyle w:val="19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27161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9B7B72A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4DD45B7C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1F82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387B88C8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AFF2144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63AE5AB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E9C2F1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8C67D71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18132A13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61E7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1052120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A7FD6C1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F8AB06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DBDDF8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7EC477E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A99B35A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580E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FCBDEF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2AB9B85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C8561D8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5A300A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06C2F14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8CC3C7A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478F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11CC664E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4AA853D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EB8EC09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9C0D26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ADDAE70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01176863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06A7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52289BC7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F443DAA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F399C14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781CEF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56CC1E5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44B2043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3CFB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B22E48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D8A4C3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530E7F2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B9DC6A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654A7FC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153E2391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1CA9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7F432C84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E961A33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EE79905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08D43F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7A6816C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5B750D0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75BB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F44568E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DBB364D">
            <w:pPr>
              <w:pStyle w:val="19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D3A6FA2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90F88">
            <w:pPr>
              <w:pStyle w:val="19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74C9874">
            <w:pPr>
              <w:pStyle w:val="19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18D24196">
            <w:pPr>
              <w:pStyle w:val="19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 w:bidi="ar-SA"/>
              </w:rPr>
            </w:pPr>
          </w:p>
        </w:tc>
      </w:tr>
      <w:tr w14:paraId="6E55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A0F557C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7F70EE7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549D9FD">
            <w:pPr>
              <w:pStyle w:val="19"/>
              <w:ind w:firstLine="0" w:firstLineChars="0"/>
              <w:jc w:val="center"/>
              <w:rPr>
                <w:rFonts w:hint="default" w:ascii="Times New Roman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22C70F">
            <w:pPr>
              <w:pStyle w:val="19"/>
              <w:ind w:left="0" w:leftChars="0"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849A2FF">
            <w:pPr>
              <w:pStyle w:val="19"/>
              <w:ind w:firstLine="0" w:firstLineChars="0"/>
              <w:jc w:val="center"/>
              <w:rPr>
                <w:rFonts w:hint="eastAsia" w:ascii="Times New Roman"/>
                <w:lang w:val="en-US" w:eastAsia="zh-CN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1E560AD5">
            <w:pPr>
              <w:pStyle w:val="19"/>
              <w:ind w:left="0" w:leftChars="0" w:firstLine="0" w:firstLineChars="0"/>
              <w:jc w:val="center"/>
              <w:rPr>
                <w:rFonts w:hint="default" w:ascii="Times New Roman"/>
                <w:lang w:val="en-US" w:eastAsia="zh-CN"/>
              </w:rPr>
            </w:pPr>
          </w:p>
        </w:tc>
      </w:tr>
      <w:tr w14:paraId="7BDA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56E9D47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编制情况</w:t>
            </w:r>
          </w:p>
        </w:tc>
      </w:tr>
      <w:tr w14:paraId="3C513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59CDEFA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1、编制过程简介</w:t>
            </w:r>
          </w:p>
        </w:tc>
      </w:tr>
      <w:tr w14:paraId="1FEC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2166921">
            <w:pPr>
              <w:pStyle w:val="19"/>
              <w:rPr>
                <w:rFonts w:ascii="Times New Roman"/>
              </w:rPr>
            </w:pPr>
            <w:r>
              <w:rPr>
                <w:rFonts w:hint="eastAsia" w:ascii="Times New Roman"/>
                <w:highlight w:val="none"/>
                <w:lang w:val="en-US" w:eastAsia="zh-CN"/>
              </w:rPr>
              <w:t>近年来，由于安徽省经济社会发展迅速，电力负荷和新能源接入规模不断增长，负荷的峰谷差逐步加大，2021年冬季和2022年夏季供需矛盾突出，根据预测2025年，夏季电力供应可能存在850—1150万千瓦左右的缺口，新能源装机将达到6000万千瓦左右。为缓解电力供需矛盾、提升电力系统调节能力，各类市场主体积极推动虚拟电厂建设，对削减尖峰负荷、保障电网安全稳定运行起到了积极作用。但由于我省缺少统一的虚拟电厂建设和接入标准，各类设备及运营商的通信协议不统一，数据交互壁垒高、传递不顺畅，增加了市场主体建设难度和成本。为规范虚拟电厂建设，</w:t>
            </w:r>
            <w:r>
              <w:rPr>
                <w:rFonts w:ascii="Times New Roman"/>
                <w:highlight w:val="none"/>
              </w:rPr>
              <w:t>202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3</w:t>
            </w:r>
            <w:r>
              <w:rPr>
                <w:rFonts w:ascii="Times New Roman"/>
                <w:highlight w:val="none"/>
              </w:rPr>
              <w:t>年</w:t>
            </w:r>
            <w:r>
              <w:rPr>
                <w:rFonts w:hint="eastAsia" w:ascii="Times New Roman"/>
                <w:highlight w:val="none"/>
                <w:lang w:eastAsia="zh-CN"/>
              </w:rPr>
              <w:t>初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，安徽省能源局根据国家发展改革委相关文件要求，</w:t>
            </w:r>
            <w:r>
              <w:rPr>
                <w:rFonts w:ascii="Times New Roman"/>
              </w:rPr>
              <w:t>征求</w:t>
            </w:r>
            <w:r>
              <w:rPr>
                <w:rFonts w:hint="eastAsia" w:ascii="Times New Roman"/>
                <w:lang w:eastAsia="zh-CN"/>
              </w:rPr>
              <w:t>省</w:t>
            </w:r>
            <w:r>
              <w:rPr>
                <w:rFonts w:ascii="Times New Roman"/>
              </w:rPr>
              <w:t>电力公司</w:t>
            </w:r>
            <w:r>
              <w:rPr>
                <w:rFonts w:hint="eastAsia" w:ascii="Times New Roman"/>
                <w:lang w:eastAsia="zh-CN"/>
              </w:rPr>
              <w:t>、发电企业</w:t>
            </w:r>
            <w:r>
              <w:rPr>
                <w:rFonts w:hint="eastAsia" w:ascii="Times New Roman"/>
                <w:lang w:val="en-US" w:eastAsia="zh-CN"/>
              </w:rPr>
              <w:t>、研究院所</w:t>
            </w:r>
            <w:r>
              <w:rPr>
                <w:rFonts w:ascii="Times New Roman"/>
              </w:rPr>
              <w:t>、</w:t>
            </w:r>
            <w:r>
              <w:rPr>
                <w:rFonts w:hint="eastAsia" w:ascii="Times New Roman"/>
                <w:lang w:val="en-US" w:eastAsia="zh-CN"/>
              </w:rPr>
              <w:t>部分虚拟电厂运营商及电力用户</w:t>
            </w:r>
            <w:r>
              <w:rPr>
                <w:rFonts w:ascii="Times New Roman"/>
              </w:rPr>
              <w:t>等相关单位意见和建议，拟启动本</w:t>
            </w:r>
            <w:r>
              <w:rPr>
                <w:rFonts w:hint="eastAsia" w:ascii="Times New Roman"/>
                <w:lang w:eastAsia="zh-CN"/>
              </w:rPr>
              <w:t>标准</w:t>
            </w:r>
            <w:r>
              <w:rPr>
                <w:rFonts w:ascii="Times New Roman"/>
              </w:rPr>
              <w:t>编制工作。</w:t>
            </w:r>
          </w:p>
          <w:p w14:paraId="673F2FA7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标准起草过程：</w:t>
            </w:r>
            <w:r>
              <w:rPr>
                <w:rFonts w:ascii="Times New Roman"/>
                <w:highlight w:val="none"/>
              </w:rPr>
              <w:t>202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3</w:t>
            </w:r>
            <w:r>
              <w:rPr>
                <w:rFonts w:ascii="Times New Roman"/>
                <w:highlight w:val="none"/>
              </w:rPr>
              <w:t>年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5</w:t>
            </w:r>
            <w:r>
              <w:rPr>
                <w:rFonts w:ascii="Times New Roman"/>
                <w:highlight w:val="none"/>
              </w:rPr>
              <w:t>月</w:t>
            </w:r>
            <w:r>
              <w:rPr>
                <w:rFonts w:hint="eastAsia" w:ascii="Times New Roman"/>
                <w:highlight w:val="none"/>
                <w:lang w:eastAsia="zh-CN"/>
              </w:rPr>
              <w:t>，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国网安徽省电力有限公司</w:t>
            </w:r>
            <w:r>
              <w:rPr>
                <w:rFonts w:ascii="Times New Roman"/>
              </w:rPr>
              <w:t>联合科研院所、</w:t>
            </w:r>
            <w:r>
              <w:rPr>
                <w:rFonts w:hint="eastAsia" w:ascii="Times New Roman"/>
                <w:lang w:val="en-US" w:eastAsia="zh-CN"/>
              </w:rPr>
              <w:t>虚拟电厂</w:t>
            </w:r>
            <w:r>
              <w:rPr>
                <w:rFonts w:ascii="Times New Roman"/>
              </w:rPr>
              <w:t>运营</w:t>
            </w:r>
            <w:r>
              <w:rPr>
                <w:rFonts w:hint="eastAsia" w:ascii="Times New Roman"/>
                <w:lang w:eastAsia="zh-CN"/>
              </w:rPr>
              <w:t>商</w:t>
            </w:r>
            <w:r>
              <w:rPr>
                <w:rFonts w:ascii="Times New Roman"/>
              </w:rPr>
              <w:t>、</w:t>
            </w:r>
            <w:r>
              <w:rPr>
                <w:rFonts w:hint="eastAsia" w:ascii="Times New Roman"/>
                <w:lang w:val="en-US" w:eastAsia="zh-CN"/>
              </w:rPr>
              <w:t>电力用户</w:t>
            </w:r>
            <w:r>
              <w:rPr>
                <w:rFonts w:ascii="Times New Roman"/>
              </w:rPr>
              <w:t>等</w:t>
            </w:r>
            <w:r>
              <w:rPr>
                <w:rFonts w:hint="eastAsia" w:ascii="Times New Roman"/>
                <w:lang w:eastAsia="zh-CN"/>
              </w:rPr>
              <w:t>相关单位，</w:t>
            </w:r>
            <w:r>
              <w:rPr>
                <w:rFonts w:ascii="Times New Roman"/>
              </w:rPr>
              <w:t>成立</w:t>
            </w:r>
            <w:bookmarkStart w:id="5" w:name="OLE_LINK4"/>
            <w:r>
              <w:rPr>
                <w:rFonts w:ascii="Times New Roman"/>
              </w:rPr>
              <w:t>《</w:t>
            </w:r>
            <w:r>
              <w:rPr>
                <w:rFonts w:hint="eastAsia" w:ascii="Times New Roman"/>
                <w:lang w:val="en-US" w:eastAsia="zh-CN"/>
              </w:rPr>
              <w:t>虚拟电厂建设运营管理技术规范</w:t>
            </w:r>
            <w:r>
              <w:rPr>
                <w:rFonts w:ascii="Times New Roman"/>
              </w:rPr>
              <w:t>》</w:t>
            </w:r>
            <w:bookmarkEnd w:id="5"/>
            <w:r>
              <w:rPr>
                <w:rFonts w:ascii="Times New Roman"/>
              </w:rPr>
              <w:t>编制工作组，启动了标准制定工作</w:t>
            </w:r>
            <w:r>
              <w:rPr>
                <w:rFonts w:hint="eastAsia" w:ascii="Times New Roman"/>
                <w:lang w:eastAsia="zh-CN"/>
              </w:rPr>
              <w:t>，并按照</w:t>
            </w:r>
            <w:r>
              <w:rPr>
                <w:rFonts w:ascii="Times New Roman"/>
              </w:rPr>
              <w:t>GB/T1.1-2020《标准化工作导则 第1部分：标准化文件的结构和起草规则》</w:t>
            </w:r>
            <w:r>
              <w:rPr>
                <w:rFonts w:hint="eastAsia" w:ascii="Times New Roman"/>
                <w:lang w:eastAsia="zh-CN"/>
              </w:rPr>
              <w:t>要求，</w:t>
            </w:r>
            <w:r>
              <w:rPr>
                <w:rFonts w:ascii="Times New Roman"/>
              </w:rPr>
              <w:t>初步确定了制定计划、草案框架，并提交至安徽省市场监督管理局申请立项。</w:t>
            </w:r>
            <w:r>
              <w:rPr>
                <w:rFonts w:ascii="Times New Roman"/>
                <w:highlight w:val="none"/>
              </w:rPr>
              <w:t>202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3</w:t>
            </w:r>
            <w:r>
              <w:rPr>
                <w:rFonts w:ascii="Times New Roman"/>
                <w:highlight w:val="none"/>
              </w:rPr>
              <w:t>年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9</w:t>
            </w:r>
            <w:r>
              <w:rPr>
                <w:rFonts w:ascii="Times New Roman"/>
                <w:highlight w:val="none"/>
              </w:rPr>
              <w:t>月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12日</w:t>
            </w:r>
            <w:r>
              <w:rPr>
                <w:rFonts w:ascii="Times New Roman"/>
              </w:rPr>
              <w:t>，《</w:t>
            </w:r>
            <w:r>
              <w:rPr>
                <w:rFonts w:hint="eastAsia" w:ascii="Times New Roman"/>
                <w:lang w:val="en-US" w:eastAsia="zh-CN"/>
              </w:rPr>
              <w:t>虚拟电厂建设运营管理技术规范</w:t>
            </w:r>
            <w:r>
              <w:rPr>
                <w:rFonts w:ascii="Times New Roman"/>
              </w:rPr>
              <w:t>》被批准立项</w:t>
            </w:r>
            <w:r>
              <w:rPr>
                <w:rFonts w:hint="eastAsia" w:ascii="Times New Roman"/>
                <w:lang w:eastAsia="zh-CN"/>
              </w:rPr>
              <w:t>。</w:t>
            </w:r>
            <w:r>
              <w:rPr>
                <w:rFonts w:hint="eastAsia" w:ascii="Times New Roman"/>
                <w:lang w:val="en-US" w:eastAsia="zh-CN"/>
              </w:rPr>
              <w:t>2023年9月—2024年12月，</w:t>
            </w:r>
            <w:r>
              <w:rPr>
                <w:rFonts w:hint="eastAsia" w:ascii="Times New Roman"/>
                <w:lang w:eastAsia="zh-CN"/>
              </w:rPr>
              <w:t>编制</w:t>
            </w:r>
            <w:r>
              <w:rPr>
                <w:rFonts w:ascii="Times New Roman"/>
              </w:rPr>
              <w:t>工作组成员</w:t>
            </w:r>
            <w:r>
              <w:rPr>
                <w:rFonts w:hint="eastAsia" w:ascii="Times New Roman"/>
                <w:lang w:eastAsia="zh-CN"/>
              </w:rPr>
              <w:t>开展了广泛</w:t>
            </w:r>
            <w:r>
              <w:rPr>
                <w:rFonts w:ascii="Times New Roman"/>
              </w:rPr>
              <w:t>调研和文献资料收集，对所收集的资料进行全面分析、比较，并根据</w:t>
            </w:r>
            <w:r>
              <w:rPr>
                <w:rFonts w:hint="eastAsia" w:ascii="Times New Roman"/>
                <w:lang w:eastAsia="zh-CN"/>
              </w:rPr>
              <w:t>调查研究</w:t>
            </w:r>
            <w:r>
              <w:rPr>
                <w:rFonts w:ascii="Times New Roman"/>
              </w:rPr>
              <w:t>结果，确定了标准的具体内容，拟定标准初稿，</w:t>
            </w:r>
            <w:r>
              <w:rPr>
                <w:rFonts w:hint="eastAsia" w:ascii="Times New Roman"/>
                <w:lang w:eastAsia="zh-CN"/>
              </w:rPr>
              <w:t>并召开多次研讨会议，</w:t>
            </w:r>
            <w:r>
              <w:rPr>
                <w:rFonts w:ascii="Times New Roman"/>
              </w:rPr>
              <w:t>对标准内容开展</w:t>
            </w:r>
            <w:r>
              <w:rPr>
                <w:rFonts w:hint="eastAsia" w:ascii="Times New Roman"/>
                <w:lang w:eastAsia="zh-CN"/>
              </w:rPr>
              <w:t>了多轮次的</w:t>
            </w:r>
            <w:r>
              <w:rPr>
                <w:rFonts w:ascii="Times New Roman"/>
              </w:rPr>
              <w:t>讨论与修改，形成征求意见稿。</w:t>
            </w:r>
          </w:p>
        </w:tc>
      </w:tr>
      <w:tr w14:paraId="2F74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D4C19B3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2、制定标准的必要性和意义</w:t>
            </w:r>
          </w:p>
        </w:tc>
      </w:tr>
      <w:tr w14:paraId="78D7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756B9FA">
            <w:pPr>
              <w:pStyle w:val="19"/>
              <w:ind w:firstLine="422"/>
              <w:rPr>
                <w:rFonts w:ascii="Times New Roman"/>
                <w:b/>
                <w:bCs/>
              </w:rPr>
            </w:pPr>
            <w:bookmarkStart w:id="6" w:name="OLE_LINK2"/>
            <w:r>
              <w:rPr>
                <w:rFonts w:ascii="Times New Roman"/>
                <w:b/>
                <w:bCs/>
              </w:rPr>
              <w:t>（1）必要性：</w:t>
            </w:r>
          </w:p>
          <w:bookmarkEnd w:id="6"/>
          <w:p w14:paraId="5A9401A5">
            <w:pPr>
              <w:pStyle w:val="19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2022年以来，我省夏季最大降温负荷占用电负荷比重、最大峰谷差率均在47%左右，电网调峰压力较大。虚拟电厂旨在依托负荷聚合商、售电公司等经营主体，通过新一代信息通信、系统集成等技术，将需求侧可调节资源进行聚合、协调、优化，形成响应电网运行的调节能力。建设发展虚拟电厂，可以充分挖掘需求侧各类可调节资源，有利于缓解电力供需矛盾、提高新能源消纳水平、引导用户精细化实施电能管理。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但由于我省缺少统一的虚拟电厂建设和接入标准，各类设备及运营商的通信协议不统一，数据交互壁垒高、传递不顺畅，增加了市场主体建设难度和成本。</w:t>
            </w:r>
            <w:r>
              <w:rPr>
                <w:rFonts w:hint="eastAsia" w:ascii="Times New Roman"/>
                <w:lang w:val="en-US" w:eastAsia="zh-CN"/>
              </w:rPr>
              <w:t>因此</w:t>
            </w:r>
            <w:r>
              <w:rPr>
                <w:rFonts w:ascii="Times New Roman"/>
              </w:rPr>
              <w:t>，</w:t>
            </w:r>
            <w:r>
              <w:rPr>
                <w:rFonts w:hint="eastAsia" w:ascii="Times New Roman"/>
                <w:lang w:eastAsia="zh-CN"/>
              </w:rPr>
              <w:t>制定本标准可</w:t>
            </w:r>
            <w:r>
              <w:rPr>
                <w:rFonts w:ascii="Times New Roman"/>
              </w:rPr>
              <w:t>解决虚拟电厂在项目建设、设备接入、数据交互中的壁垒，夯实虚拟电厂广泛参与各类电力市场的技术基础。</w:t>
            </w:r>
          </w:p>
          <w:p w14:paraId="22FC3877">
            <w:pPr>
              <w:pStyle w:val="19"/>
              <w:ind w:firstLine="422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（2）意义：</w:t>
            </w:r>
          </w:p>
          <w:p w14:paraId="1B8EB0A0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制定</w:t>
            </w:r>
            <w:r>
              <w:rPr>
                <w:rFonts w:hint="eastAsia" w:ascii="Times New Roman"/>
                <w:lang w:eastAsia="zh-CN"/>
              </w:rPr>
              <w:t>本标准旨在统一虚拟电厂的定义内涵，规范虚拟电厂运营商开发设计应具备的基本要求，明确运营商聚合资源配置、技术系统功能、数据交互和安全防护、终端设备性能等要求，统一各类设备、系统等接入标准，有利于引领运营商以规范标准建设虚拟电厂，</w:t>
            </w:r>
            <w:r>
              <w:rPr>
                <w:rFonts w:hint="eastAsia" w:ascii="Times New Roman"/>
                <w:lang w:val="en-US" w:eastAsia="zh-CN"/>
              </w:rPr>
              <w:t>部署监测和控制装置，</w:t>
            </w:r>
            <w:r>
              <w:rPr>
                <w:rFonts w:hint="eastAsia" w:ascii="Times New Roman"/>
                <w:lang w:eastAsia="zh-CN"/>
              </w:rPr>
              <w:t>主动提升技术水平和服务能力；有利于引导运营商规范聚合优质资源，提升虚拟电厂灵活调节能力，保障能源安全供应、促进新能源消纳；有助于运营商降低建设和接入成本，提高虚拟电厂参与各类电力市场的效率，拓展其</w:t>
            </w:r>
            <w:r>
              <w:rPr>
                <w:rFonts w:ascii="Times New Roman"/>
              </w:rPr>
              <w:t>经济效益，促进</w:t>
            </w:r>
            <w:r>
              <w:rPr>
                <w:rFonts w:hint="eastAsia" w:ascii="Times New Roman"/>
                <w:lang w:eastAsia="zh-CN"/>
              </w:rPr>
              <w:t>虚拟电厂</w:t>
            </w:r>
            <w:r>
              <w:rPr>
                <w:rFonts w:ascii="Times New Roman"/>
              </w:rPr>
              <w:t>可持续发展。</w:t>
            </w:r>
          </w:p>
        </w:tc>
      </w:tr>
      <w:tr w14:paraId="0E71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E2360D6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3、制定标准的原则和依据，与现行法律法规、标准的关系</w:t>
            </w:r>
          </w:p>
        </w:tc>
      </w:tr>
      <w:tr w14:paraId="6CE2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64BFE2D">
            <w:pPr>
              <w:tabs>
                <w:tab w:val="left" w:pos="284"/>
              </w:tabs>
              <w:spacing w:line="336" w:lineRule="auto"/>
              <w:ind w:firstLine="422" w:firstLineChars="200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  <w:b/>
                <w:bCs/>
              </w:rPr>
              <w:t>规范性原则：</w:t>
            </w:r>
            <w:r>
              <w:rPr>
                <w:rFonts w:ascii="Times New Roman" w:hAnsi="Times New Roman" w:eastAsiaTheme="minorEastAsia"/>
              </w:rPr>
              <w:t>本标准以国家颁发的《中华人民共和国标准法》、《中华人民共和国标准化实施条例》等有关法规为准则。编写过程中，严格按照GB/T1.1-2020《标准化工作导则 第一部分：标准的结构和编写规则》，组织标准的起草工作。标准文本的编排采用中国标准编写模板TCS 2010版进行编排，确保标准起草编排的规范性。</w:t>
            </w:r>
          </w:p>
          <w:p w14:paraId="281A2BB0">
            <w:pPr>
              <w:spacing w:line="336" w:lineRule="auto"/>
              <w:ind w:firstLine="422" w:firstLineChars="200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  <w:b/>
                <w:bCs/>
              </w:rPr>
              <w:t>先进性原则：</w:t>
            </w:r>
            <w:r>
              <w:rPr>
                <w:rFonts w:ascii="Times New Roman" w:hAnsi="Times New Roman" w:eastAsiaTheme="minorEastAsia"/>
              </w:rPr>
              <w:t>标准制定既满足实际工作需要，又融入当前先进的、科学的操作手段，理论与实际结合。</w:t>
            </w:r>
          </w:p>
          <w:p w14:paraId="25A1CCC6">
            <w:pPr>
              <w:spacing w:line="336" w:lineRule="auto"/>
              <w:ind w:firstLine="422" w:firstLineChars="200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  <w:b/>
                <w:bCs/>
              </w:rPr>
              <w:t>科学实用原则：</w:t>
            </w:r>
            <w:r>
              <w:rPr>
                <w:rFonts w:ascii="Times New Roman" w:hAnsi="Times New Roman" w:eastAsiaTheme="minorEastAsia"/>
              </w:rPr>
              <w:t>标准理论与实践结合，在尊重科学、广泛征求意见及调查研究的基础上，紧贴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虚拟电厂</w:t>
            </w:r>
            <w:r>
              <w:rPr>
                <w:rFonts w:ascii="Times New Roman" w:hAnsi="Times New Roman" w:eastAsiaTheme="minorEastAsia"/>
              </w:rPr>
              <w:t>系统运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行特点</w:t>
            </w:r>
            <w:r>
              <w:rPr>
                <w:rFonts w:ascii="Times New Roman" w:hAnsi="Times New Roman" w:eastAsiaTheme="minorEastAsia"/>
              </w:rPr>
              <w:t>，因此具有较强的可操作性和实用性。</w:t>
            </w:r>
          </w:p>
          <w:p w14:paraId="2356B4E3">
            <w:pPr>
              <w:pStyle w:val="19"/>
              <w:ind w:firstLine="422"/>
              <w:rPr>
                <w:rFonts w:ascii="Times New Roman" w:eastAsiaTheme="minorEastAsia"/>
              </w:rPr>
            </w:pPr>
            <w:r>
              <w:rPr>
                <w:rFonts w:ascii="Times New Roman" w:eastAsiaTheme="minorEastAsia"/>
                <w:b/>
              </w:rPr>
              <w:t>编制依据：</w:t>
            </w:r>
            <w:r>
              <w:rPr>
                <w:rFonts w:ascii="Times New Roman"/>
              </w:rPr>
              <w:t>按照《中华人民共和国标准化法》《安徽省地方标准管理办法》等有关法律、法规制定，</w:t>
            </w:r>
            <w:r>
              <w:rPr>
                <w:rFonts w:hint="eastAsia" w:ascii="Times New Roman"/>
                <w:lang w:eastAsia="zh-CN"/>
              </w:rPr>
              <w:t>参考《</w:t>
            </w:r>
            <w:r>
              <w:rPr>
                <w:rFonts w:hint="eastAsia" w:ascii="Times New Roman"/>
                <w:lang w:val="en-US" w:eastAsia="zh-CN"/>
              </w:rPr>
              <w:t>虚拟电厂管理规范</w:t>
            </w:r>
            <w:r>
              <w:rPr>
                <w:rFonts w:hint="eastAsia" w:ascii="Times New Roman"/>
                <w:lang w:eastAsia="zh-CN"/>
              </w:rPr>
              <w:t>》《</w:t>
            </w:r>
            <w:r>
              <w:rPr>
                <w:rFonts w:hint="eastAsia" w:ascii="Times New Roman"/>
                <w:lang w:val="en-US" w:eastAsia="zh-CN"/>
              </w:rPr>
              <w:t>虚拟电厂资源配置与评估技术规范</w:t>
            </w:r>
            <w:r>
              <w:rPr>
                <w:rFonts w:hint="eastAsia" w:ascii="Times New Roman"/>
                <w:lang w:eastAsia="zh-CN"/>
              </w:rPr>
              <w:t>》等</w:t>
            </w:r>
            <w:r>
              <w:rPr>
                <w:rFonts w:ascii="Times New Roman"/>
              </w:rPr>
              <w:t>相关国家标准、行业标准编制</w:t>
            </w:r>
            <w:r>
              <w:rPr>
                <w:rFonts w:hint="eastAsia" w:ascii="Times New Roman"/>
                <w:lang w:eastAsia="zh-CN"/>
              </w:rPr>
              <w:t>，</w:t>
            </w:r>
            <w:r>
              <w:rPr>
                <w:rFonts w:ascii="Times New Roman"/>
              </w:rPr>
              <w:t>遵循现行法律法规以及相关国家标准、行业标准的规定</w:t>
            </w:r>
            <w:r>
              <w:rPr>
                <w:rFonts w:ascii="Times New Roman" w:eastAsiaTheme="minorEastAsia"/>
              </w:rPr>
              <w:t>。</w:t>
            </w:r>
          </w:p>
        </w:tc>
      </w:tr>
      <w:tr w14:paraId="049B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E0F1ECF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4、主要条款的说明，验收管理标准验收阶段以及验收内容的论述（</w:t>
            </w:r>
            <w:r>
              <w:rPr>
                <w:rFonts w:ascii="Times New Roman"/>
                <w:b/>
              </w:rPr>
              <w:t>详细说明</w:t>
            </w:r>
            <w:r>
              <w:rPr>
                <w:rFonts w:ascii="Times New Roman"/>
              </w:rPr>
              <w:t>）</w:t>
            </w:r>
          </w:p>
        </w:tc>
      </w:tr>
      <w:tr w14:paraId="01ED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5AFE1BE">
            <w:pPr>
              <w:pStyle w:val="19"/>
              <w:ind w:firstLine="422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主要条款：</w:t>
            </w:r>
          </w:p>
          <w:p w14:paraId="4B97F198">
            <w:pPr>
              <w:pStyle w:val="19"/>
              <w:rPr>
                <w:rFonts w:hint="eastAsia" w:ascii="Times New Roman" w:eastAsia="宋体"/>
                <w:highlight w:val="none"/>
                <w:lang w:eastAsia="zh-CN"/>
              </w:rPr>
            </w:pPr>
            <w:r>
              <w:rPr>
                <w:rFonts w:ascii="Times New Roman"/>
                <w:highlight w:val="none"/>
              </w:rPr>
              <w:t>本标准的章节由：范围、规范性引用文件、术语和定义、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总体</w:t>
            </w:r>
            <w:r>
              <w:rPr>
                <w:rFonts w:ascii="Times New Roman"/>
                <w:highlight w:val="none"/>
              </w:rPr>
              <w:t>要求、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>建设内容、虚拟电厂接入及相关附件</w:t>
            </w:r>
            <w:r>
              <w:rPr>
                <w:rFonts w:ascii="Times New Roman"/>
                <w:highlight w:val="none"/>
              </w:rPr>
              <w:t>组成</w:t>
            </w:r>
            <w:r>
              <w:rPr>
                <w:rFonts w:hint="eastAsia" w:ascii="Times New Roman"/>
                <w:highlight w:val="none"/>
                <w:lang w:eastAsia="zh-CN"/>
              </w:rPr>
              <w:t>，具体</w:t>
            </w:r>
            <w:r>
              <w:rPr>
                <w:rFonts w:hint="eastAsia" w:ascii="Times New Roman"/>
                <w:highlight w:val="none"/>
                <w:lang w:val="en-US" w:eastAsia="zh-CN"/>
              </w:rPr>
              <w:t xml:space="preserve">包括聚合资源、技术支持系统、终端设备、数据交互和运行、安全防护、接入系统流程、能力检测及市场注册等要求。 </w:t>
            </w:r>
          </w:p>
          <w:p w14:paraId="29F84FC2">
            <w:pPr>
              <w:pStyle w:val="19"/>
              <w:ind w:firstLine="422"/>
              <w:rPr>
                <w:rFonts w:ascii="Times New Roman"/>
                <w:b/>
                <w:bCs/>
                <w:highlight w:val="yellow"/>
              </w:rPr>
            </w:pPr>
            <w:r>
              <w:rPr>
                <w:rFonts w:hint="eastAsia" w:ascii="Times New Roman"/>
                <w:b/>
                <w:bCs/>
                <w:highlight w:val="none"/>
                <w:lang w:val="en-US" w:eastAsia="zh-CN"/>
              </w:rPr>
              <w:t>总体</w:t>
            </w:r>
            <w:r>
              <w:rPr>
                <w:rFonts w:ascii="Times New Roman"/>
                <w:b/>
                <w:bCs/>
                <w:highlight w:val="none"/>
              </w:rPr>
              <w:t>要求：</w:t>
            </w:r>
          </w:p>
          <w:p w14:paraId="2E8A859B">
            <w:pPr>
              <w:pStyle w:val="19"/>
              <w:ind w:firstLineChars="0"/>
              <w:rPr>
                <w:rFonts w:hint="default" w:ascii="Times New Roman" w:eastAsia="宋体"/>
                <w:highlight w:val="yellow"/>
                <w:lang w:val="en-US" w:eastAsia="zh-CN"/>
              </w:rPr>
            </w:pPr>
            <w:bookmarkStart w:id="7" w:name="_Toc1021_WPSOffice_Level2"/>
            <w:bookmarkStart w:id="8" w:name="_Toc25924"/>
            <w:bookmarkStart w:id="9" w:name="_Toc2443"/>
            <w:bookmarkStart w:id="10" w:name="_Toc618"/>
            <w:bookmarkStart w:id="11" w:name="_Toc25460"/>
            <w:r>
              <w:rPr>
                <w:rFonts w:hint="eastAsia"/>
                <w:color w:val="auto"/>
                <w:lang w:val="en-US" w:eastAsia="zh-CN"/>
              </w:rPr>
              <w:t>虚拟电厂建设应坚持安全可靠、绿色低碳、经济高效、供需协同、灵活智能的原则。包括虚拟电厂建设主体资格、具备调节响应能力、接受检测和调度、建立运营管理制度和风险预警机制等要求。</w:t>
            </w:r>
          </w:p>
          <w:bookmarkEnd w:id="7"/>
          <w:bookmarkEnd w:id="8"/>
          <w:bookmarkEnd w:id="9"/>
          <w:bookmarkEnd w:id="10"/>
          <w:bookmarkEnd w:id="11"/>
          <w:p w14:paraId="2FA1DA8E">
            <w:pPr>
              <w:pStyle w:val="19"/>
              <w:ind w:firstLine="422"/>
              <w:rPr>
                <w:rFonts w:ascii="Times New Roman"/>
                <w:b/>
                <w:bCs/>
              </w:rPr>
            </w:pPr>
            <w:r>
              <w:rPr>
                <w:rFonts w:hint="eastAsia" w:ascii="Times New Roman"/>
                <w:b/>
                <w:bCs/>
                <w:lang w:val="en-US" w:eastAsia="zh-CN"/>
              </w:rPr>
              <w:t>建设内容</w:t>
            </w:r>
            <w:r>
              <w:rPr>
                <w:rFonts w:ascii="Times New Roman"/>
                <w:b/>
                <w:bCs/>
              </w:rPr>
              <w:t>：</w:t>
            </w:r>
          </w:p>
          <w:p w14:paraId="505372F6">
            <w:pPr>
              <w:pStyle w:val="19"/>
              <w:rPr>
                <w:rFonts w:hint="eastAsia" w:ascii="Times New Roman" w:eastAsia="宋体"/>
                <w:lang w:eastAsia="zh-CN"/>
              </w:rPr>
            </w:pPr>
            <w:r>
              <w:rPr>
                <w:rFonts w:ascii="Times New Roman"/>
              </w:rPr>
              <w:t>包括</w:t>
            </w:r>
            <w:r>
              <w:rPr>
                <w:rFonts w:hint="eastAsia" w:ascii="Times New Roman"/>
                <w:lang w:val="en-US" w:eastAsia="zh-CN"/>
              </w:rPr>
              <w:t>聚合资源、技术支持系统、</w:t>
            </w:r>
            <w:r>
              <w:rPr>
                <w:rFonts w:hint="eastAsia" w:ascii="Times New Roman"/>
                <w:lang w:eastAsia="zh-CN"/>
              </w:rPr>
              <w:t>终端设备、</w:t>
            </w:r>
            <w:r>
              <w:rPr>
                <w:rFonts w:hint="eastAsia" w:ascii="Times New Roman"/>
                <w:lang w:val="en-US" w:eastAsia="zh-CN"/>
              </w:rPr>
              <w:t xml:space="preserve">交互数据和运行、安全防护等五个部分。   </w:t>
            </w:r>
          </w:p>
        </w:tc>
      </w:tr>
      <w:tr w14:paraId="7189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6612194">
            <w:pPr>
              <w:pStyle w:val="19"/>
              <w:rPr>
                <w:rFonts w:ascii="Times New Roman"/>
              </w:rPr>
            </w:pPr>
            <w:bookmarkStart w:id="12" w:name="_Toc465074266"/>
            <w:bookmarkStart w:id="13" w:name="_Toc464905613"/>
            <w:bookmarkStart w:id="14" w:name="_Toc464905557"/>
            <w:bookmarkStart w:id="15" w:name="_Toc464902852"/>
            <w:bookmarkStart w:id="16" w:name="_Toc464905809"/>
            <w:r>
              <w:rPr>
                <w:rFonts w:ascii="Times New Roman"/>
              </w:rPr>
              <w:t>5、标准中如果涉及专利，应有明确的知识产权说明</w:t>
            </w:r>
            <w:bookmarkEnd w:id="12"/>
            <w:bookmarkEnd w:id="13"/>
            <w:bookmarkEnd w:id="14"/>
            <w:bookmarkEnd w:id="15"/>
            <w:bookmarkEnd w:id="16"/>
          </w:p>
        </w:tc>
      </w:tr>
      <w:tr w14:paraId="7C38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shd w:val="clear" w:color="auto" w:fill="FFFFFF" w:themeFill="background1"/>
            <w:vAlign w:val="center"/>
          </w:tcPr>
          <w:p w14:paraId="21A498C9">
            <w:pPr>
              <w:pStyle w:val="19"/>
              <w:jc w:val="left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</w:t>
            </w:r>
            <w:r>
              <w:rPr>
                <w:rFonts w:ascii="Times New Roman"/>
                <w:highlight w:val="none"/>
                <w:shd w:val="clear" w:fill="FFFFFF" w:themeFill="background1"/>
              </w:rPr>
              <w:t>无</w:t>
            </w:r>
          </w:p>
        </w:tc>
      </w:tr>
      <w:tr w14:paraId="5B11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shd w:val="clear" w:color="auto" w:fill="FFFFFF" w:themeFill="background1"/>
            <w:vAlign w:val="center"/>
          </w:tcPr>
          <w:p w14:paraId="1181413D">
            <w:pPr>
              <w:pStyle w:val="19"/>
              <w:rPr>
                <w:rFonts w:ascii="Times New Roman"/>
              </w:rPr>
            </w:pPr>
            <w:bookmarkStart w:id="17" w:name="_Toc464902853"/>
            <w:bookmarkStart w:id="18" w:name="_Toc465074267"/>
            <w:bookmarkStart w:id="19" w:name="_Toc464905614"/>
            <w:bookmarkStart w:id="20" w:name="_Toc464905558"/>
            <w:bookmarkStart w:id="21" w:name="_Toc464905810"/>
            <w:r>
              <w:rPr>
                <w:rFonts w:ascii="Times New Roman"/>
              </w:rPr>
              <w:t>6、采用国际标准或国外先进标准的，说明采标程度，以及国内外同类标准水平的对比情况</w:t>
            </w:r>
            <w:bookmarkEnd w:id="17"/>
            <w:bookmarkEnd w:id="18"/>
            <w:bookmarkEnd w:id="19"/>
            <w:bookmarkEnd w:id="20"/>
            <w:bookmarkEnd w:id="21"/>
          </w:p>
        </w:tc>
      </w:tr>
      <w:tr w14:paraId="0209A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shd w:val="clear" w:color="auto" w:fill="FFFFFF" w:themeFill="background1"/>
            <w:vAlign w:val="center"/>
          </w:tcPr>
          <w:p w14:paraId="64143260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highlight w:val="none"/>
              </w:rPr>
              <w:t>无</w:t>
            </w:r>
          </w:p>
        </w:tc>
      </w:tr>
      <w:tr w14:paraId="15697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shd w:val="clear" w:color="auto" w:fill="FFFFFF" w:themeFill="background1"/>
            <w:vAlign w:val="center"/>
          </w:tcPr>
          <w:p w14:paraId="398EF6B3">
            <w:pPr>
              <w:pStyle w:val="19"/>
              <w:rPr>
                <w:rFonts w:ascii="Times New Roman"/>
              </w:rPr>
            </w:pPr>
            <w:bookmarkStart w:id="22" w:name="_Toc465074268"/>
            <w:bookmarkStart w:id="23" w:name="_Toc464905615"/>
            <w:bookmarkStart w:id="24" w:name="_Toc464902854"/>
            <w:bookmarkStart w:id="25" w:name="_Toc464905811"/>
            <w:bookmarkStart w:id="26" w:name="_Toc464905559"/>
            <w:r>
              <w:rPr>
                <w:rFonts w:ascii="Times New Roman"/>
              </w:rPr>
              <w:t>7、重大分歧意见的处理经过和依据</w:t>
            </w:r>
            <w:bookmarkEnd w:id="22"/>
            <w:bookmarkEnd w:id="23"/>
            <w:bookmarkEnd w:id="24"/>
            <w:bookmarkEnd w:id="25"/>
            <w:bookmarkEnd w:id="26"/>
          </w:p>
        </w:tc>
      </w:tr>
      <w:tr w14:paraId="21BE6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shd w:val="clear" w:color="auto" w:fill="FFFFFF" w:themeFill="background1"/>
            <w:vAlign w:val="center"/>
          </w:tcPr>
          <w:p w14:paraId="6C0C40C0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  <w:highlight w:val="none"/>
              </w:rPr>
              <w:t xml:space="preserve"> 无</w:t>
            </w:r>
          </w:p>
        </w:tc>
      </w:tr>
      <w:tr w14:paraId="5E75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F811A9B">
            <w:pPr>
              <w:pStyle w:val="19"/>
              <w:rPr>
                <w:rFonts w:ascii="Times New Roman"/>
              </w:rPr>
            </w:pPr>
            <w:bookmarkStart w:id="27" w:name="_Toc464905812"/>
            <w:bookmarkStart w:id="28" w:name="_Toc465074269"/>
            <w:bookmarkStart w:id="29" w:name="_Toc464905616"/>
            <w:bookmarkStart w:id="30" w:name="_Toc464902855"/>
            <w:bookmarkStart w:id="31" w:name="_Toc464905560"/>
            <w:r>
              <w:rPr>
                <w:rFonts w:ascii="Times New Roman"/>
              </w:rPr>
              <w:t>8、贯彻标准的要求和措施建议（包括组织措施、技术措施、过渡办法、实施日期等）</w:t>
            </w:r>
            <w:bookmarkEnd w:id="27"/>
            <w:bookmarkEnd w:id="28"/>
            <w:bookmarkEnd w:id="29"/>
            <w:bookmarkEnd w:id="30"/>
            <w:bookmarkEnd w:id="31"/>
          </w:p>
        </w:tc>
      </w:tr>
      <w:tr w14:paraId="08ECF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2EB787B">
            <w:pPr>
              <w:pStyle w:val="19"/>
              <w:rPr>
                <w:rFonts w:ascii="Times New Roman"/>
              </w:rPr>
            </w:pPr>
            <w:r>
              <w:rPr>
                <w:rFonts w:ascii="Times New Roman"/>
              </w:rPr>
              <w:t>建议该标准发布后即实施，便于</w:t>
            </w:r>
            <w:r>
              <w:rPr>
                <w:rFonts w:hint="eastAsia" w:ascii="Times New Roman"/>
                <w:lang w:eastAsia="zh-CN"/>
              </w:rPr>
              <w:t>管理</w:t>
            </w:r>
            <w:r>
              <w:rPr>
                <w:rFonts w:ascii="Times New Roman"/>
              </w:rPr>
              <w:t>部门、</w:t>
            </w:r>
            <w:r>
              <w:rPr>
                <w:rFonts w:hint="eastAsia" w:ascii="Times New Roman"/>
                <w:lang w:eastAsia="zh-CN"/>
              </w:rPr>
              <w:t>供电企业</w:t>
            </w:r>
            <w:r>
              <w:rPr>
                <w:rFonts w:ascii="Times New Roman"/>
              </w:rPr>
              <w:t>、建设</w:t>
            </w:r>
            <w:r>
              <w:rPr>
                <w:rFonts w:hint="eastAsia" w:ascii="Times New Roman"/>
                <w:lang w:eastAsia="zh-CN"/>
              </w:rPr>
              <w:t>单位</w:t>
            </w:r>
            <w:r>
              <w:rPr>
                <w:rFonts w:ascii="Times New Roman"/>
              </w:rPr>
              <w:t>等参照使用。</w:t>
            </w:r>
          </w:p>
        </w:tc>
      </w:tr>
      <w:tr w14:paraId="795B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4806B85">
            <w:pPr>
              <w:pStyle w:val="19"/>
              <w:rPr>
                <w:rFonts w:ascii="Times New Roman"/>
              </w:rPr>
            </w:pPr>
            <w:bookmarkStart w:id="32" w:name="_Toc464905617"/>
            <w:bookmarkStart w:id="33" w:name="_Toc464902856"/>
            <w:bookmarkStart w:id="34" w:name="_Toc464905813"/>
            <w:bookmarkStart w:id="35" w:name="_Toc464905561"/>
            <w:bookmarkStart w:id="36" w:name="_Toc465074270"/>
            <w:r>
              <w:rPr>
                <w:rFonts w:ascii="Times New Roman"/>
              </w:rPr>
              <w:t>9、废止现行相关标准的建议</w:t>
            </w:r>
            <w:bookmarkEnd w:id="32"/>
            <w:bookmarkEnd w:id="33"/>
            <w:bookmarkEnd w:id="34"/>
            <w:bookmarkEnd w:id="35"/>
            <w:bookmarkEnd w:id="36"/>
          </w:p>
        </w:tc>
      </w:tr>
      <w:tr w14:paraId="6500F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76031F8">
            <w:pPr>
              <w:pStyle w:val="19"/>
              <w:rPr>
                <w:rFonts w:ascii="Times New Roman"/>
                <w:highlight w:val="none"/>
              </w:rPr>
            </w:pPr>
            <w:r>
              <w:rPr>
                <w:rFonts w:ascii="Times New Roman"/>
                <w:highlight w:val="none"/>
              </w:rPr>
              <w:t>无</w:t>
            </w:r>
          </w:p>
        </w:tc>
      </w:tr>
      <w:tr w14:paraId="1000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7C6F2AE">
            <w:pPr>
              <w:pStyle w:val="19"/>
              <w:rPr>
                <w:rFonts w:ascii="Times New Roman"/>
              </w:rPr>
            </w:pPr>
            <w:bookmarkStart w:id="37" w:name="_Toc465074271"/>
            <w:bookmarkStart w:id="38" w:name="_Toc464902857"/>
            <w:bookmarkStart w:id="39" w:name="_Toc464905562"/>
            <w:bookmarkStart w:id="40" w:name="_Toc464905618"/>
            <w:bookmarkStart w:id="41" w:name="_Toc464905814"/>
            <w:r>
              <w:rPr>
                <w:rFonts w:ascii="Times New Roman"/>
              </w:rPr>
              <w:t>10、其它应予说明的事项</w:t>
            </w:r>
            <w:bookmarkEnd w:id="37"/>
            <w:bookmarkEnd w:id="38"/>
            <w:bookmarkEnd w:id="39"/>
            <w:bookmarkEnd w:id="40"/>
            <w:bookmarkEnd w:id="41"/>
          </w:p>
        </w:tc>
      </w:tr>
      <w:tr w14:paraId="1D0C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DB4788D">
            <w:pPr>
              <w:pStyle w:val="19"/>
              <w:rPr>
                <w:rFonts w:ascii="Times New Roman"/>
                <w:highlight w:val="none"/>
              </w:rPr>
            </w:pPr>
            <w:r>
              <w:rPr>
                <w:rFonts w:ascii="Times New Roman"/>
                <w:highlight w:val="none"/>
              </w:rPr>
              <w:t>无</w:t>
            </w:r>
          </w:p>
        </w:tc>
      </w:tr>
    </w:tbl>
    <w:p w14:paraId="2C04A48E">
      <w:pPr>
        <w:pStyle w:val="17"/>
        <w:rPr>
          <w:rFonts w:ascii="Times New Roman"/>
        </w:rPr>
      </w:pPr>
      <w:r>
        <w:rPr>
          <w:rFonts w:ascii="Times New Roman"/>
        </w:rPr>
        <w:t>没有的请填写 “无”。</w:t>
      </w:r>
    </w:p>
    <w:p w14:paraId="199396BD"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2"/>
      <w:suff w:val="nothing"/>
      <w:lvlText w:val="%1.%2　"/>
      <w:lvlJc w:val="left"/>
      <w:pPr>
        <w:ind w:left="127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21"/>
      <w:suff w:val="nothing"/>
      <w:lvlText w:val="%1.%2.%3　"/>
      <w:lvlJc w:val="left"/>
      <w:pPr>
        <w:ind w:left="127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57D3FBC"/>
    <w:multiLevelType w:val="multilevel"/>
    <w:tmpl w:val="657D3FBC"/>
    <w:lvl w:ilvl="0" w:tentative="0">
      <w:start w:val="1"/>
      <w:numFmt w:val="upperLetter"/>
      <w:pStyle w:val="11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3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4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5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pStyle w:val="31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992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0"/>
      <w:suff w:val="nothing"/>
      <w:lvlText w:val="%1%2.%3　"/>
      <w:lvlJc w:val="left"/>
      <w:pPr>
        <w:ind w:left="1701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pStyle w:val="25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6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7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28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DBF04F4"/>
    <w:multiLevelType w:val="multilevel"/>
    <w:tmpl w:val="6DBF04F4"/>
    <w:lvl w:ilvl="0" w:tentative="0">
      <w:start w:val="1"/>
      <w:numFmt w:val="none"/>
      <w:pStyle w:val="17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pStyle w:val="32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NmNlNjgyODcxNjZiNTdlM2ZiNWZhYmYxMTU3ZWQifQ=="/>
  </w:docVars>
  <w:rsids>
    <w:rsidRoot w:val="0046746C"/>
    <w:rsid w:val="00022FFD"/>
    <w:rsid w:val="00035078"/>
    <w:rsid w:val="000A10B7"/>
    <w:rsid w:val="000A3D9F"/>
    <w:rsid w:val="00117ED5"/>
    <w:rsid w:val="00125160"/>
    <w:rsid w:val="001614AF"/>
    <w:rsid w:val="001C33B3"/>
    <w:rsid w:val="001E1735"/>
    <w:rsid w:val="002058F0"/>
    <w:rsid w:val="0020709B"/>
    <w:rsid w:val="0021580B"/>
    <w:rsid w:val="00274954"/>
    <w:rsid w:val="002E03EE"/>
    <w:rsid w:val="00304790"/>
    <w:rsid w:val="003A3DFD"/>
    <w:rsid w:val="003D6DBB"/>
    <w:rsid w:val="003F2949"/>
    <w:rsid w:val="003F5338"/>
    <w:rsid w:val="00413368"/>
    <w:rsid w:val="0046746C"/>
    <w:rsid w:val="00477552"/>
    <w:rsid w:val="00483CB1"/>
    <w:rsid w:val="004A2E7F"/>
    <w:rsid w:val="004B1865"/>
    <w:rsid w:val="005038CE"/>
    <w:rsid w:val="00525457"/>
    <w:rsid w:val="005411DD"/>
    <w:rsid w:val="005709B1"/>
    <w:rsid w:val="00571B60"/>
    <w:rsid w:val="005B15AA"/>
    <w:rsid w:val="005D42E5"/>
    <w:rsid w:val="005F303C"/>
    <w:rsid w:val="005F3BD6"/>
    <w:rsid w:val="0061584B"/>
    <w:rsid w:val="00627DE0"/>
    <w:rsid w:val="006B6AD5"/>
    <w:rsid w:val="006D772F"/>
    <w:rsid w:val="006E586A"/>
    <w:rsid w:val="006F7EA3"/>
    <w:rsid w:val="007212D7"/>
    <w:rsid w:val="00734E75"/>
    <w:rsid w:val="007E3941"/>
    <w:rsid w:val="00827B63"/>
    <w:rsid w:val="00842B6D"/>
    <w:rsid w:val="00846726"/>
    <w:rsid w:val="00850EB5"/>
    <w:rsid w:val="00882B70"/>
    <w:rsid w:val="00887229"/>
    <w:rsid w:val="008A40FE"/>
    <w:rsid w:val="008B00D7"/>
    <w:rsid w:val="008B2D3A"/>
    <w:rsid w:val="008C7C25"/>
    <w:rsid w:val="008D3730"/>
    <w:rsid w:val="008F6279"/>
    <w:rsid w:val="00947147"/>
    <w:rsid w:val="0097103C"/>
    <w:rsid w:val="009903FE"/>
    <w:rsid w:val="00A628A7"/>
    <w:rsid w:val="00A70300"/>
    <w:rsid w:val="00B07E63"/>
    <w:rsid w:val="00B3615B"/>
    <w:rsid w:val="00B4697C"/>
    <w:rsid w:val="00BF2362"/>
    <w:rsid w:val="00BF3DD2"/>
    <w:rsid w:val="00C42FC1"/>
    <w:rsid w:val="00C4514A"/>
    <w:rsid w:val="00CC3327"/>
    <w:rsid w:val="00CE4C96"/>
    <w:rsid w:val="00CE6AF7"/>
    <w:rsid w:val="00DB7C10"/>
    <w:rsid w:val="00DD5C77"/>
    <w:rsid w:val="00E04E61"/>
    <w:rsid w:val="00E50B95"/>
    <w:rsid w:val="00ED3E8F"/>
    <w:rsid w:val="00EE47B6"/>
    <w:rsid w:val="00F65537"/>
    <w:rsid w:val="01CF325E"/>
    <w:rsid w:val="037F540B"/>
    <w:rsid w:val="05805059"/>
    <w:rsid w:val="075F6EB2"/>
    <w:rsid w:val="076766B5"/>
    <w:rsid w:val="0DC95C6B"/>
    <w:rsid w:val="0FB8272C"/>
    <w:rsid w:val="11A43975"/>
    <w:rsid w:val="134144B4"/>
    <w:rsid w:val="16C0577A"/>
    <w:rsid w:val="18ED510D"/>
    <w:rsid w:val="1CF864FE"/>
    <w:rsid w:val="1EE174B9"/>
    <w:rsid w:val="1F224717"/>
    <w:rsid w:val="20C9590D"/>
    <w:rsid w:val="221D2CD0"/>
    <w:rsid w:val="223E448F"/>
    <w:rsid w:val="27C03713"/>
    <w:rsid w:val="2BB30279"/>
    <w:rsid w:val="2CF76C26"/>
    <w:rsid w:val="2F8E4229"/>
    <w:rsid w:val="305807BF"/>
    <w:rsid w:val="335B319C"/>
    <w:rsid w:val="37327796"/>
    <w:rsid w:val="375D0E83"/>
    <w:rsid w:val="3991089E"/>
    <w:rsid w:val="3B4C0E47"/>
    <w:rsid w:val="3C5067EE"/>
    <w:rsid w:val="3C9B1635"/>
    <w:rsid w:val="41196E63"/>
    <w:rsid w:val="46147008"/>
    <w:rsid w:val="4E5E6F2F"/>
    <w:rsid w:val="55D9E69D"/>
    <w:rsid w:val="586A50D5"/>
    <w:rsid w:val="5ACB21E1"/>
    <w:rsid w:val="5B5824C5"/>
    <w:rsid w:val="5F6D3EBF"/>
    <w:rsid w:val="63B3529C"/>
    <w:rsid w:val="63DB48F6"/>
    <w:rsid w:val="649E55F6"/>
    <w:rsid w:val="65D7372A"/>
    <w:rsid w:val="680F2C70"/>
    <w:rsid w:val="68A33C3C"/>
    <w:rsid w:val="6D5502EE"/>
    <w:rsid w:val="6E5920CB"/>
    <w:rsid w:val="74024720"/>
    <w:rsid w:val="74277859"/>
    <w:rsid w:val="77795984"/>
    <w:rsid w:val="7D967E41"/>
    <w:rsid w:val="7EFF9AC5"/>
    <w:rsid w:val="FB6F23DC"/>
    <w:rsid w:val="FFFC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黑体" w:cs="Times New Roman"/>
      <w:b/>
      <w:bCs/>
      <w:kern w:val="44"/>
      <w:sz w:val="32"/>
      <w:szCs w:val="4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widowControl/>
      <w:spacing w:line="400" w:lineRule="exact"/>
      <w:ind w:firstLine="420" w:firstLineChars="100"/>
      <w:jc w:val="left"/>
    </w:pPr>
    <w:rPr>
      <w:kern w:val="0"/>
      <w:sz w:val="22"/>
      <w:szCs w:val="20"/>
    </w:rPr>
  </w:style>
  <w:style w:type="table" w:styleId="8">
    <w:name w:val="Table Grid"/>
    <w:basedOn w:val="7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0">
    <w:name w:val="标准文件_段"/>
    <w:link w:val="1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标准文件_附录标识"/>
    <w:next w:val="10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附录一级条标题"/>
    <w:next w:val="10"/>
    <w:qFormat/>
    <w:uiPriority w:val="0"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">
    <w:name w:val="标准文件_附录二级条标题"/>
    <w:basedOn w:val="12"/>
    <w:next w:val="10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4">
    <w:name w:val="标准文件_附录三级条标题"/>
    <w:next w:val="10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5">
    <w:name w:val="标准文件_附录四级条标题"/>
    <w:next w:val="10"/>
    <w:qFormat/>
    <w:uiPriority w:val="0"/>
    <w:pPr>
      <w:widowControl w:val="0"/>
      <w:numPr>
        <w:ilvl w:val="4"/>
        <w:numId w:val="1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">
    <w:name w:val="标准文件_附录五级条标题"/>
    <w:next w:val="10"/>
    <w:qFormat/>
    <w:uiPriority w:val="0"/>
    <w:pPr>
      <w:widowControl w:val="0"/>
      <w:numPr>
        <w:ilvl w:val="5"/>
        <w:numId w:val="1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7">
    <w:name w:val="标准文件_注："/>
    <w:next w:val="10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18">
    <w:name w:val="标准文件_段 Char"/>
    <w:link w:val="1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9">
    <w:name w:val="段"/>
    <w:link w:val="20"/>
    <w:qFormat/>
    <w:uiPriority w:val="0"/>
    <w:pPr>
      <w:tabs>
        <w:tab w:val="center" w:pos="4201"/>
        <w:tab w:val="right" w:leader="dot" w:pos="9298"/>
      </w:tabs>
      <w:autoSpaceDE w:val="0"/>
      <w:autoSpaceDN w:val="0"/>
      <w:adjustRightInd w:val="0"/>
      <w:spacing w:line="360" w:lineRule="auto"/>
      <w:ind w:firstLine="420" w:firstLineChars="200"/>
      <w:contextualSpacing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段 Char"/>
    <w:basedOn w:val="9"/>
    <w:link w:val="19"/>
    <w:qFormat/>
    <w:uiPriority w:val="0"/>
    <w:rPr>
      <w:rFonts w:ascii="宋体"/>
      <w:sz w:val="21"/>
    </w:rPr>
  </w:style>
  <w:style w:type="paragraph" w:customStyle="1" w:styleId="21">
    <w:name w:val="二级条标题"/>
    <w:basedOn w:val="22"/>
    <w:next w:val="19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2">
    <w:name w:val="一级条标题"/>
    <w:next w:val="19"/>
    <w:qFormat/>
    <w:uiPriority w:val="0"/>
    <w:pPr>
      <w:numPr>
        <w:ilvl w:val="1"/>
        <w:numId w:val="3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23">
    <w:name w:val="页眉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4">
    <w:name w:val="页脚 字符"/>
    <w:basedOn w:val="9"/>
    <w:link w:val="4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25">
    <w:name w:val="标准文件_二级条标题"/>
    <w:next w:val="10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标准文件_三级条标题"/>
    <w:basedOn w:val="25"/>
    <w:next w:val="10"/>
    <w:qFormat/>
    <w:uiPriority w:val="0"/>
    <w:pPr>
      <w:widowControl/>
      <w:numPr>
        <w:ilvl w:val="4"/>
      </w:numPr>
      <w:outlineLvl w:val="3"/>
    </w:pPr>
  </w:style>
  <w:style w:type="paragraph" w:customStyle="1" w:styleId="27">
    <w:name w:val="标准文件_四级条标题"/>
    <w:next w:val="10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8">
    <w:name w:val="标准文件_五级条标题"/>
    <w:next w:val="10"/>
    <w:qFormat/>
    <w:uiPriority w:val="0"/>
    <w:pPr>
      <w:widowControl w:val="0"/>
      <w:numPr>
        <w:ilvl w:val="6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9">
    <w:name w:val="标准文件_章标题"/>
    <w:next w:val="10"/>
    <w:qFormat/>
    <w:uiPriority w:val="0"/>
    <w:pPr>
      <w:numPr>
        <w:ilvl w:val="1"/>
        <w:numId w:val="4"/>
      </w:numPr>
      <w:spacing w:before="100" w:beforeLines="100" w:after="100" w:afterLines="100"/>
      <w:ind w:left="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">
    <w:name w:val="标准文件_一级条标题"/>
    <w:basedOn w:val="29"/>
    <w:next w:val="10"/>
    <w:qFormat/>
    <w:uiPriority w:val="0"/>
    <w:pPr>
      <w:numPr>
        <w:ilvl w:val="2"/>
      </w:numPr>
      <w:spacing w:before="50" w:beforeLines="50" w:after="50" w:afterLines="50"/>
      <w:ind w:left="0"/>
      <w:outlineLvl w:val="1"/>
    </w:pPr>
  </w:style>
  <w:style w:type="paragraph" w:customStyle="1" w:styleId="31">
    <w:name w:val="前言标题"/>
    <w:next w:val="1"/>
    <w:qFormat/>
    <w:uiPriority w:val="0"/>
    <w:pPr>
      <w:numPr>
        <w:ilvl w:val="0"/>
        <w:numId w:val="4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2">
    <w:name w:val="标准文件_二级无标题"/>
    <w:basedOn w:val="25"/>
    <w:qFormat/>
    <w:uiPriority w:val="0"/>
    <w:pPr>
      <w:numPr>
        <w:numId w:val="2"/>
      </w:numPr>
      <w:tabs>
        <w:tab w:val="left" w:pos="1140"/>
      </w:tabs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3171</Words>
  <Characters>3579</Characters>
  <Lines>23</Lines>
  <Paragraphs>6</Paragraphs>
  <TotalTime>5</TotalTime>
  <ScaleCrop>false</ScaleCrop>
  <LinksUpToDate>false</LinksUpToDate>
  <CharactersWithSpaces>3655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2022-06-30T11:28:00Z</dcterms:created>
  <dc:creator>ldongaust@163.com</dc:creator>
  <cp:lastModifiedBy>董磊</cp:lastModifiedBy>
  <dcterms:modified xsi:type="dcterms:W3CDTF">2025-01-16T06:51:16Z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33C8245D779C427DA291703DAD0BD446</vt:lpwstr>
  </property>
  <property fmtid="{D5CDD505-2E9C-101B-9397-08002B2CF9AE}" pid="4" name="KSOTemplateDocerSaveRecord">
    <vt:lpwstr>eyJoZGlkIjoiN2QyNzRlODk4ZDNjZjNlYjI1MGUxMWEyM2M1Y2I2ZjYiLCJ1c2VySWQiOiI3Nzk2NjAxNDYifQ==</vt:lpwstr>
  </property>
</Properties>
</file>