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DF3A">
      <w:pPr>
        <w:widowControl/>
        <w:autoSpaceDE w:val="0"/>
        <w:autoSpaceDN w:val="0"/>
        <w:spacing w:line="560" w:lineRule="exact"/>
        <w:jc w:val="center"/>
        <w:rPr>
          <w:rFonts w:ascii="华文中宋" w:hAnsi="华文中宋" w:eastAsia="华文中宋"/>
          <w:sz w:val="36"/>
          <w:szCs w:val="36"/>
        </w:rPr>
      </w:pPr>
      <w:r>
        <w:rPr>
          <w:rFonts w:hint="eastAsia" w:ascii="华文中宋" w:hAnsi="华文中宋" w:eastAsia="华文中宋"/>
          <w:sz w:val="36"/>
          <w:szCs w:val="36"/>
        </w:rPr>
        <w:t>安徽省地方标准编制说明</w:t>
      </w:r>
    </w:p>
    <w:tbl>
      <w:tblPr>
        <w:tblStyle w:val="11"/>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900"/>
        <w:gridCol w:w="426"/>
        <w:gridCol w:w="3071"/>
        <w:gridCol w:w="1417"/>
        <w:gridCol w:w="1744"/>
        <w:gridCol w:w="1442"/>
      </w:tblGrid>
      <w:tr w14:paraId="4CC7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7" w:type="dxa"/>
            <w:gridSpan w:val="3"/>
            <w:tcBorders>
              <w:top w:val="single" w:color="auto" w:sz="4" w:space="0"/>
              <w:left w:val="single" w:color="auto" w:sz="4" w:space="0"/>
              <w:bottom w:val="single" w:color="auto" w:sz="4" w:space="0"/>
              <w:right w:val="single" w:color="auto" w:sz="4" w:space="0"/>
            </w:tcBorders>
            <w:vAlign w:val="center"/>
          </w:tcPr>
          <w:p w14:paraId="381E8D76">
            <w:pPr>
              <w:widowControl/>
              <w:autoSpaceDE w:val="0"/>
              <w:autoSpaceDN w:val="0"/>
              <w:adjustRightInd w:val="0"/>
              <w:spacing w:line="560" w:lineRule="exact"/>
              <w:ind w:firstLine="420" w:firstLineChars="200"/>
              <w:contextualSpacing/>
              <w:jc w:val="center"/>
              <w:rPr>
                <w:rFonts w:ascii="宋体" w:hAnsi="宋体"/>
                <w:kern w:val="0"/>
              </w:rPr>
            </w:pPr>
            <w:r>
              <w:rPr>
                <w:rFonts w:hint="eastAsia" w:ascii="宋体" w:hAnsi="宋体"/>
                <w:kern w:val="0"/>
              </w:rPr>
              <w:t>标准名称</w:t>
            </w:r>
          </w:p>
        </w:tc>
        <w:tc>
          <w:tcPr>
            <w:tcW w:w="7674" w:type="dxa"/>
            <w:gridSpan w:val="4"/>
            <w:tcBorders>
              <w:top w:val="single" w:color="auto" w:sz="4" w:space="0"/>
              <w:left w:val="nil"/>
              <w:bottom w:val="single" w:color="auto" w:sz="4" w:space="0"/>
              <w:right w:val="single" w:color="auto" w:sz="4" w:space="0"/>
            </w:tcBorders>
            <w:vAlign w:val="center"/>
          </w:tcPr>
          <w:p w14:paraId="0725B619">
            <w:pPr>
              <w:widowControl/>
              <w:autoSpaceDE w:val="0"/>
              <w:autoSpaceDN w:val="0"/>
              <w:adjustRightInd w:val="0"/>
              <w:spacing w:line="560" w:lineRule="exact"/>
              <w:contextualSpacing/>
              <w:rPr>
                <w:rFonts w:ascii="宋体" w:hAnsi="宋体"/>
                <w:kern w:val="0"/>
              </w:rPr>
            </w:pPr>
            <w:r>
              <w:rPr>
                <w:rFonts w:hint="eastAsia" w:ascii="宋体" w:hAnsi="宋体"/>
                <w:kern w:val="0"/>
              </w:rPr>
              <w:t>成人体外膜肺氧合患者院际转院服务规范</w:t>
            </w:r>
          </w:p>
        </w:tc>
      </w:tr>
      <w:tr w14:paraId="7DAC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7" w:type="dxa"/>
            <w:gridSpan w:val="3"/>
            <w:tcBorders>
              <w:top w:val="single" w:color="auto" w:sz="4" w:space="0"/>
              <w:left w:val="single" w:color="auto" w:sz="4" w:space="0"/>
              <w:bottom w:val="single" w:color="auto" w:sz="4" w:space="0"/>
              <w:right w:val="single" w:color="auto" w:sz="4" w:space="0"/>
            </w:tcBorders>
            <w:vAlign w:val="center"/>
          </w:tcPr>
          <w:p w14:paraId="1CE527F0">
            <w:pPr>
              <w:widowControl/>
              <w:autoSpaceDE w:val="0"/>
              <w:autoSpaceDN w:val="0"/>
              <w:adjustRightInd w:val="0"/>
              <w:spacing w:line="560" w:lineRule="exact"/>
              <w:ind w:left="0" w:leftChars="0" w:right="0" w:rightChars="0" w:firstLine="0" w:firstLineChars="0"/>
              <w:contextualSpacing/>
              <w:jc w:val="center"/>
              <w:rPr>
                <w:rFonts w:ascii="宋体" w:hAnsi="宋体"/>
                <w:kern w:val="0"/>
              </w:rPr>
            </w:pPr>
            <w:r>
              <w:rPr>
                <w:rFonts w:hint="eastAsia" w:ascii="宋体" w:hAnsi="宋体"/>
                <w:kern w:val="0"/>
              </w:rPr>
              <w:t>任务来源</w:t>
            </w:r>
          </w:p>
          <w:p w14:paraId="1E39DCB5">
            <w:pPr>
              <w:widowControl/>
              <w:autoSpaceDE w:val="0"/>
              <w:autoSpaceDN w:val="0"/>
              <w:adjustRightInd w:val="0"/>
              <w:spacing w:line="560" w:lineRule="exact"/>
              <w:ind w:left="0" w:leftChars="0" w:right="0" w:rightChars="0" w:firstLine="0" w:firstLineChars="0"/>
              <w:contextualSpacing/>
              <w:jc w:val="center"/>
              <w:rPr>
                <w:rFonts w:ascii="宋体" w:hAnsi="宋体"/>
                <w:kern w:val="0"/>
              </w:rPr>
            </w:pPr>
            <w:r>
              <w:rPr>
                <w:rFonts w:hint="eastAsia" w:ascii="宋体" w:hAnsi="宋体"/>
                <w:kern w:val="0"/>
              </w:rPr>
              <w:t>（项目计划号）</w:t>
            </w:r>
          </w:p>
        </w:tc>
        <w:tc>
          <w:tcPr>
            <w:tcW w:w="7674" w:type="dxa"/>
            <w:gridSpan w:val="4"/>
            <w:tcBorders>
              <w:top w:val="single" w:color="auto" w:sz="4" w:space="0"/>
              <w:left w:val="nil"/>
              <w:bottom w:val="single" w:color="auto" w:sz="4" w:space="0"/>
              <w:right w:val="single" w:color="auto" w:sz="4" w:space="0"/>
            </w:tcBorders>
            <w:vAlign w:val="center"/>
          </w:tcPr>
          <w:p w14:paraId="2CD4E046">
            <w:pPr>
              <w:pStyle w:val="5"/>
              <w:spacing w:line="240" w:lineRule="auto"/>
              <w:rPr>
                <w:rFonts w:ascii="宋体" w:hAnsi="宋体"/>
                <w:b w:val="0"/>
                <w:bCs w:val="0"/>
                <w:kern w:val="0"/>
                <w:sz w:val="21"/>
                <w:szCs w:val="21"/>
              </w:rPr>
            </w:pPr>
            <w:r>
              <w:rPr>
                <w:rFonts w:hint="eastAsia" w:ascii="宋体" w:hAnsi="宋体"/>
                <w:b w:val="0"/>
                <w:bCs w:val="0"/>
                <w:kern w:val="0"/>
                <w:sz w:val="21"/>
                <w:szCs w:val="21"/>
              </w:rPr>
              <w:t>《安徽省市场监督管理局关于下达2023年第二批安徽省地方标准制修订计划的通知》（皖市监函〔2023〕478号）文批准立项，计划编号：2023-2-140</w:t>
            </w:r>
          </w:p>
        </w:tc>
      </w:tr>
      <w:tr w14:paraId="4AED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7" w:type="dxa"/>
            <w:gridSpan w:val="3"/>
            <w:tcBorders>
              <w:top w:val="single" w:color="auto" w:sz="4" w:space="0"/>
              <w:left w:val="single" w:color="auto" w:sz="4" w:space="0"/>
              <w:bottom w:val="single" w:color="auto" w:sz="4" w:space="0"/>
              <w:right w:val="single" w:color="auto" w:sz="4" w:space="0"/>
            </w:tcBorders>
            <w:vAlign w:val="center"/>
          </w:tcPr>
          <w:p w14:paraId="655EAAFB">
            <w:pPr>
              <w:widowControl/>
              <w:autoSpaceDE w:val="0"/>
              <w:autoSpaceDN w:val="0"/>
              <w:adjustRightInd w:val="0"/>
              <w:spacing w:line="560" w:lineRule="exact"/>
              <w:ind w:left="0" w:leftChars="0" w:right="0" w:rightChars="0" w:firstLine="0" w:firstLineChars="0"/>
              <w:contextualSpacing/>
              <w:jc w:val="center"/>
              <w:rPr>
                <w:rFonts w:ascii="宋体" w:hAnsi="宋体"/>
                <w:kern w:val="0"/>
              </w:rPr>
            </w:pPr>
            <w:r>
              <w:rPr>
                <w:rFonts w:hint="eastAsia" w:ascii="宋体" w:hAnsi="宋体"/>
                <w:kern w:val="0"/>
              </w:rPr>
              <w:t>负责起草单位</w:t>
            </w:r>
          </w:p>
        </w:tc>
        <w:tc>
          <w:tcPr>
            <w:tcW w:w="7674" w:type="dxa"/>
            <w:gridSpan w:val="4"/>
            <w:tcBorders>
              <w:top w:val="single" w:color="auto" w:sz="4" w:space="0"/>
              <w:left w:val="nil"/>
              <w:bottom w:val="single" w:color="auto" w:sz="4" w:space="0"/>
              <w:right w:val="single" w:color="auto" w:sz="4" w:space="0"/>
            </w:tcBorders>
            <w:vAlign w:val="center"/>
          </w:tcPr>
          <w:p w14:paraId="7BD23952">
            <w:pPr>
              <w:widowControl/>
              <w:autoSpaceDE w:val="0"/>
              <w:autoSpaceDN w:val="0"/>
              <w:adjustRightInd w:val="0"/>
              <w:spacing w:line="560" w:lineRule="exact"/>
              <w:contextualSpacing/>
              <w:jc w:val="both"/>
              <w:rPr>
                <w:rFonts w:ascii="宋体" w:hAnsi="宋体"/>
                <w:kern w:val="0"/>
              </w:rPr>
            </w:pPr>
            <w:r>
              <w:rPr>
                <w:rFonts w:hint="eastAsia" w:ascii="宋体" w:hAnsi="宋体"/>
                <w:kern w:val="0"/>
              </w:rPr>
              <w:t>安徽医科大学第一附属医院</w:t>
            </w:r>
          </w:p>
        </w:tc>
      </w:tr>
      <w:tr w14:paraId="76B6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7" w:type="dxa"/>
            <w:gridSpan w:val="3"/>
            <w:tcBorders>
              <w:top w:val="single" w:color="auto" w:sz="4" w:space="0"/>
              <w:left w:val="single" w:color="auto" w:sz="4" w:space="0"/>
              <w:bottom w:val="single" w:color="auto" w:sz="4" w:space="0"/>
              <w:right w:val="single" w:color="auto" w:sz="4" w:space="0"/>
            </w:tcBorders>
            <w:vAlign w:val="center"/>
          </w:tcPr>
          <w:p w14:paraId="2490684D">
            <w:pPr>
              <w:widowControl/>
              <w:autoSpaceDE w:val="0"/>
              <w:autoSpaceDN w:val="0"/>
              <w:adjustRightInd w:val="0"/>
              <w:spacing w:line="560" w:lineRule="exact"/>
              <w:ind w:left="0" w:leftChars="0" w:right="0" w:rightChars="0" w:firstLine="0" w:firstLineChars="0"/>
              <w:contextualSpacing/>
              <w:jc w:val="center"/>
              <w:rPr>
                <w:rFonts w:ascii="宋体" w:hAnsi="宋体"/>
                <w:kern w:val="0"/>
              </w:rPr>
            </w:pPr>
            <w:r>
              <w:rPr>
                <w:rFonts w:hint="eastAsia" w:ascii="宋体" w:hAnsi="宋体"/>
                <w:kern w:val="0"/>
              </w:rPr>
              <w:t>单位地址</w:t>
            </w:r>
          </w:p>
        </w:tc>
        <w:tc>
          <w:tcPr>
            <w:tcW w:w="7674" w:type="dxa"/>
            <w:gridSpan w:val="4"/>
            <w:tcBorders>
              <w:top w:val="single" w:color="auto" w:sz="4" w:space="0"/>
              <w:left w:val="nil"/>
              <w:bottom w:val="single" w:color="auto" w:sz="4" w:space="0"/>
              <w:right w:val="single" w:color="auto" w:sz="4" w:space="0"/>
            </w:tcBorders>
            <w:vAlign w:val="center"/>
          </w:tcPr>
          <w:p w14:paraId="52FE0945">
            <w:pPr>
              <w:widowControl/>
              <w:autoSpaceDE w:val="0"/>
              <w:autoSpaceDN w:val="0"/>
              <w:adjustRightInd w:val="0"/>
              <w:spacing w:line="560" w:lineRule="exact"/>
              <w:contextualSpacing/>
              <w:rPr>
                <w:rFonts w:ascii="宋体" w:hAnsi="宋体"/>
                <w:kern w:val="0"/>
              </w:rPr>
            </w:pPr>
            <w:r>
              <w:rPr>
                <w:rFonts w:hint="eastAsia" w:ascii="宋体" w:hAnsi="宋体"/>
                <w:kern w:val="0"/>
              </w:rPr>
              <w:t>安徽省合肥市蜀山区绩溪路218号</w:t>
            </w:r>
          </w:p>
        </w:tc>
      </w:tr>
      <w:tr w14:paraId="17D2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7" w:type="dxa"/>
            <w:gridSpan w:val="3"/>
            <w:tcBorders>
              <w:top w:val="single" w:color="auto" w:sz="4" w:space="0"/>
              <w:left w:val="single" w:color="auto" w:sz="4" w:space="0"/>
              <w:bottom w:val="single" w:color="auto" w:sz="4" w:space="0"/>
              <w:right w:val="single" w:color="auto" w:sz="4" w:space="0"/>
            </w:tcBorders>
            <w:vAlign w:val="center"/>
          </w:tcPr>
          <w:p w14:paraId="5120D397">
            <w:pPr>
              <w:widowControl/>
              <w:autoSpaceDE w:val="0"/>
              <w:autoSpaceDN w:val="0"/>
              <w:adjustRightInd w:val="0"/>
              <w:spacing w:line="560" w:lineRule="exact"/>
              <w:ind w:left="0" w:leftChars="0" w:right="0" w:rightChars="0" w:firstLine="0" w:firstLineChars="0"/>
              <w:contextualSpacing/>
              <w:jc w:val="center"/>
              <w:rPr>
                <w:rFonts w:ascii="宋体" w:hAnsi="宋体"/>
                <w:kern w:val="0"/>
              </w:rPr>
            </w:pPr>
            <w:r>
              <w:rPr>
                <w:rFonts w:hint="eastAsia" w:ascii="宋体" w:hAnsi="宋体"/>
                <w:kern w:val="0"/>
              </w:rPr>
              <w:t>参与起草单位</w:t>
            </w:r>
          </w:p>
        </w:tc>
        <w:tc>
          <w:tcPr>
            <w:tcW w:w="7674" w:type="dxa"/>
            <w:gridSpan w:val="4"/>
            <w:tcBorders>
              <w:top w:val="single" w:color="auto" w:sz="4" w:space="0"/>
              <w:left w:val="nil"/>
              <w:bottom w:val="single" w:color="auto" w:sz="4" w:space="0"/>
              <w:right w:val="single" w:color="auto" w:sz="4" w:space="0"/>
            </w:tcBorders>
            <w:vAlign w:val="center"/>
          </w:tcPr>
          <w:p w14:paraId="3F225555">
            <w:pPr>
              <w:pStyle w:val="18"/>
              <w:ind w:left="0" w:leftChars="0" w:right="0" w:rightChars="0" w:firstLine="0" w:firstLineChars="0"/>
              <w:jc w:val="both"/>
              <w:rPr>
                <w:rFonts w:ascii="宋体" w:hAnsi="宋体"/>
                <w:kern w:val="0"/>
              </w:rPr>
            </w:pPr>
            <w:r>
              <w:rPr>
                <w:rFonts w:hint="eastAsia" w:ascii="宋体" w:hAnsi="宋体" w:eastAsia="宋体" w:cs="Times New Roman"/>
                <w:kern w:val="0"/>
                <w:sz w:val="21"/>
                <w:szCs w:val="21"/>
                <w:lang w:val="en-US" w:eastAsia="zh-CN" w:bidi="ar-SA"/>
              </w:rPr>
              <w:t>皖南医学院附属第一附属医院（弋矶山医院）、宿州市立医院……</w:t>
            </w:r>
          </w:p>
        </w:tc>
      </w:tr>
      <w:tr w14:paraId="28F6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1210C8DA">
            <w:pPr>
              <w:widowControl/>
              <w:autoSpaceDE w:val="0"/>
              <w:autoSpaceDN w:val="0"/>
              <w:adjustRightInd w:val="0"/>
              <w:spacing w:line="560" w:lineRule="exact"/>
              <w:contextualSpacing/>
              <w:jc w:val="center"/>
              <w:rPr>
                <w:rFonts w:ascii="宋体" w:hAnsi="宋体"/>
                <w:b/>
                <w:bCs/>
                <w:color w:val="000000" w:themeColor="text1"/>
                <w:kern w:val="0"/>
                <w14:textFill>
                  <w14:solidFill>
                    <w14:schemeClr w14:val="tx1"/>
                  </w14:solidFill>
                </w14:textFill>
              </w:rPr>
            </w:pPr>
            <w:r>
              <w:rPr>
                <w:rFonts w:hint="eastAsia" w:ascii="宋体" w:hAnsi="宋体"/>
                <w:b/>
                <w:bCs/>
                <w:color w:val="000000" w:themeColor="text1"/>
                <w:kern w:val="0"/>
                <w14:textFill>
                  <w14:solidFill>
                    <w14:schemeClr w14:val="tx1"/>
                  </w14:solidFill>
                </w14:textFill>
              </w:rPr>
              <w:t>标准起草人</w:t>
            </w:r>
          </w:p>
        </w:tc>
      </w:tr>
      <w:tr w14:paraId="509B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01A163B4">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序号</w:t>
            </w:r>
          </w:p>
        </w:tc>
        <w:tc>
          <w:tcPr>
            <w:tcW w:w="900" w:type="dxa"/>
            <w:tcBorders>
              <w:top w:val="single" w:color="auto" w:sz="4" w:space="0"/>
              <w:left w:val="nil"/>
              <w:bottom w:val="single" w:color="auto" w:sz="4" w:space="0"/>
              <w:right w:val="single" w:color="auto" w:sz="4" w:space="0"/>
            </w:tcBorders>
            <w:vAlign w:val="center"/>
          </w:tcPr>
          <w:p w14:paraId="277AA1D8">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姓名</w:t>
            </w:r>
          </w:p>
        </w:tc>
        <w:tc>
          <w:tcPr>
            <w:tcW w:w="3497" w:type="dxa"/>
            <w:gridSpan w:val="2"/>
            <w:tcBorders>
              <w:top w:val="single" w:color="auto" w:sz="4" w:space="0"/>
              <w:left w:val="nil"/>
              <w:bottom w:val="single" w:color="auto" w:sz="4" w:space="0"/>
              <w:right w:val="single" w:color="auto" w:sz="4" w:space="0"/>
            </w:tcBorders>
            <w:vAlign w:val="center"/>
          </w:tcPr>
          <w:p w14:paraId="269FB0D1">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单位</w:t>
            </w:r>
          </w:p>
        </w:tc>
        <w:tc>
          <w:tcPr>
            <w:tcW w:w="1417" w:type="dxa"/>
            <w:tcBorders>
              <w:top w:val="single" w:color="auto" w:sz="4" w:space="0"/>
              <w:left w:val="nil"/>
              <w:bottom w:val="single" w:color="auto" w:sz="4" w:space="0"/>
              <w:right w:val="single" w:color="auto" w:sz="4" w:space="0"/>
            </w:tcBorders>
            <w:vAlign w:val="center"/>
          </w:tcPr>
          <w:p w14:paraId="574EFCA2">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职务</w:t>
            </w:r>
          </w:p>
        </w:tc>
        <w:tc>
          <w:tcPr>
            <w:tcW w:w="1744" w:type="dxa"/>
            <w:tcBorders>
              <w:top w:val="single" w:color="auto" w:sz="4" w:space="0"/>
              <w:left w:val="nil"/>
              <w:bottom w:val="single" w:color="auto" w:sz="4" w:space="0"/>
              <w:right w:val="single" w:color="auto" w:sz="4" w:space="0"/>
            </w:tcBorders>
            <w:vAlign w:val="center"/>
          </w:tcPr>
          <w:p w14:paraId="0C3EA59D">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职称</w:t>
            </w:r>
          </w:p>
        </w:tc>
        <w:tc>
          <w:tcPr>
            <w:tcW w:w="1442" w:type="dxa"/>
            <w:tcBorders>
              <w:top w:val="single" w:color="auto" w:sz="4" w:space="0"/>
              <w:left w:val="nil"/>
              <w:bottom w:val="single" w:color="auto" w:sz="4" w:space="0"/>
              <w:right w:val="single" w:color="auto" w:sz="4" w:space="0"/>
            </w:tcBorders>
            <w:vAlign w:val="center"/>
          </w:tcPr>
          <w:p w14:paraId="5A64303B">
            <w:pPr>
              <w:widowControl/>
              <w:autoSpaceDE w:val="0"/>
              <w:autoSpaceDN w:val="0"/>
              <w:adjustRightInd w:val="0"/>
              <w:spacing w:line="560" w:lineRule="exact"/>
              <w:contextualSpacing/>
              <w:jc w:val="center"/>
              <w:rPr>
                <w:rFonts w:ascii="宋体" w:hAnsi="宋体"/>
                <w:kern w:val="0"/>
              </w:rPr>
            </w:pPr>
            <w:r>
              <w:rPr>
                <w:rFonts w:hint="eastAsia" w:ascii="宋体" w:hAnsi="宋体"/>
                <w:kern w:val="0"/>
              </w:rPr>
              <w:t>电话</w:t>
            </w:r>
          </w:p>
        </w:tc>
      </w:tr>
      <w:tr w14:paraId="4EC9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6BAB7CD7">
            <w:pPr>
              <w:widowControl/>
              <w:autoSpaceDE w:val="0"/>
              <w:autoSpaceDN w:val="0"/>
              <w:adjustRightInd w:val="0"/>
              <w:spacing w:line="560" w:lineRule="exact"/>
              <w:contextualSpacing/>
              <w:rPr>
                <w:rFonts w:ascii="宋体" w:hAnsi="宋体"/>
                <w:kern w:val="0"/>
              </w:rPr>
            </w:pPr>
            <w:r>
              <w:rPr>
                <w:rFonts w:hint="eastAsia" w:ascii="宋体" w:hAnsi="宋体"/>
                <w:kern w:val="0"/>
              </w:rPr>
              <w:t>1</w:t>
            </w:r>
          </w:p>
        </w:tc>
        <w:tc>
          <w:tcPr>
            <w:tcW w:w="900" w:type="dxa"/>
            <w:tcBorders>
              <w:top w:val="single" w:color="auto" w:sz="4" w:space="0"/>
              <w:left w:val="nil"/>
              <w:bottom w:val="single" w:color="auto" w:sz="4" w:space="0"/>
              <w:right w:val="single" w:color="auto" w:sz="4" w:space="0"/>
            </w:tcBorders>
            <w:vAlign w:val="center"/>
          </w:tcPr>
          <w:p w14:paraId="2CE129EF">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551289F8">
            <w:pPr>
              <w:widowControl/>
              <w:autoSpaceDE w:val="0"/>
              <w:autoSpaceDN w:val="0"/>
              <w:adjustRightInd w:val="0"/>
              <w:spacing w:line="560" w:lineRule="exact"/>
              <w:contextualSpacing/>
            </w:pPr>
          </w:p>
        </w:tc>
        <w:tc>
          <w:tcPr>
            <w:tcW w:w="1417" w:type="dxa"/>
            <w:tcBorders>
              <w:top w:val="single" w:color="auto" w:sz="4" w:space="0"/>
              <w:left w:val="nil"/>
              <w:bottom w:val="single" w:color="auto" w:sz="4" w:space="0"/>
              <w:right w:val="single" w:color="auto" w:sz="4" w:space="0"/>
            </w:tcBorders>
            <w:vAlign w:val="center"/>
          </w:tcPr>
          <w:p w14:paraId="4343C842">
            <w:pPr>
              <w:widowControl/>
              <w:autoSpaceDE w:val="0"/>
              <w:autoSpaceDN w:val="0"/>
              <w:adjustRightInd w:val="0"/>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vAlign w:val="center"/>
          </w:tcPr>
          <w:p w14:paraId="1A666BAA">
            <w:pPr>
              <w:widowControl/>
              <w:autoSpaceDE w:val="0"/>
              <w:autoSpaceDN w:val="0"/>
              <w:adjustRightInd w:val="0"/>
              <w:spacing w:line="560" w:lineRule="exact"/>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vAlign w:val="center"/>
          </w:tcPr>
          <w:p w14:paraId="663D0A82">
            <w:pPr>
              <w:widowControl/>
              <w:autoSpaceDE w:val="0"/>
              <w:autoSpaceDN w:val="0"/>
              <w:adjustRightInd w:val="0"/>
              <w:spacing w:line="560" w:lineRule="exact"/>
              <w:contextualSpacing/>
              <w:rPr>
                <w:rFonts w:ascii="宋体" w:hAnsi="宋体"/>
                <w:kern w:val="0"/>
              </w:rPr>
            </w:pPr>
          </w:p>
        </w:tc>
      </w:tr>
      <w:tr w14:paraId="2662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1A7B3E51">
            <w:pPr>
              <w:widowControl/>
              <w:autoSpaceDE w:val="0"/>
              <w:autoSpaceDN w:val="0"/>
              <w:adjustRightInd w:val="0"/>
              <w:spacing w:line="560" w:lineRule="exact"/>
              <w:contextualSpacing/>
              <w:rPr>
                <w:rFonts w:ascii="宋体" w:hAnsi="宋体"/>
                <w:kern w:val="0"/>
              </w:rPr>
            </w:pPr>
            <w:r>
              <w:rPr>
                <w:rFonts w:ascii="宋体" w:hAnsi="宋体"/>
                <w:kern w:val="0"/>
              </w:rPr>
              <w:t>2</w:t>
            </w:r>
          </w:p>
        </w:tc>
        <w:tc>
          <w:tcPr>
            <w:tcW w:w="900" w:type="dxa"/>
            <w:tcBorders>
              <w:top w:val="single" w:color="auto" w:sz="4" w:space="0"/>
              <w:left w:val="nil"/>
              <w:bottom w:val="single" w:color="auto" w:sz="4" w:space="0"/>
              <w:right w:val="single" w:color="auto" w:sz="4" w:space="0"/>
            </w:tcBorders>
            <w:vAlign w:val="center"/>
          </w:tcPr>
          <w:p w14:paraId="05125E2E">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2CB3B965">
            <w:pPr>
              <w:widowControl/>
              <w:autoSpaceDE w:val="0"/>
              <w:autoSpaceDN w:val="0"/>
              <w:adjustRightInd w:val="0"/>
              <w:spacing w:line="560" w:lineRule="exact"/>
              <w:contextualSpacing/>
            </w:pPr>
          </w:p>
        </w:tc>
        <w:tc>
          <w:tcPr>
            <w:tcW w:w="1417" w:type="dxa"/>
            <w:tcBorders>
              <w:top w:val="single" w:color="auto" w:sz="4" w:space="0"/>
              <w:left w:val="nil"/>
              <w:bottom w:val="single" w:color="auto" w:sz="4" w:space="0"/>
              <w:right w:val="single" w:color="auto" w:sz="4" w:space="0"/>
            </w:tcBorders>
            <w:vAlign w:val="center"/>
          </w:tcPr>
          <w:p w14:paraId="05DC1164">
            <w:pPr>
              <w:widowControl/>
              <w:autoSpaceDE w:val="0"/>
              <w:autoSpaceDN w:val="0"/>
              <w:adjustRightInd w:val="0"/>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tcPr>
          <w:p w14:paraId="6693D78F">
            <w:pPr>
              <w:widowControl/>
              <w:autoSpaceDE w:val="0"/>
              <w:autoSpaceDN w:val="0"/>
              <w:adjustRightInd w:val="0"/>
              <w:spacing w:line="560" w:lineRule="exact"/>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tcPr>
          <w:p w14:paraId="50C1658F">
            <w:pPr>
              <w:widowControl/>
              <w:autoSpaceDE w:val="0"/>
              <w:autoSpaceDN w:val="0"/>
              <w:adjustRightInd w:val="0"/>
              <w:spacing w:line="560" w:lineRule="exact"/>
              <w:contextualSpacing/>
              <w:rPr>
                <w:rFonts w:ascii="宋体" w:hAnsi="宋体"/>
                <w:kern w:val="0"/>
              </w:rPr>
            </w:pPr>
          </w:p>
        </w:tc>
      </w:tr>
      <w:tr w14:paraId="1145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123BF080">
            <w:pPr>
              <w:widowControl/>
              <w:autoSpaceDE w:val="0"/>
              <w:autoSpaceDN w:val="0"/>
              <w:adjustRightInd w:val="0"/>
              <w:spacing w:line="560" w:lineRule="exact"/>
              <w:contextualSpacing/>
              <w:rPr>
                <w:rFonts w:ascii="宋体" w:hAnsi="宋体"/>
                <w:kern w:val="0"/>
              </w:rPr>
            </w:pPr>
            <w:r>
              <w:rPr>
                <w:rFonts w:hint="eastAsia" w:ascii="宋体" w:hAnsi="宋体"/>
                <w:kern w:val="0"/>
              </w:rPr>
              <w:t>3</w:t>
            </w:r>
          </w:p>
        </w:tc>
        <w:tc>
          <w:tcPr>
            <w:tcW w:w="900" w:type="dxa"/>
            <w:tcBorders>
              <w:top w:val="single" w:color="auto" w:sz="4" w:space="0"/>
              <w:left w:val="nil"/>
              <w:bottom w:val="single" w:color="auto" w:sz="4" w:space="0"/>
              <w:right w:val="single" w:color="auto" w:sz="4" w:space="0"/>
            </w:tcBorders>
            <w:vAlign w:val="center"/>
          </w:tcPr>
          <w:p w14:paraId="2086241C">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55241632">
            <w:pPr>
              <w:widowControl/>
              <w:autoSpaceDE w:val="0"/>
              <w:autoSpaceDN w:val="0"/>
              <w:adjustRightInd w:val="0"/>
              <w:spacing w:line="560" w:lineRule="exact"/>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647455B4">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tcPr>
          <w:p w14:paraId="5E08B68D">
            <w:pPr>
              <w:widowControl/>
              <w:autoSpaceDE w:val="0"/>
              <w:autoSpaceDN w:val="0"/>
              <w:adjustRightInd w:val="0"/>
              <w:spacing w:line="560" w:lineRule="exact"/>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tcPr>
          <w:p w14:paraId="0F50291A">
            <w:pPr>
              <w:widowControl/>
              <w:autoSpaceDE w:val="0"/>
              <w:autoSpaceDN w:val="0"/>
              <w:adjustRightInd w:val="0"/>
              <w:spacing w:line="560" w:lineRule="exact"/>
              <w:contextualSpacing/>
              <w:rPr>
                <w:rFonts w:ascii="宋体" w:hAnsi="宋体"/>
                <w:kern w:val="0"/>
              </w:rPr>
            </w:pPr>
          </w:p>
        </w:tc>
      </w:tr>
      <w:tr w14:paraId="7D38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EE7ECE8">
            <w:pPr>
              <w:widowControl/>
              <w:autoSpaceDE w:val="0"/>
              <w:autoSpaceDN w:val="0"/>
              <w:adjustRightInd w:val="0"/>
              <w:spacing w:line="560" w:lineRule="exact"/>
              <w:contextualSpacing/>
              <w:rPr>
                <w:rFonts w:ascii="宋体" w:hAnsi="宋体"/>
                <w:kern w:val="0"/>
              </w:rPr>
            </w:pPr>
            <w:r>
              <w:rPr>
                <w:rFonts w:ascii="宋体" w:hAnsi="宋体"/>
                <w:kern w:val="0"/>
              </w:rPr>
              <w:t>4</w:t>
            </w:r>
          </w:p>
        </w:tc>
        <w:tc>
          <w:tcPr>
            <w:tcW w:w="900" w:type="dxa"/>
            <w:tcBorders>
              <w:top w:val="single" w:color="auto" w:sz="4" w:space="0"/>
              <w:left w:val="nil"/>
              <w:bottom w:val="single" w:color="auto" w:sz="4" w:space="0"/>
              <w:right w:val="single" w:color="auto" w:sz="4" w:space="0"/>
            </w:tcBorders>
            <w:vAlign w:val="center"/>
          </w:tcPr>
          <w:p w14:paraId="12783FE6">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2A381633">
            <w:pPr>
              <w:widowControl/>
              <w:autoSpaceDE w:val="0"/>
              <w:autoSpaceDN w:val="0"/>
              <w:adjustRightInd w:val="0"/>
              <w:spacing w:line="560" w:lineRule="exact"/>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44B86C7B">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tcPr>
          <w:p w14:paraId="72268F3C">
            <w:pPr>
              <w:widowControl/>
              <w:autoSpaceDE w:val="0"/>
              <w:autoSpaceDN w:val="0"/>
              <w:adjustRightInd w:val="0"/>
              <w:spacing w:line="560" w:lineRule="exact"/>
              <w:contextualSpacing/>
            </w:pPr>
          </w:p>
        </w:tc>
        <w:tc>
          <w:tcPr>
            <w:tcW w:w="1442" w:type="dxa"/>
            <w:tcBorders>
              <w:top w:val="single" w:color="auto" w:sz="4" w:space="0"/>
              <w:left w:val="nil"/>
              <w:bottom w:val="single" w:color="auto" w:sz="4" w:space="0"/>
              <w:right w:val="single" w:color="auto" w:sz="4" w:space="0"/>
            </w:tcBorders>
          </w:tcPr>
          <w:p w14:paraId="4C51E7DC">
            <w:pPr>
              <w:widowControl/>
              <w:autoSpaceDE w:val="0"/>
              <w:autoSpaceDN w:val="0"/>
              <w:adjustRightInd w:val="0"/>
              <w:spacing w:line="560" w:lineRule="exact"/>
              <w:contextualSpacing/>
              <w:rPr>
                <w:rFonts w:ascii="宋体" w:hAnsi="宋体"/>
                <w:kern w:val="0"/>
              </w:rPr>
            </w:pPr>
          </w:p>
        </w:tc>
      </w:tr>
      <w:tr w14:paraId="105A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080B4A2F">
            <w:pPr>
              <w:widowControl/>
              <w:autoSpaceDE w:val="0"/>
              <w:autoSpaceDN w:val="0"/>
              <w:adjustRightInd w:val="0"/>
              <w:spacing w:line="560" w:lineRule="exact"/>
              <w:contextualSpacing/>
              <w:rPr>
                <w:rFonts w:ascii="宋体" w:hAnsi="宋体"/>
                <w:kern w:val="0"/>
              </w:rPr>
            </w:pPr>
            <w:r>
              <w:rPr>
                <w:rFonts w:hint="eastAsia" w:ascii="宋体" w:hAnsi="宋体"/>
                <w:kern w:val="0"/>
              </w:rPr>
              <w:t>5</w:t>
            </w:r>
          </w:p>
        </w:tc>
        <w:tc>
          <w:tcPr>
            <w:tcW w:w="900" w:type="dxa"/>
            <w:tcBorders>
              <w:top w:val="single" w:color="auto" w:sz="4" w:space="0"/>
              <w:left w:val="nil"/>
              <w:bottom w:val="single" w:color="auto" w:sz="4" w:space="0"/>
              <w:right w:val="single" w:color="auto" w:sz="4" w:space="0"/>
            </w:tcBorders>
            <w:vAlign w:val="center"/>
          </w:tcPr>
          <w:p w14:paraId="3429905E">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39942ED4">
            <w:pPr>
              <w:widowControl/>
              <w:autoSpaceDE w:val="0"/>
              <w:autoSpaceDN w:val="0"/>
              <w:adjustRightInd w:val="0"/>
              <w:spacing w:line="560" w:lineRule="exact"/>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04D55C34">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tcPr>
          <w:p w14:paraId="083EDA8F">
            <w:pPr>
              <w:widowControl/>
              <w:autoSpaceDE w:val="0"/>
              <w:autoSpaceDN w:val="0"/>
              <w:adjustRightInd w:val="0"/>
              <w:spacing w:line="560" w:lineRule="exact"/>
              <w:contextualSpacing/>
            </w:pPr>
          </w:p>
        </w:tc>
        <w:tc>
          <w:tcPr>
            <w:tcW w:w="1442" w:type="dxa"/>
            <w:tcBorders>
              <w:top w:val="single" w:color="auto" w:sz="4" w:space="0"/>
              <w:left w:val="nil"/>
              <w:bottom w:val="single" w:color="auto" w:sz="4" w:space="0"/>
              <w:right w:val="single" w:color="auto" w:sz="4" w:space="0"/>
            </w:tcBorders>
          </w:tcPr>
          <w:p w14:paraId="6E53651B">
            <w:pPr>
              <w:widowControl/>
              <w:autoSpaceDE w:val="0"/>
              <w:autoSpaceDN w:val="0"/>
              <w:adjustRightInd w:val="0"/>
              <w:spacing w:line="560" w:lineRule="exact"/>
              <w:contextualSpacing/>
              <w:rPr>
                <w:rFonts w:ascii="宋体" w:hAnsi="宋体"/>
                <w:kern w:val="0"/>
              </w:rPr>
            </w:pPr>
          </w:p>
        </w:tc>
      </w:tr>
      <w:tr w14:paraId="53CA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18BD8051">
            <w:pPr>
              <w:widowControl/>
              <w:autoSpaceDE w:val="0"/>
              <w:autoSpaceDN w:val="0"/>
              <w:adjustRightInd w:val="0"/>
              <w:spacing w:line="560" w:lineRule="exact"/>
              <w:contextualSpacing/>
              <w:rPr>
                <w:rFonts w:ascii="宋体" w:hAnsi="宋体"/>
                <w:kern w:val="0"/>
              </w:rPr>
            </w:pPr>
            <w:r>
              <w:rPr>
                <w:rFonts w:ascii="宋体" w:hAnsi="宋体"/>
                <w:kern w:val="0"/>
              </w:rPr>
              <w:t>6</w:t>
            </w:r>
          </w:p>
        </w:tc>
        <w:tc>
          <w:tcPr>
            <w:tcW w:w="900" w:type="dxa"/>
            <w:tcBorders>
              <w:top w:val="single" w:color="auto" w:sz="4" w:space="0"/>
              <w:left w:val="nil"/>
              <w:bottom w:val="single" w:color="auto" w:sz="4" w:space="0"/>
              <w:right w:val="single" w:color="auto" w:sz="4" w:space="0"/>
            </w:tcBorders>
            <w:vAlign w:val="center"/>
          </w:tcPr>
          <w:p w14:paraId="38F05D92">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78428214">
            <w:pPr>
              <w:widowControl/>
              <w:autoSpaceDE w:val="0"/>
              <w:autoSpaceDN w:val="0"/>
              <w:adjustRightInd w:val="0"/>
              <w:spacing w:line="560" w:lineRule="exact"/>
              <w:contextualSpacing/>
            </w:pPr>
          </w:p>
        </w:tc>
        <w:tc>
          <w:tcPr>
            <w:tcW w:w="1417" w:type="dxa"/>
            <w:tcBorders>
              <w:top w:val="single" w:color="auto" w:sz="4" w:space="0"/>
              <w:left w:val="nil"/>
              <w:bottom w:val="single" w:color="auto" w:sz="4" w:space="0"/>
              <w:right w:val="single" w:color="auto" w:sz="4" w:space="0"/>
            </w:tcBorders>
            <w:vAlign w:val="center"/>
          </w:tcPr>
          <w:p w14:paraId="2A852384">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tcPr>
          <w:p w14:paraId="50B0484F">
            <w:pPr>
              <w:widowControl/>
              <w:autoSpaceDE w:val="0"/>
              <w:autoSpaceDN w:val="0"/>
              <w:adjustRightInd w:val="0"/>
              <w:spacing w:line="560" w:lineRule="exact"/>
              <w:contextualSpacing/>
            </w:pPr>
          </w:p>
        </w:tc>
        <w:tc>
          <w:tcPr>
            <w:tcW w:w="1442" w:type="dxa"/>
            <w:tcBorders>
              <w:top w:val="single" w:color="auto" w:sz="4" w:space="0"/>
              <w:left w:val="nil"/>
              <w:bottom w:val="single" w:color="auto" w:sz="4" w:space="0"/>
              <w:right w:val="single" w:color="auto" w:sz="4" w:space="0"/>
            </w:tcBorders>
          </w:tcPr>
          <w:p w14:paraId="15D2D1DF">
            <w:pPr>
              <w:widowControl/>
              <w:autoSpaceDE w:val="0"/>
              <w:autoSpaceDN w:val="0"/>
              <w:adjustRightInd w:val="0"/>
              <w:spacing w:line="560" w:lineRule="exact"/>
              <w:contextualSpacing/>
              <w:rPr>
                <w:rFonts w:ascii="宋体" w:hAnsi="宋体"/>
                <w:kern w:val="0"/>
              </w:rPr>
            </w:pPr>
          </w:p>
        </w:tc>
      </w:tr>
      <w:tr w14:paraId="442A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58BE6A56">
            <w:pPr>
              <w:widowControl/>
              <w:autoSpaceDE w:val="0"/>
              <w:autoSpaceDN w:val="0"/>
              <w:adjustRightInd w:val="0"/>
              <w:spacing w:line="560" w:lineRule="exact"/>
              <w:contextualSpacing/>
              <w:rPr>
                <w:rFonts w:ascii="宋体" w:hAnsi="宋体"/>
                <w:kern w:val="0"/>
              </w:rPr>
            </w:pPr>
            <w:r>
              <w:rPr>
                <w:rFonts w:ascii="宋体" w:hAnsi="宋体"/>
                <w:kern w:val="0"/>
              </w:rPr>
              <w:t>7</w:t>
            </w:r>
          </w:p>
        </w:tc>
        <w:tc>
          <w:tcPr>
            <w:tcW w:w="900" w:type="dxa"/>
            <w:tcBorders>
              <w:top w:val="single" w:color="auto" w:sz="4" w:space="0"/>
              <w:left w:val="nil"/>
              <w:bottom w:val="single" w:color="auto" w:sz="4" w:space="0"/>
              <w:right w:val="single" w:color="auto" w:sz="4" w:space="0"/>
            </w:tcBorders>
            <w:vAlign w:val="center"/>
          </w:tcPr>
          <w:p w14:paraId="1C02490D">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1EB9291A">
            <w:pPr>
              <w:widowControl/>
              <w:autoSpaceDE w:val="0"/>
              <w:autoSpaceDN w:val="0"/>
              <w:adjustRightInd w:val="0"/>
              <w:spacing w:line="560" w:lineRule="exact"/>
              <w:contextualSpacing/>
            </w:pPr>
          </w:p>
        </w:tc>
        <w:tc>
          <w:tcPr>
            <w:tcW w:w="1417" w:type="dxa"/>
            <w:tcBorders>
              <w:top w:val="single" w:color="auto" w:sz="4" w:space="0"/>
              <w:left w:val="nil"/>
              <w:bottom w:val="single" w:color="auto" w:sz="4" w:space="0"/>
              <w:right w:val="single" w:color="auto" w:sz="4" w:space="0"/>
            </w:tcBorders>
            <w:vAlign w:val="center"/>
          </w:tcPr>
          <w:p w14:paraId="406A98D2">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vAlign w:val="center"/>
          </w:tcPr>
          <w:p w14:paraId="547589FA">
            <w:pPr>
              <w:widowControl/>
              <w:autoSpaceDE w:val="0"/>
              <w:autoSpaceDN w:val="0"/>
              <w:adjustRightInd w:val="0"/>
              <w:spacing w:line="560" w:lineRule="exact"/>
              <w:contextualSpacing/>
            </w:pPr>
          </w:p>
        </w:tc>
        <w:tc>
          <w:tcPr>
            <w:tcW w:w="1442" w:type="dxa"/>
            <w:tcBorders>
              <w:top w:val="single" w:color="auto" w:sz="4" w:space="0"/>
              <w:left w:val="nil"/>
              <w:bottom w:val="single" w:color="auto" w:sz="4" w:space="0"/>
              <w:right w:val="single" w:color="auto" w:sz="4" w:space="0"/>
            </w:tcBorders>
            <w:vAlign w:val="center"/>
          </w:tcPr>
          <w:p w14:paraId="3C3B25EB">
            <w:pPr>
              <w:widowControl/>
              <w:autoSpaceDE w:val="0"/>
              <w:autoSpaceDN w:val="0"/>
              <w:adjustRightInd w:val="0"/>
              <w:spacing w:line="560" w:lineRule="exact"/>
              <w:contextualSpacing/>
              <w:rPr>
                <w:rFonts w:ascii="宋体" w:hAnsi="宋体"/>
                <w:kern w:val="0"/>
              </w:rPr>
            </w:pPr>
          </w:p>
        </w:tc>
      </w:tr>
      <w:tr w14:paraId="28CB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30058F0A">
            <w:pPr>
              <w:widowControl/>
              <w:autoSpaceDE w:val="0"/>
              <w:autoSpaceDN w:val="0"/>
              <w:adjustRightInd w:val="0"/>
              <w:spacing w:line="560" w:lineRule="exact"/>
              <w:contextualSpacing/>
              <w:rPr>
                <w:rFonts w:ascii="宋体" w:hAnsi="宋体"/>
                <w:kern w:val="0"/>
              </w:rPr>
            </w:pPr>
            <w:r>
              <w:rPr>
                <w:rFonts w:ascii="宋体" w:hAnsi="宋体"/>
                <w:kern w:val="0"/>
              </w:rPr>
              <w:t>8</w:t>
            </w:r>
          </w:p>
        </w:tc>
        <w:tc>
          <w:tcPr>
            <w:tcW w:w="900" w:type="dxa"/>
            <w:tcBorders>
              <w:top w:val="single" w:color="auto" w:sz="4" w:space="0"/>
              <w:left w:val="nil"/>
              <w:bottom w:val="single" w:color="auto" w:sz="4" w:space="0"/>
              <w:right w:val="single" w:color="auto" w:sz="4" w:space="0"/>
            </w:tcBorders>
            <w:vAlign w:val="center"/>
          </w:tcPr>
          <w:p w14:paraId="604D444E">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0F423DBB">
            <w:pPr>
              <w:widowControl/>
              <w:autoSpaceDE w:val="0"/>
              <w:autoSpaceDN w:val="0"/>
              <w:adjustRightInd w:val="0"/>
              <w:spacing w:line="560" w:lineRule="exact"/>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7B46D6CB">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vAlign w:val="center"/>
          </w:tcPr>
          <w:p w14:paraId="67AB1BDC">
            <w:pPr>
              <w:widowControl/>
              <w:autoSpaceDE w:val="0"/>
              <w:autoSpaceDN w:val="0"/>
              <w:adjustRightInd w:val="0"/>
              <w:spacing w:line="560" w:lineRule="exact"/>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vAlign w:val="center"/>
          </w:tcPr>
          <w:p w14:paraId="2A58B957">
            <w:pPr>
              <w:widowControl/>
              <w:autoSpaceDE w:val="0"/>
              <w:autoSpaceDN w:val="0"/>
              <w:adjustRightInd w:val="0"/>
              <w:spacing w:line="560" w:lineRule="exact"/>
              <w:contextualSpacing/>
              <w:rPr>
                <w:rFonts w:ascii="宋体" w:hAnsi="宋体"/>
                <w:kern w:val="0"/>
              </w:rPr>
            </w:pPr>
          </w:p>
        </w:tc>
      </w:tr>
      <w:tr w14:paraId="7FFE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4C2A8463">
            <w:pPr>
              <w:widowControl/>
              <w:autoSpaceDE w:val="0"/>
              <w:autoSpaceDN w:val="0"/>
              <w:adjustRightInd w:val="0"/>
              <w:spacing w:line="560" w:lineRule="exact"/>
              <w:contextualSpacing/>
              <w:rPr>
                <w:rFonts w:ascii="宋体" w:hAnsi="宋体"/>
                <w:kern w:val="0"/>
              </w:rPr>
            </w:pPr>
            <w:r>
              <w:rPr>
                <w:rFonts w:ascii="宋体" w:hAnsi="宋体"/>
                <w:kern w:val="0"/>
              </w:rPr>
              <w:t>9</w:t>
            </w:r>
          </w:p>
        </w:tc>
        <w:tc>
          <w:tcPr>
            <w:tcW w:w="900" w:type="dxa"/>
            <w:tcBorders>
              <w:top w:val="single" w:color="auto" w:sz="4" w:space="0"/>
              <w:left w:val="nil"/>
              <w:bottom w:val="single" w:color="auto" w:sz="4" w:space="0"/>
              <w:right w:val="single" w:color="auto" w:sz="4" w:space="0"/>
            </w:tcBorders>
            <w:vAlign w:val="center"/>
          </w:tcPr>
          <w:p w14:paraId="1625B497">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3F8DCA8A">
            <w:pPr>
              <w:widowControl/>
              <w:autoSpaceDE w:val="0"/>
              <w:autoSpaceDN w:val="0"/>
              <w:adjustRightInd w:val="0"/>
              <w:spacing w:line="560" w:lineRule="exact"/>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3D9FE720">
            <w:pPr>
              <w:widowControl/>
              <w:autoSpaceDE w:val="0"/>
              <w:autoSpaceDN w:val="0"/>
              <w:adjustRightInd w:val="0"/>
              <w:spacing w:line="560" w:lineRule="exact"/>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vAlign w:val="center"/>
          </w:tcPr>
          <w:p w14:paraId="3A728C0B">
            <w:pPr>
              <w:widowControl/>
              <w:autoSpaceDE w:val="0"/>
              <w:autoSpaceDN w:val="0"/>
              <w:adjustRightInd w:val="0"/>
              <w:spacing w:line="560" w:lineRule="exact"/>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vAlign w:val="center"/>
          </w:tcPr>
          <w:p w14:paraId="57735E88">
            <w:pPr>
              <w:widowControl/>
              <w:autoSpaceDE w:val="0"/>
              <w:autoSpaceDN w:val="0"/>
              <w:adjustRightInd w:val="0"/>
              <w:spacing w:line="560" w:lineRule="exact"/>
              <w:contextualSpacing/>
              <w:rPr>
                <w:rFonts w:ascii="宋体" w:hAnsi="宋体"/>
                <w:kern w:val="0"/>
              </w:rPr>
            </w:pPr>
          </w:p>
        </w:tc>
      </w:tr>
      <w:tr w14:paraId="0F3D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0ECF691F">
            <w:pPr>
              <w:widowControl/>
              <w:autoSpaceDE w:val="0"/>
              <w:autoSpaceDN w:val="0"/>
              <w:adjustRightInd w:val="0"/>
              <w:spacing w:line="560" w:lineRule="exact"/>
              <w:contextualSpacing/>
              <w:rPr>
                <w:rFonts w:ascii="宋体" w:hAnsi="宋体"/>
                <w:kern w:val="0"/>
              </w:rPr>
            </w:pPr>
            <w:r>
              <w:rPr>
                <w:rFonts w:ascii="宋体" w:hAnsi="宋体"/>
                <w:kern w:val="0"/>
              </w:rPr>
              <w:t>10</w:t>
            </w:r>
          </w:p>
        </w:tc>
        <w:tc>
          <w:tcPr>
            <w:tcW w:w="900" w:type="dxa"/>
            <w:tcBorders>
              <w:top w:val="single" w:color="auto" w:sz="4" w:space="0"/>
              <w:left w:val="nil"/>
              <w:bottom w:val="single" w:color="auto" w:sz="4" w:space="0"/>
              <w:right w:val="single" w:color="auto" w:sz="4" w:space="0"/>
            </w:tcBorders>
            <w:vAlign w:val="center"/>
          </w:tcPr>
          <w:p w14:paraId="460079EB">
            <w:pPr>
              <w:widowControl/>
              <w:autoSpaceDE w:val="0"/>
              <w:autoSpaceDN w:val="0"/>
              <w:adjustRightInd w:val="0"/>
              <w:spacing w:line="560" w:lineRule="exact"/>
              <w:contextualSpacing/>
              <w:rPr>
                <w:rFonts w:ascii="宋体" w:hAnsi="宋体"/>
                <w:kern w:val="0"/>
              </w:rPr>
            </w:pPr>
          </w:p>
        </w:tc>
        <w:tc>
          <w:tcPr>
            <w:tcW w:w="3497" w:type="dxa"/>
            <w:gridSpan w:val="2"/>
            <w:tcBorders>
              <w:top w:val="single" w:color="auto" w:sz="4" w:space="0"/>
              <w:left w:val="nil"/>
              <w:bottom w:val="single" w:color="auto" w:sz="4" w:space="0"/>
              <w:right w:val="single" w:color="auto" w:sz="4" w:space="0"/>
            </w:tcBorders>
            <w:vAlign w:val="center"/>
          </w:tcPr>
          <w:p w14:paraId="1B51F3EE">
            <w:pPr>
              <w:widowControl/>
              <w:autoSpaceDE w:val="0"/>
              <w:autoSpaceDN w:val="0"/>
              <w:adjustRightInd w:val="0"/>
              <w:snapToGrid w:val="0"/>
              <w:contextualSpacing/>
              <w:rPr>
                <w:rFonts w:ascii="宋体" w:hAnsi="宋体"/>
                <w:kern w:val="0"/>
              </w:rPr>
            </w:pPr>
          </w:p>
        </w:tc>
        <w:tc>
          <w:tcPr>
            <w:tcW w:w="1417" w:type="dxa"/>
            <w:tcBorders>
              <w:top w:val="single" w:color="auto" w:sz="4" w:space="0"/>
              <w:left w:val="nil"/>
              <w:bottom w:val="single" w:color="auto" w:sz="4" w:space="0"/>
              <w:right w:val="single" w:color="auto" w:sz="4" w:space="0"/>
            </w:tcBorders>
            <w:vAlign w:val="center"/>
          </w:tcPr>
          <w:p w14:paraId="3207B6D9">
            <w:pPr>
              <w:widowControl/>
              <w:autoSpaceDE w:val="0"/>
              <w:autoSpaceDN w:val="0"/>
              <w:adjustRightInd w:val="0"/>
              <w:snapToGrid w:val="0"/>
              <w:contextualSpacing/>
              <w:rPr>
                <w:rFonts w:ascii="宋体" w:hAnsi="宋体"/>
                <w:kern w:val="0"/>
              </w:rPr>
            </w:pPr>
          </w:p>
        </w:tc>
        <w:tc>
          <w:tcPr>
            <w:tcW w:w="1744" w:type="dxa"/>
            <w:tcBorders>
              <w:top w:val="single" w:color="auto" w:sz="4" w:space="0"/>
              <w:left w:val="nil"/>
              <w:bottom w:val="single" w:color="auto" w:sz="4" w:space="0"/>
              <w:right w:val="single" w:color="auto" w:sz="4" w:space="0"/>
            </w:tcBorders>
            <w:vAlign w:val="center"/>
          </w:tcPr>
          <w:p w14:paraId="6CFE5DF3">
            <w:pPr>
              <w:widowControl/>
              <w:autoSpaceDE w:val="0"/>
              <w:autoSpaceDN w:val="0"/>
              <w:adjustRightInd w:val="0"/>
              <w:snapToGrid w:val="0"/>
              <w:contextualSpacing/>
              <w:rPr>
                <w:rFonts w:ascii="宋体" w:hAnsi="宋体"/>
                <w:kern w:val="0"/>
              </w:rPr>
            </w:pPr>
          </w:p>
        </w:tc>
        <w:tc>
          <w:tcPr>
            <w:tcW w:w="1442" w:type="dxa"/>
            <w:tcBorders>
              <w:top w:val="single" w:color="auto" w:sz="4" w:space="0"/>
              <w:left w:val="nil"/>
              <w:bottom w:val="single" w:color="auto" w:sz="4" w:space="0"/>
              <w:right w:val="single" w:color="auto" w:sz="4" w:space="0"/>
            </w:tcBorders>
            <w:vAlign w:val="center"/>
          </w:tcPr>
          <w:p w14:paraId="7567192D">
            <w:pPr>
              <w:widowControl/>
              <w:autoSpaceDE w:val="0"/>
              <w:autoSpaceDN w:val="0"/>
              <w:adjustRightInd w:val="0"/>
              <w:spacing w:line="560" w:lineRule="exact"/>
              <w:contextualSpacing/>
              <w:rPr>
                <w:rFonts w:ascii="宋体" w:hAnsi="宋体"/>
                <w:kern w:val="0"/>
              </w:rPr>
            </w:pPr>
          </w:p>
        </w:tc>
      </w:tr>
      <w:tr w14:paraId="78CF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38AA501A">
            <w:pPr>
              <w:widowControl/>
              <w:autoSpaceDE w:val="0"/>
              <w:autoSpaceDN w:val="0"/>
              <w:adjustRightInd w:val="0"/>
              <w:spacing w:line="560" w:lineRule="exact"/>
              <w:ind w:firstLine="422" w:firstLineChars="200"/>
              <w:contextualSpacing/>
              <w:jc w:val="center"/>
              <w:rPr>
                <w:rFonts w:ascii="宋体" w:hAnsi="宋体"/>
                <w:b/>
                <w:bCs/>
                <w:kern w:val="0"/>
              </w:rPr>
            </w:pPr>
            <w:r>
              <w:rPr>
                <w:rFonts w:hint="eastAsia" w:ascii="宋体" w:hAnsi="宋体"/>
                <w:b/>
                <w:bCs/>
                <w:kern w:val="0"/>
              </w:rPr>
              <w:t>编制情况</w:t>
            </w:r>
          </w:p>
        </w:tc>
      </w:tr>
      <w:tr w14:paraId="3013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53FD1B79">
            <w:pPr>
              <w:pStyle w:val="14"/>
              <w:rPr>
                <w:rFonts w:hAnsi="宋体"/>
                <w:szCs w:val="22"/>
              </w:rPr>
            </w:pPr>
            <w:r>
              <w:rPr>
                <w:rFonts w:hint="eastAsia" w:hAnsi="宋体"/>
                <w:szCs w:val="22"/>
              </w:rPr>
              <w:t>1.编制过程简介</w:t>
            </w:r>
          </w:p>
        </w:tc>
      </w:tr>
      <w:tr w14:paraId="1431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1EF6E46D">
            <w:pPr>
              <w:pStyle w:val="14"/>
              <w:adjustRightInd w:val="0"/>
              <w:spacing w:line="360" w:lineRule="auto"/>
              <w:ind w:left="0" w:leftChars="0" w:firstLine="420" w:firstLineChars="200"/>
              <w:contextualSpacing/>
              <w:rPr>
                <w:rFonts w:hAnsi="宋体"/>
                <w:szCs w:val="21"/>
              </w:rPr>
            </w:pPr>
            <w:r>
              <w:rPr>
                <w:rFonts w:hAnsi="宋体"/>
                <w:kern w:val="2"/>
                <w:szCs w:val="21"/>
              </w:rPr>
              <w:t>202</w:t>
            </w:r>
            <w:r>
              <w:rPr>
                <w:rFonts w:hint="eastAsia" w:hAnsi="宋体"/>
                <w:kern w:val="2"/>
                <w:szCs w:val="21"/>
                <w:lang w:val="en-US" w:eastAsia="zh-CN"/>
              </w:rPr>
              <w:t>3</w:t>
            </w:r>
            <w:r>
              <w:rPr>
                <w:rFonts w:hint="eastAsia" w:hAnsi="宋体"/>
                <w:kern w:val="2"/>
                <w:szCs w:val="21"/>
              </w:rPr>
              <w:t>年</w:t>
            </w:r>
            <w:r>
              <w:rPr>
                <w:rFonts w:hAnsi="宋体"/>
                <w:kern w:val="2"/>
                <w:szCs w:val="21"/>
              </w:rPr>
              <w:t>9</w:t>
            </w:r>
            <w:r>
              <w:rPr>
                <w:rFonts w:hint="eastAsia" w:hAnsi="宋体"/>
                <w:kern w:val="2"/>
                <w:szCs w:val="21"/>
              </w:rPr>
              <w:t>月，收到</w:t>
            </w:r>
            <w:r>
              <w:rPr>
                <w:rFonts w:hint="eastAsia" w:hAnsi="宋体"/>
                <w:szCs w:val="21"/>
              </w:rPr>
              <w:t>《安徽省市场监督管理局关于下达2023年第二批安徽省地方标准制修订计划的通知》（皖市监函〔2023〕478号）文件后</w:t>
            </w:r>
            <w:r>
              <w:rPr>
                <w:rFonts w:hint="eastAsia" w:hAnsi="宋体"/>
                <w:kern w:val="2"/>
                <w:szCs w:val="21"/>
              </w:rPr>
              <w:t>，</w:t>
            </w:r>
            <w:r>
              <w:rPr>
                <w:rFonts w:hint="eastAsia" w:hAnsi="宋体"/>
              </w:rPr>
              <w:t>安徽医科大学第一附属医院</w:t>
            </w:r>
            <w:r>
              <w:rPr>
                <w:rFonts w:hint="eastAsia" w:hAnsi="宋体"/>
                <w:szCs w:val="21"/>
              </w:rPr>
              <w:t>组织相关起草单位的技术骨干成立标准</w:t>
            </w:r>
            <w:r>
              <w:rPr>
                <w:rFonts w:hint="eastAsia" w:hAnsi="宋体"/>
                <w:szCs w:val="21"/>
                <w:lang w:val="en-US" w:eastAsia="zh-CN"/>
              </w:rPr>
              <w:t>编制小组</w:t>
            </w:r>
            <w:r>
              <w:rPr>
                <w:rFonts w:hint="eastAsia" w:hAnsi="宋体"/>
                <w:szCs w:val="21"/>
              </w:rPr>
              <w:t>，拟订了工作计划。</w:t>
            </w:r>
          </w:p>
          <w:p w14:paraId="48162262">
            <w:pPr>
              <w:pStyle w:val="14"/>
              <w:adjustRightInd w:val="0"/>
              <w:spacing w:line="360" w:lineRule="auto"/>
              <w:rPr>
                <w:rFonts w:hAnsi="宋体"/>
                <w:szCs w:val="21"/>
              </w:rPr>
            </w:pPr>
            <w:r>
              <w:rPr>
                <w:rFonts w:hint="eastAsia" w:hAnsi="宋体"/>
                <w:szCs w:val="21"/>
                <w:lang w:val="en-US" w:eastAsia="zh-CN"/>
              </w:rPr>
              <w:t>标准起草过程：</w:t>
            </w:r>
            <w:r>
              <w:rPr>
                <w:rFonts w:hint="eastAsia" w:hAnsi="宋体"/>
                <w:szCs w:val="21"/>
              </w:rPr>
              <w:t>2023年</w:t>
            </w:r>
            <w:r>
              <w:rPr>
                <w:rFonts w:hint="eastAsia" w:hAnsi="宋体"/>
                <w:szCs w:val="21"/>
                <w:lang w:val="en-US" w:eastAsia="zh-CN"/>
              </w:rPr>
              <w:t>10</w:t>
            </w:r>
            <w:r>
              <w:rPr>
                <w:rFonts w:hint="eastAsia" w:hAnsi="宋体"/>
                <w:szCs w:val="21"/>
              </w:rPr>
              <w:t>月起，标准编制小组收集我省及国内其他省市关于成人体外膜肺氧合患者院际转运相关文件，检索相关参考文献，</w:t>
            </w:r>
            <w:r>
              <w:rPr>
                <w:rFonts w:hint="eastAsia" w:hAnsi="宋体"/>
                <w:szCs w:val="21"/>
                <w:lang w:val="en-US" w:eastAsia="zh-CN"/>
              </w:rPr>
              <w:t>经</w:t>
            </w:r>
            <w:r>
              <w:rPr>
                <w:rFonts w:hint="eastAsia" w:hAnsi="宋体"/>
                <w:szCs w:val="21"/>
              </w:rPr>
              <w:t>数次讨论，完成了标准编制大纲的编写，并对编写大纲进行了内部审查；召开地方标准编制研讨会，广泛征求意见，收集相关调查资料</w:t>
            </w:r>
            <w:r>
              <w:rPr>
                <w:rFonts w:hint="eastAsia" w:hAnsi="宋体"/>
                <w:szCs w:val="21"/>
                <w:lang w:eastAsia="zh-CN"/>
              </w:rPr>
              <w:t>，</w:t>
            </w:r>
            <w:r>
              <w:rPr>
                <w:rFonts w:hint="eastAsia" w:hAnsi="宋体"/>
                <w:szCs w:val="21"/>
              </w:rPr>
              <w:t>形成</w:t>
            </w:r>
            <w:r>
              <w:rPr>
                <w:rFonts w:hint="eastAsia" w:hAnsi="宋体"/>
                <w:szCs w:val="21"/>
                <w:lang w:val="en-US" w:eastAsia="zh-CN"/>
              </w:rPr>
              <w:t>了</w:t>
            </w:r>
            <w:r>
              <w:rPr>
                <w:rFonts w:hint="eastAsia" w:hAnsi="宋体"/>
                <w:szCs w:val="21"/>
              </w:rPr>
              <w:t>工作组讨论稿，并根据实际情况进行多次修改。</w:t>
            </w:r>
          </w:p>
        </w:tc>
      </w:tr>
      <w:tr w14:paraId="5DB1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6C4993A0">
            <w:pPr>
              <w:pStyle w:val="14"/>
              <w:rPr>
                <w:rFonts w:hAnsi="宋体"/>
                <w:szCs w:val="22"/>
              </w:rPr>
            </w:pPr>
            <w:r>
              <w:rPr>
                <w:rFonts w:hint="eastAsia" w:hAnsi="宋体"/>
                <w:szCs w:val="22"/>
              </w:rPr>
              <w:t>2.制定标准的必要性和意义</w:t>
            </w:r>
          </w:p>
        </w:tc>
      </w:tr>
      <w:tr w14:paraId="5FC2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5F4222D3">
            <w:pPr>
              <w:pStyle w:val="2"/>
              <w:spacing w:line="460" w:lineRule="exact"/>
              <w:ind w:left="0" w:leftChars="0" w:firstLine="0" w:firstLineChars="0"/>
              <w:rPr>
                <w:rFonts w:hint="eastAsia"/>
                <w:b/>
                <w:bCs/>
                <w:color w:val="auto"/>
                <w:kern w:val="0"/>
                <w:sz w:val="21"/>
                <w:szCs w:val="21"/>
              </w:rPr>
            </w:pPr>
            <w:r>
              <w:rPr>
                <w:rFonts w:hint="eastAsia"/>
                <w:b/>
                <w:bCs/>
                <w:color w:val="auto"/>
                <w:kern w:val="0"/>
                <w:sz w:val="21"/>
                <w:szCs w:val="21"/>
              </w:rPr>
              <w:t>必要性：</w:t>
            </w:r>
          </w:p>
          <w:p w14:paraId="43A4BABB">
            <w:pPr>
              <w:pStyle w:val="2"/>
              <w:spacing w:line="460" w:lineRule="exact"/>
              <w:ind w:left="0" w:leftChars="0" w:firstLine="420" w:firstLineChars="200"/>
              <w:rPr>
                <w:rFonts w:hint="eastAsia"/>
                <w:color w:val="auto"/>
                <w:kern w:val="0"/>
                <w:sz w:val="21"/>
                <w:szCs w:val="21"/>
              </w:rPr>
            </w:pPr>
            <w:r>
              <w:rPr>
                <w:rFonts w:hint="eastAsia"/>
                <w:color w:val="auto"/>
                <w:kern w:val="0"/>
                <w:sz w:val="21"/>
                <w:szCs w:val="21"/>
              </w:rPr>
              <w:t>（1）符合政策导向：本地方标准的制订，符合安徽省卫生健康委员会《关于印发全面提升医疗质量行动（2023—2025年）实施方案的通知》文件精神，可提高重症患者救治技术能力。</w:t>
            </w:r>
          </w:p>
          <w:p w14:paraId="532D875E">
            <w:pPr>
              <w:pStyle w:val="2"/>
              <w:spacing w:line="460" w:lineRule="exact"/>
              <w:ind w:left="0" w:leftChars="0" w:firstLine="420" w:firstLineChars="200"/>
              <w:rPr>
                <w:rFonts w:hint="eastAsia"/>
                <w:color w:val="auto"/>
                <w:kern w:val="0"/>
                <w:sz w:val="21"/>
                <w:szCs w:val="21"/>
              </w:rPr>
            </w:pPr>
            <w:r>
              <w:rPr>
                <w:rFonts w:hint="eastAsia"/>
                <w:color w:val="auto"/>
                <w:kern w:val="0"/>
                <w:sz w:val="21"/>
                <w:szCs w:val="21"/>
              </w:rPr>
              <w:t>（2）提高转运安全性：传统的ECMO患者院际转运缺乏系统、完善且统一的护理</w:t>
            </w:r>
            <w:r>
              <w:rPr>
                <w:rFonts w:hint="eastAsia"/>
                <w:color w:val="auto"/>
                <w:kern w:val="0"/>
                <w:sz w:val="21"/>
                <w:szCs w:val="21"/>
                <w:lang w:val="en-US" w:eastAsia="zh-CN"/>
              </w:rPr>
              <w:t>服务</w:t>
            </w:r>
            <w:r>
              <w:rPr>
                <w:rFonts w:hint="eastAsia"/>
                <w:color w:val="auto"/>
                <w:kern w:val="0"/>
                <w:sz w:val="21"/>
                <w:szCs w:val="21"/>
              </w:rPr>
              <w:t>规范，在转运过程中易因护理措施不到位、设备管理不善、人员协调不足等问题导致患者出现并发症风险增加、生命体征波动等情况，严重影响患者预后。地方标准能指导医务人员在转运前、中、后的各项操作，有效提高转运效率、降低转运并发症发生率，保障患者安全。</w:t>
            </w:r>
          </w:p>
          <w:p w14:paraId="77A0FE00">
            <w:pPr>
              <w:pStyle w:val="2"/>
              <w:spacing w:line="460" w:lineRule="exact"/>
              <w:ind w:left="0" w:leftChars="0" w:firstLine="420" w:firstLineChars="200"/>
              <w:rPr>
                <w:rFonts w:hint="eastAsia"/>
                <w:color w:val="auto"/>
                <w:kern w:val="0"/>
                <w:sz w:val="21"/>
                <w:szCs w:val="21"/>
              </w:rPr>
            </w:pPr>
            <w:r>
              <w:rPr>
                <w:rFonts w:hint="eastAsia"/>
                <w:color w:val="auto"/>
                <w:kern w:val="0"/>
                <w:sz w:val="21"/>
                <w:szCs w:val="21"/>
              </w:rPr>
              <w:t>（3）优化医疗资源配置：各地医疗机构在面对成人体外膜肺氧合患者院际转运需求时，由于缺乏统一的护理</w:t>
            </w:r>
            <w:r>
              <w:rPr>
                <w:rFonts w:hint="eastAsia"/>
                <w:color w:val="auto"/>
                <w:kern w:val="0"/>
                <w:sz w:val="21"/>
                <w:szCs w:val="21"/>
                <w:lang w:val="en-US" w:eastAsia="zh-CN"/>
              </w:rPr>
              <w:t>服务</w:t>
            </w:r>
            <w:r>
              <w:rPr>
                <w:rFonts w:hint="eastAsia"/>
                <w:color w:val="auto"/>
                <w:kern w:val="0"/>
                <w:sz w:val="21"/>
                <w:szCs w:val="21"/>
              </w:rPr>
              <w:t>规范标准，往往难以实现高效的转运对接与资源整合。制订地方标准可促进护理流程的标准化与协同化，使得医疗资源能够更加合理地配置与利用，提高区域内整体医疗救治水平。</w:t>
            </w:r>
          </w:p>
          <w:p w14:paraId="1E477ED5">
            <w:pPr>
              <w:pStyle w:val="2"/>
              <w:spacing w:line="460" w:lineRule="exact"/>
              <w:ind w:left="0" w:leftChars="0" w:firstLine="0" w:firstLineChars="0"/>
              <w:rPr>
                <w:rFonts w:hint="eastAsia"/>
                <w:b/>
                <w:bCs/>
                <w:color w:val="auto"/>
                <w:kern w:val="0"/>
                <w:sz w:val="21"/>
                <w:szCs w:val="21"/>
              </w:rPr>
            </w:pPr>
            <w:r>
              <w:rPr>
                <w:rFonts w:hint="eastAsia"/>
                <w:b/>
                <w:bCs/>
                <w:color w:val="auto"/>
                <w:kern w:val="0"/>
                <w:sz w:val="21"/>
                <w:szCs w:val="21"/>
              </w:rPr>
              <w:t>意义：</w:t>
            </w:r>
          </w:p>
          <w:p w14:paraId="34A58996">
            <w:pPr>
              <w:pStyle w:val="2"/>
              <w:spacing w:line="460" w:lineRule="exact"/>
              <w:ind w:left="0" w:leftChars="0" w:firstLine="420" w:firstLineChars="200"/>
              <w:rPr>
                <w:rFonts w:hint="eastAsia"/>
                <w:color w:val="auto"/>
                <w:kern w:val="0"/>
                <w:sz w:val="21"/>
                <w:szCs w:val="21"/>
              </w:rPr>
            </w:pPr>
            <w:r>
              <w:rPr>
                <w:rFonts w:hint="eastAsia"/>
                <w:color w:val="auto"/>
                <w:kern w:val="0"/>
                <w:sz w:val="21"/>
                <w:szCs w:val="21"/>
              </w:rPr>
              <w:t>（1）规范我省ECMO患者院际转运的基本流程，明确转运各阶段护理服务的内容。</w:t>
            </w:r>
          </w:p>
          <w:p w14:paraId="1EC45FD9">
            <w:pPr>
              <w:pStyle w:val="2"/>
              <w:spacing w:line="460" w:lineRule="exact"/>
              <w:ind w:left="0" w:leftChars="0" w:firstLine="420" w:firstLineChars="200"/>
              <w:rPr>
                <w:rFonts w:hint="eastAsia"/>
                <w:color w:val="auto"/>
                <w:kern w:val="0"/>
                <w:sz w:val="21"/>
                <w:szCs w:val="21"/>
              </w:rPr>
            </w:pPr>
            <w:r>
              <w:rPr>
                <w:rFonts w:hint="eastAsia"/>
                <w:color w:val="auto"/>
                <w:kern w:val="0"/>
                <w:sz w:val="21"/>
                <w:szCs w:val="21"/>
              </w:rPr>
              <w:t>（2）明确我省ECMO院际转运护理各环节的建设要求，指导各级医疗机构开展专业且高效的转运护理工作，提高整体转运水平。</w:t>
            </w:r>
          </w:p>
          <w:p w14:paraId="4B037C42">
            <w:pPr>
              <w:pStyle w:val="2"/>
              <w:spacing w:line="460" w:lineRule="exact"/>
              <w:ind w:left="0" w:leftChars="0" w:firstLine="420" w:firstLineChars="200"/>
              <w:rPr>
                <w:color w:val="auto"/>
                <w:kern w:val="0"/>
                <w:sz w:val="21"/>
                <w:szCs w:val="21"/>
              </w:rPr>
            </w:pPr>
            <w:r>
              <w:rPr>
                <w:rFonts w:hint="eastAsia"/>
                <w:color w:val="auto"/>
                <w:kern w:val="0"/>
                <w:sz w:val="21"/>
                <w:szCs w:val="21"/>
              </w:rPr>
              <w:t>（3）为我省ECMO患者提供安全、精准且标准化的院际转运护理服务，促进危重症患者转运护理领域的专业化进程，提升医疗机构在危重症救治方面的综合能力，为医疗健康服务体系的完善与高质量发展奠定坚实基础。</w:t>
            </w:r>
          </w:p>
        </w:tc>
      </w:tr>
      <w:tr w14:paraId="7788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77183A78">
            <w:pPr>
              <w:pStyle w:val="14"/>
              <w:rPr>
                <w:rFonts w:hAnsi="宋体"/>
                <w:szCs w:val="22"/>
              </w:rPr>
            </w:pPr>
            <w:r>
              <w:rPr>
                <w:rFonts w:hint="eastAsia" w:hAnsi="宋体"/>
                <w:szCs w:val="22"/>
              </w:rPr>
              <w:t>3.制定标准的原则和依据，与现行法律法规、标准的关系。</w:t>
            </w:r>
          </w:p>
        </w:tc>
      </w:tr>
      <w:tr w14:paraId="330A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3A97163E">
            <w:pPr>
              <w:pStyle w:val="18"/>
              <w:spacing w:line="460" w:lineRule="exact"/>
              <w:ind w:firstLine="420"/>
              <w:rPr>
                <w:rFonts w:hint="eastAsia" w:ascii="宋体" w:hAnsi="宋体"/>
                <w:kern w:val="0"/>
              </w:rPr>
            </w:pPr>
            <w:r>
              <w:rPr>
                <w:rFonts w:hint="eastAsia" w:ascii="宋体" w:hAnsi="宋体"/>
                <w:kern w:val="0"/>
              </w:rPr>
              <w:t>（1）制定标准的原则</w:t>
            </w:r>
          </w:p>
          <w:p w14:paraId="371069BA">
            <w:pPr>
              <w:pStyle w:val="18"/>
              <w:spacing w:line="460" w:lineRule="exact"/>
              <w:ind w:firstLine="420"/>
              <w:rPr>
                <w:rFonts w:hint="eastAsia" w:ascii="宋体" w:hAnsi="宋体"/>
                <w:kern w:val="0"/>
              </w:rPr>
            </w:pPr>
            <w:r>
              <w:rPr>
                <w:rFonts w:hint="eastAsia" w:ascii="宋体" w:hAnsi="宋体"/>
                <w:kern w:val="0"/>
              </w:rPr>
              <w:t>①符合国家的政策，贯彻国家的法律法规；</w:t>
            </w:r>
          </w:p>
          <w:p w14:paraId="41FA3511">
            <w:pPr>
              <w:pStyle w:val="18"/>
              <w:spacing w:line="460" w:lineRule="exact"/>
              <w:ind w:firstLine="420"/>
              <w:rPr>
                <w:rFonts w:hint="eastAsia" w:ascii="宋体" w:hAnsi="宋体"/>
                <w:kern w:val="0"/>
              </w:rPr>
            </w:pPr>
            <w:r>
              <w:rPr>
                <w:rFonts w:hint="eastAsia" w:ascii="宋体" w:hAnsi="宋体"/>
                <w:kern w:val="0"/>
              </w:rPr>
              <w:t>②充分考虑使用要求，</w:t>
            </w:r>
            <w:r>
              <w:rPr>
                <w:rFonts w:hint="eastAsia" w:hAnsi="宋体"/>
                <w:kern w:val="0"/>
                <w:lang w:eastAsia="zh-CN"/>
              </w:rPr>
              <w:t>标准</w:t>
            </w:r>
            <w:r>
              <w:rPr>
                <w:rFonts w:hint="eastAsia" w:ascii="宋体" w:hAnsi="宋体"/>
                <w:kern w:val="0"/>
              </w:rPr>
              <w:t>具有可操作性；</w:t>
            </w:r>
          </w:p>
          <w:p w14:paraId="2254C49C">
            <w:pPr>
              <w:pStyle w:val="18"/>
              <w:spacing w:line="460" w:lineRule="exact"/>
              <w:ind w:firstLine="420"/>
              <w:rPr>
                <w:rFonts w:hint="eastAsia" w:ascii="宋体" w:hAnsi="宋体"/>
                <w:kern w:val="0"/>
              </w:rPr>
            </w:pPr>
            <w:r>
              <w:rPr>
                <w:rFonts w:hint="eastAsia" w:ascii="宋体" w:hAnsi="宋体"/>
                <w:kern w:val="0"/>
              </w:rPr>
              <w:t>③对ECMO患者的院际转运有指导作用。</w:t>
            </w:r>
          </w:p>
          <w:p w14:paraId="066AE628">
            <w:pPr>
              <w:pStyle w:val="18"/>
              <w:spacing w:line="460" w:lineRule="exact"/>
              <w:ind w:firstLine="420"/>
              <w:rPr>
                <w:rFonts w:hint="eastAsia" w:ascii="宋体" w:hAnsi="宋体"/>
                <w:kern w:val="0"/>
              </w:rPr>
            </w:pPr>
            <w:r>
              <w:rPr>
                <w:rFonts w:hint="eastAsia" w:ascii="宋体" w:hAnsi="宋体"/>
                <w:kern w:val="0"/>
              </w:rPr>
              <w:t>（2）制定依据</w:t>
            </w:r>
          </w:p>
          <w:p w14:paraId="3771DC25">
            <w:pPr>
              <w:pStyle w:val="18"/>
              <w:spacing w:line="460" w:lineRule="exact"/>
              <w:ind w:firstLine="420"/>
              <w:rPr>
                <w:rFonts w:hint="eastAsia" w:ascii="宋体" w:hAnsi="宋体"/>
                <w:kern w:val="0"/>
              </w:rPr>
            </w:pPr>
            <w:r>
              <w:rPr>
                <w:rFonts w:hint="default" w:ascii="宋体" w:hAnsi="宋体"/>
                <w:kern w:val="0"/>
              </w:rPr>
              <w:t>①</w:t>
            </w:r>
            <w:r>
              <w:rPr>
                <w:rFonts w:hint="eastAsia" w:ascii="宋体" w:hAnsi="宋体"/>
                <w:kern w:val="0"/>
              </w:rPr>
              <w:t>《电子病历应用管理规范》（试行）（国卫办医发〔2017〕8号）</w:t>
            </w:r>
          </w:p>
          <w:p w14:paraId="767AE667">
            <w:pPr>
              <w:pStyle w:val="18"/>
              <w:spacing w:line="460" w:lineRule="exact"/>
              <w:ind w:firstLine="420"/>
              <w:rPr>
                <w:rFonts w:hint="eastAsia" w:ascii="宋体" w:hAnsi="宋体"/>
                <w:kern w:val="0"/>
              </w:rPr>
            </w:pPr>
            <w:r>
              <w:rPr>
                <w:rFonts w:hint="default" w:ascii="宋体" w:hAnsi="宋体"/>
                <w:kern w:val="0"/>
              </w:rPr>
              <w:t>②</w:t>
            </w:r>
            <w:r>
              <w:rPr>
                <w:rFonts w:hint="eastAsia" w:ascii="宋体" w:hAnsi="宋体"/>
                <w:kern w:val="0"/>
              </w:rPr>
              <w:t>T/CRHA 034-2024 成人体外膜肺氧合</w:t>
            </w:r>
            <w:r>
              <w:rPr>
                <w:rFonts w:hint="eastAsia" w:hAnsi="宋体"/>
                <w:kern w:val="0"/>
                <w:lang w:eastAsia="zh-CN"/>
              </w:rPr>
              <w:t>（</w:t>
            </w:r>
            <w:r>
              <w:rPr>
                <w:rFonts w:hint="eastAsia" w:ascii="宋体" w:hAnsi="宋体"/>
                <w:kern w:val="0"/>
              </w:rPr>
              <w:t>ECMO</w:t>
            </w:r>
            <w:r>
              <w:rPr>
                <w:rFonts w:hint="eastAsia" w:hAnsi="宋体"/>
                <w:kern w:val="0"/>
                <w:lang w:eastAsia="zh-CN"/>
              </w:rPr>
              <w:t>）</w:t>
            </w:r>
            <w:r>
              <w:rPr>
                <w:rFonts w:hint="eastAsia" w:ascii="宋体" w:hAnsi="宋体"/>
                <w:kern w:val="0"/>
              </w:rPr>
              <w:t>护理规范</w:t>
            </w:r>
          </w:p>
          <w:p w14:paraId="1F9300F4">
            <w:pPr>
              <w:pStyle w:val="18"/>
              <w:spacing w:line="460" w:lineRule="exact"/>
              <w:ind w:firstLine="420"/>
              <w:rPr>
                <w:rFonts w:hint="eastAsia" w:ascii="宋体" w:hAnsi="宋体"/>
                <w:kern w:val="0"/>
              </w:rPr>
            </w:pPr>
            <w:r>
              <w:rPr>
                <w:rFonts w:hint="default" w:ascii="宋体" w:hAnsi="宋体"/>
                <w:kern w:val="0"/>
              </w:rPr>
              <w:t>③</w:t>
            </w:r>
            <w:r>
              <w:rPr>
                <w:rFonts w:hint="eastAsia" w:ascii="宋体" w:hAnsi="宋体"/>
                <w:kern w:val="0"/>
              </w:rPr>
              <w:t>《国家卫生健康委办公厅关于印发成人体外膜肺氧合技术操作规范（2024年版）的通知》（国卫办医函〔2024〕427号）</w:t>
            </w:r>
          </w:p>
          <w:p w14:paraId="5907F99B">
            <w:pPr>
              <w:pStyle w:val="18"/>
              <w:spacing w:line="460" w:lineRule="exact"/>
              <w:ind w:firstLine="420"/>
              <w:rPr>
                <w:rFonts w:hint="eastAsia" w:ascii="宋体" w:hAnsi="宋体"/>
                <w:kern w:val="0"/>
              </w:rPr>
            </w:pPr>
            <w:r>
              <w:rPr>
                <w:rFonts w:hint="eastAsia" w:ascii="宋体" w:hAnsi="宋体"/>
                <w:kern w:val="0"/>
              </w:rPr>
              <w:t>④成人体外膜肺氧合患者院际转运护理专家共识（2020年）</w:t>
            </w:r>
          </w:p>
          <w:p w14:paraId="3FDDB317">
            <w:pPr>
              <w:pStyle w:val="18"/>
              <w:spacing w:line="460" w:lineRule="exact"/>
              <w:ind w:firstLine="420"/>
              <w:rPr>
                <w:rFonts w:hint="eastAsia" w:ascii="宋体" w:hAnsi="宋体"/>
                <w:kern w:val="0"/>
              </w:rPr>
            </w:pPr>
            <w:r>
              <w:rPr>
                <w:rFonts w:hint="eastAsia" w:ascii="宋体" w:hAnsi="宋体"/>
                <w:kern w:val="0"/>
              </w:rPr>
              <w:t>在国家相关规范、专家共识下，根据安徽省危重症患者护理现况和需求实际制订本标准。</w:t>
            </w:r>
          </w:p>
          <w:p w14:paraId="73E66ECA">
            <w:pPr>
              <w:pStyle w:val="18"/>
              <w:spacing w:line="460" w:lineRule="exact"/>
              <w:ind w:firstLine="420"/>
              <w:rPr>
                <w:rFonts w:hint="eastAsia" w:ascii="宋体" w:hAnsi="宋体"/>
                <w:kern w:val="0"/>
              </w:rPr>
            </w:pPr>
            <w:r>
              <w:rPr>
                <w:rFonts w:hint="eastAsia" w:ascii="宋体" w:hAnsi="宋体"/>
                <w:kern w:val="0"/>
              </w:rPr>
              <w:t>（3）与现行法律法规、标准的关系</w:t>
            </w:r>
          </w:p>
          <w:p w14:paraId="78821FCB">
            <w:pPr>
              <w:pStyle w:val="18"/>
              <w:spacing w:line="460" w:lineRule="exact"/>
              <w:ind w:firstLine="420"/>
            </w:pPr>
            <w:r>
              <w:rPr>
                <w:rFonts w:hint="eastAsia" w:ascii="宋体" w:hAnsi="宋体"/>
                <w:kern w:val="0"/>
              </w:rPr>
              <w:t>本标准遵循现行法律法规的规定，与现行法律法规、标准无冲突。</w:t>
            </w:r>
          </w:p>
        </w:tc>
      </w:tr>
      <w:tr w14:paraId="45D7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3C312EAA">
            <w:pPr>
              <w:pStyle w:val="14"/>
              <w:rPr>
                <w:rFonts w:hAnsi="宋体"/>
                <w:szCs w:val="22"/>
              </w:rPr>
            </w:pPr>
            <w:r>
              <w:rPr>
                <w:rFonts w:hint="eastAsia" w:hAnsi="宋体"/>
                <w:szCs w:val="22"/>
              </w:rPr>
              <w:t>4.主要条款的说明，主要技术指标、参数、试验验证的论述（详细说明）</w:t>
            </w:r>
          </w:p>
        </w:tc>
      </w:tr>
      <w:tr w14:paraId="78F3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4C745286">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本标准的章节由：范围、规范性引用文件、术语和定义、基本要求、转运前评估、转运前准备、转运中管理、转运后交接、评价与改进和附录组成。其中“转运前</w:t>
            </w:r>
            <w:r>
              <w:rPr>
                <w:rFonts w:hint="eastAsia" w:hAnsi="宋体" w:cs="Times New Roman"/>
                <w:kern w:val="0"/>
                <w:sz w:val="21"/>
                <w:lang w:val="en-US" w:eastAsia="zh-CN" w:bidi="ar-SA"/>
              </w:rPr>
              <w:t>评估</w:t>
            </w:r>
            <w:r>
              <w:rPr>
                <w:rFonts w:hint="eastAsia" w:ascii="宋体" w:hAnsi="宋体" w:eastAsia="宋体" w:cs="Times New Roman"/>
                <w:kern w:val="0"/>
                <w:sz w:val="21"/>
                <w:lang w:val="en-US" w:eastAsia="zh-CN" w:bidi="ar-SA"/>
              </w:rPr>
              <w:t>”</w:t>
            </w:r>
            <w:r>
              <w:rPr>
                <w:rFonts w:hint="eastAsia" w:hAnsi="宋体" w:cs="Times New Roman"/>
                <w:kern w:val="0"/>
                <w:sz w:val="21"/>
                <w:lang w:val="en-US" w:eastAsia="zh-CN" w:bidi="ar-SA"/>
              </w:rPr>
              <w:t>、</w:t>
            </w:r>
            <w:r>
              <w:rPr>
                <w:rFonts w:hint="eastAsia" w:ascii="宋体" w:hAnsi="宋体" w:eastAsia="宋体" w:cs="Times New Roman"/>
                <w:kern w:val="0"/>
                <w:sz w:val="21"/>
                <w:lang w:val="en-US" w:eastAsia="zh-CN" w:bidi="ar-SA"/>
              </w:rPr>
              <w:t>“转运前准备”、“转运中管理”和“转运后交接”是本标准的主要技术内容。</w:t>
            </w:r>
          </w:p>
          <w:p w14:paraId="645C0CB5">
            <w:pPr>
              <w:pStyle w:val="14"/>
              <w:spacing w:line="460" w:lineRule="exact"/>
              <w:rPr>
                <w:rFonts w:hint="eastAsia" w:hAnsi="宋体" w:cs="Times New Roman"/>
                <w:kern w:val="0"/>
                <w:sz w:val="21"/>
                <w:lang w:val="en-US" w:eastAsia="zh-CN" w:bidi="ar-SA"/>
              </w:rPr>
            </w:pPr>
            <w:r>
              <w:rPr>
                <w:rFonts w:hint="eastAsia" w:hAnsi="宋体" w:cs="Times New Roman"/>
                <w:kern w:val="0"/>
                <w:sz w:val="21"/>
                <w:lang w:val="en-US" w:eastAsia="zh-CN" w:bidi="ar-SA"/>
              </w:rPr>
              <w:t>（1）</w:t>
            </w:r>
            <w:r>
              <w:rPr>
                <w:rFonts w:hint="eastAsia" w:ascii="宋体" w:hAnsi="宋体" w:eastAsia="宋体" w:cs="Times New Roman"/>
                <w:kern w:val="0"/>
                <w:sz w:val="21"/>
                <w:lang w:val="en-US" w:eastAsia="zh-CN" w:bidi="ar-SA"/>
              </w:rPr>
              <w:t>转运前</w:t>
            </w:r>
            <w:r>
              <w:rPr>
                <w:rFonts w:hint="eastAsia" w:hAnsi="宋体" w:cs="Times New Roman"/>
                <w:kern w:val="0"/>
                <w:sz w:val="21"/>
                <w:lang w:val="en-US" w:eastAsia="zh-CN" w:bidi="ar-SA"/>
              </w:rPr>
              <w:t>评估</w:t>
            </w:r>
          </w:p>
          <w:p w14:paraId="2EB7B044">
            <w:pPr>
              <w:pStyle w:val="14"/>
              <w:spacing w:line="460" w:lineRule="exact"/>
              <w:rPr>
                <w:rFonts w:hint="default" w:hAnsi="宋体" w:eastAsia="宋体" w:cs="Times New Roman"/>
                <w:kern w:val="0"/>
                <w:sz w:val="21"/>
                <w:lang w:val="en-US" w:eastAsia="zh-CN" w:bidi="ar-SA"/>
              </w:rPr>
            </w:pPr>
            <w:r>
              <w:rPr>
                <w:rFonts w:hint="eastAsia" w:hAnsi="宋体" w:cs="Times New Roman"/>
                <w:kern w:val="0"/>
                <w:sz w:val="21"/>
                <w:lang w:val="en-US" w:eastAsia="zh-CN" w:bidi="ar-SA"/>
              </w:rPr>
              <w:t>规定了转运前评估内容，包括</w:t>
            </w:r>
            <w:r>
              <w:rPr>
                <w:rFonts w:hint="default" w:ascii="Times New Roman" w:hAnsi="Times New Roman" w:cs="Times New Roman"/>
              </w:rPr>
              <w:t>评估转运风险及获益</w:t>
            </w:r>
            <w:r>
              <w:rPr>
                <w:rFonts w:hint="eastAsia" w:ascii="Times New Roman" w:cs="Times New Roman"/>
                <w:lang w:val="en-US" w:eastAsia="zh-CN"/>
              </w:rPr>
              <w:t>、</w:t>
            </w:r>
            <w:r>
              <w:rPr>
                <w:rFonts w:hint="eastAsia" w:ascii="Times New Roman" w:cs="Times New Roman"/>
                <w:lang w:eastAsia="zh-CN"/>
              </w:rPr>
              <w:t>患者的转运风险耐受程度</w:t>
            </w:r>
            <w:r>
              <w:rPr>
                <w:rFonts w:hint="eastAsia" w:ascii="Times New Roman" w:cs="Times New Roman"/>
                <w:lang w:val="en-US" w:eastAsia="zh-CN"/>
              </w:rPr>
              <w:t>等。</w:t>
            </w:r>
          </w:p>
          <w:p w14:paraId="581582D9">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w:t>
            </w:r>
            <w:r>
              <w:rPr>
                <w:rFonts w:hint="eastAsia" w:hAnsi="宋体" w:cs="Times New Roman"/>
                <w:kern w:val="0"/>
                <w:sz w:val="21"/>
                <w:lang w:val="en-US" w:eastAsia="zh-CN" w:bidi="ar-SA"/>
              </w:rPr>
              <w:t>2</w:t>
            </w:r>
            <w:r>
              <w:rPr>
                <w:rFonts w:hint="eastAsia" w:ascii="宋体" w:hAnsi="宋体" w:eastAsia="宋体" w:cs="Times New Roman"/>
                <w:kern w:val="0"/>
                <w:sz w:val="21"/>
                <w:lang w:val="en-US" w:eastAsia="zh-CN" w:bidi="ar-SA"/>
              </w:rPr>
              <w:t>）转运前准备</w:t>
            </w:r>
          </w:p>
          <w:p w14:paraId="7DABCEB5">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充分的转运前准备是高效、安全完成ECMO患者院际转运的基础，编制组基于省内医疗资源的可及性及各医疗机构ECMO患者院际转运开展的现状，提出ECMO患者院际转运前应至少做好以下准备：制定转运计划、对照转运</w:t>
            </w:r>
            <w:r>
              <w:rPr>
                <w:rFonts w:hint="eastAsia" w:hAnsi="宋体" w:cs="Times New Roman"/>
                <w:kern w:val="0"/>
                <w:sz w:val="21"/>
                <w:lang w:val="en-US" w:eastAsia="zh-CN" w:bidi="ar-SA"/>
              </w:rPr>
              <w:t>清单备齐物品</w:t>
            </w:r>
            <w:r>
              <w:rPr>
                <w:rFonts w:hint="eastAsia" w:ascii="宋体" w:hAnsi="宋体" w:eastAsia="宋体" w:cs="Times New Roman"/>
                <w:kern w:val="0"/>
                <w:sz w:val="21"/>
                <w:lang w:val="en-US" w:eastAsia="zh-CN" w:bidi="ar-SA"/>
              </w:rPr>
              <w:t>、</w:t>
            </w:r>
            <w:r>
              <w:rPr>
                <w:rFonts w:hint="eastAsia" w:hAnsi="宋体" w:cs="Times New Roman"/>
                <w:kern w:val="0"/>
                <w:sz w:val="21"/>
                <w:lang w:val="en-US" w:eastAsia="zh-CN" w:bidi="ar-SA"/>
              </w:rPr>
              <w:t>妥善固定</w:t>
            </w:r>
            <w:r>
              <w:rPr>
                <w:rFonts w:hint="default" w:hAnsi="宋体" w:cs="Times New Roman"/>
                <w:kern w:val="0"/>
                <w:sz w:val="21"/>
                <w:lang w:val="en-US" w:eastAsia="zh-CN" w:bidi="ar-SA"/>
              </w:rPr>
              <w:t>ECMO</w:t>
            </w:r>
            <w:r>
              <w:rPr>
                <w:rFonts w:hint="eastAsia" w:hAnsi="宋体" w:cs="Times New Roman"/>
                <w:kern w:val="0"/>
                <w:sz w:val="21"/>
                <w:lang w:val="en-US" w:eastAsia="zh-CN" w:bidi="ar-SA"/>
              </w:rPr>
              <w:t>组件及管路、人工气道管理等</w:t>
            </w:r>
            <w:r>
              <w:rPr>
                <w:rFonts w:hint="eastAsia" w:ascii="宋体" w:hAnsi="宋体" w:eastAsia="宋体" w:cs="Times New Roman"/>
                <w:kern w:val="0"/>
                <w:sz w:val="21"/>
                <w:lang w:val="en-US" w:eastAsia="zh-CN" w:bidi="ar-SA"/>
              </w:rPr>
              <w:t>。</w:t>
            </w:r>
          </w:p>
          <w:p w14:paraId="05621064">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w:t>
            </w:r>
            <w:r>
              <w:rPr>
                <w:rFonts w:hint="eastAsia" w:hAnsi="宋体" w:cs="Times New Roman"/>
                <w:kern w:val="0"/>
                <w:sz w:val="21"/>
                <w:lang w:val="en-US" w:eastAsia="zh-CN" w:bidi="ar-SA"/>
              </w:rPr>
              <w:t>3</w:t>
            </w:r>
            <w:r>
              <w:rPr>
                <w:rFonts w:hint="eastAsia" w:ascii="宋体" w:hAnsi="宋体" w:eastAsia="宋体" w:cs="Times New Roman"/>
                <w:kern w:val="0"/>
                <w:sz w:val="21"/>
                <w:lang w:val="en-US" w:eastAsia="zh-CN" w:bidi="ar-SA"/>
              </w:rPr>
              <w:t>）转运中管理</w:t>
            </w:r>
          </w:p>
          <w:p w14:paraId="2B774010">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确定了ECMO患者院际转运中监护的服务流程包括快速建立救护车内有序的救治环境，做好生命体征及ECMO监护，遇突发情况转至就近医院救治，并按照院际转运清单进行记录，明确了每个环节中具体服务流程及内容。</w:t>
            </w:r>
          </w:p>
          <w:p w14:paraId="0A124FEA">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w:t>
            </w:r>
            <w:r>
              <w:rPr>
                <w:rFonts w:hint="eastAsia" w:hAnsi="宋体" w:cs="Times New Roman"/>
                <w:kern w:val="0"/>
                <w:sz w:val="21"/>
                <w:lang w:val="en-US" w:eastAsia="zh-CN" w:bidi="ar-SA"/>
              </w:rPr>
              <w:t>4</w:t>
            </w:r>
            <w:r>
              <w:rPr>
                <w:rFonts w:hint="eastAsia" w:ascii="宋体" w:hAnsi="宋体" w:eastAsia="宋体" w:cs="Times New Roman"/>
                <w:kern w:val="0"/>
                <w:sz w:val="21"/>
                <w:lang w:val="en-US" w:eastAsia="zh-CN" w:bidi="ar-SA"/>
              </w:rPr>
              <w:t>）转运后交接</w:t>
            </w:r>
          </w:p>
          <w:p w14:paraId="29041B3E">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转运后交接是确保接收方全面了解患者病情的关键环节，交接过程也是明确转出医院和接收医院责任的重要环节。编制</w:t>
            </w:r>
            <w:r>
              <w:rPr>
                <w:rFonts w:hint="eastAsia" w:hAnsi="宋体" w:cs="Times New Roman"/>
                <w:kern w:val="0"/>
                <w:sz w:val="21"/>
                <w:lang w:val="en-US" w:eastAsia="zh-CN" w:bidi="ar-SA"/>
              </w:rPr>
              <w:t>小</w:t>
            </w:r>
            <w:r>
              <w:rPr>
                <w:rFonts w:hint="eastAsia" w:ascii="宋体" w:hAnsi="宋体" w:eastAsia="宋体" w:cs="Times New Roman"/>
                <w:kern w:val="0"/>
                <w:sz w:val="21"/>
                <w:lang w:val="en-US" w:eastAsia="zh-CN" w:bidi="ar-SA"/>
              </w:rPr>
              <w:t>组结合省内ECMO患者院际转运的服务流程，明确了转运后交接的具体内容，包括有序接通各项仪器设备设施</w:t>
            </w:r>
            <w:r>
              <w:rPr>
                <w:rFonts w:hint="eastAsia" w:hAnsi="宋体" w:cs="Times New Roman"/>
                <w:kern w:val="0"/>
                <w:sz w:val="21"/>
                <w:lang w:val="en-US" w:eastAsia="zh-CN" w:bidi="ar-SA"/>
              </w:rPr>
              <w:t>并</w:t>
            </w:r>
            <w:r>
              <w:rPr>
                <w:rFonts w:hint="eastAsia" w:ascii="宋体" w:hAnsi="宋体" w:eastAsia="宋体" w:cs="Times New Roman"/>
                <w:kern w:val="0"/>
                <w:sz w:val="21"/>
                <w:lang w:val="en-US" w:eastAsia="zh-CN" w:bidi="ar-SA"/>
              </w:rPr>
              <w:t>做好</w:t>
            </w:r>
            <w:r>
              <w:rPr>
                <w:rFonts w:hint="eastAsia" w:hAnsi="宋体" w:cs="Times New Roman"/>
                <w:kern w:val="0"/>
                <w:sz w:val="21"/>
                <w:lang w:val="en-US" w:eastAsia="zh-CN" w:bidi="ar-SA"/>
              </w:rPr>
              <w:t>患者</w:t>
            </w:r>
            <w:r>
              <w:rPr>
                <w:rFonts w:hint="eastAsia" w:ascii="宋体" w:hAnsi="宋体" w:eastAsia="宋体" w:cs="Times New Roman"/>
                <w:kern w:val="0"/>
                <w:sz w:val="21"/>
                <w:lang w:val="en-US" w:eastAsia="zh-CN" w:bidi="ar-SA"/>
              </w:rPr>
              <w:t>交接、确保</w:t>
            </w:r>
            <w:r>
              <w:rPr>
                <w:rFonts w:hint="eastAsia" w:hAnsi="宋体" w:cs="Times New Roman"/>
                <w:kern w:val="0"/>
                <w:sz w:val="21"/>
                <w:lang w:val="en-US" w:eastAsia="zh-CN" w:bidi="ar-SA"/>
              </w:rPr>
              <w:t>转运物品处于</w:t>
            </w:r>
            <w:r>
              <w:rPr>
                <w:rFonts w:hint="eastAsia" w:ascii="宋体" w:hAnsi="宋体" w:eastAsia="宋体" w:cs="Times New Roman"/>
                <w:kern w:val="0"/>
                <w:sz w:val="21"/>
                <w:lang w:val="en-US" w:eastAsia="zh-CN" w:bidi="ar-SA"/>
              </w:rPr>
              <w:t>有效备用状态</w:t>
            </w:r>
            <w:r>
              <w:rPr>
                <w:rFonts w:hint="eastAsia" w:hAnsi="宋体" w:cs="Times New Roman"/>
                <w:kern w:val="0"/>
                <w:sz w:val="21"/>
                <w:lang w:val="en-US" w:eastAsia="zh-CN" w:bidi="ar-SA"/>
              </w:rPr>
              <w:t>等</w:t>
            </w:r>
            <w:r>
              <w:rPr>
                <w:rFonts w:hint="eastAsia" w:ascii="宋体" w:hAnsi="宋体" w:eastAsia="宋体" w:cs="Times New Roman"/>
                <w:kern w:val="0"/>
                <w:sz w:val="21"/>
                <w:lang w:val="en-US" w:eastAsia="zh-CN" w:bidi="ar-SA"/>
              </w:rPr>
              <w:t>。</w:t>
            </w:r>
          </w:p>
          <w:p w14:paraId="69B4E2E9">
            <w:pPr>
              <w:pStyle w:val="14"/>
              <w:spacing w:line="460" w:lineRule="exact"/>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本标准在制定过程中采用查询文献资料、历史数据回顾、现场调研等方式，并广泛征求各级医疗机构专业人员的意见进行制订，确保标准的实用性、科学性。</w:t>
            </w:r>
          </w:p>
          <w:p w14:paraId="6D3A8456">
            <w:pPr>
              <w:pStyle w:val="14"/>
              <w:spacing w:line="460" w:lineRule="exact"/>
              <w:rPr>
                <w:rFonts w:hAnsi="宋体"/>
                <w:szCs w:val="21"/>
              </w:rPr>
            </w:pPr>
            <w:r>
              <w:rPr>
                <w:rFonts w:hint="eastAsia" w:ascii="宋体" w:hAnsi="宋体" w:eastAsia="宋体" w:cs="Times New Roman"/>
                <w:kern w:val="0"/>
                <w:sz w:val="21"/>
                <w:lang w:val="en-US" w:eastAsia="zh-CN" w:bidi="ar-SA"/>
              </w:rPr>
              <w:t>我省没有体外膜肺氧合患者院际转运</w:t>
            </w:r>
            <w:r>
              <w:rPr>
                <w:rFonts w:hint="eastAsia" w:hAnsi="宋体" w:cs="Times New Roman"/>
                <w:kern w:val="0"/>
                <w:sz w:val="21"/>
                <w:lang w:val="en-US" w:eastAsia="zh-CN" w:bidi="ar-SA"/>
              </w:rPr>
              <w:t>服务</w:t>
            </w:r>
            <w:r>
              <w:rPr>
                <w:rFonts w:hint="eastAsia" w:ascii="宋体" w:hAnsi="宋体" w:eastAsia="宋体" w:cs="Times New Roman"/>
                <w:kern w:val="0"/>
                <w:sz w:val="21"/>
                <w:lang w:val="en-US" w:eastAsia="zh-CN" w:bidi="ar-SA"/>
              </w:rPr>
              <w:t>相关标准，标准内容上符合安徽省地方发展需求</w:t>
            </w:r>
            <w:r>
              <w:rPr>
                <w:rFonts w:hint="eastAsia" w:hAnsi="宋体" w:cs="Times New Roman"/>
                <w:kern w:val="0"/>
                <w:sz w:val="21"/>
                <w:lang w:val="en-US" w:eastAsia="zh-CN" w:bidi="ar-SA"/>
              </w:rPr>
              <w:t>，且</w:t>
            </w:r>
            <w:r>
              <w:rPr>
                <w:rFonts w:hint="eastAsia" w:ascii="宋体" w:hAnsi="宋体" w:eastAsia="宋体" w:cs="Times New Roman"/>
                <w:kern w:val="0"/>
                <w:sz w:val="21"/>
                <w:lang w:val="en-US" w:eastAsia="zh-CN" w:bidi="ar-SA"/>
              </w:rPr>
              <w:t>基于我省ECMO患者院际转运应用实践的基础上进行总结和提炼，具有较强的适用性和可操作性。</w:t>
            </w:r>
          </w:p>
        </w:tc>
      </w:tr>
      <w:tr w14:paraId="53A2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3B94B9A5">
            <w:pPr>
              <w:widowControl/>
              <w:autoSpaceDE w:val="0"/>
              <w:autoSpaceDN w:val="0"/>
              <w:adjustRightInd w:val="0"/>
              <w:spacing w:line="560" w:lineRule="exact"/>
              <w:ind w:firstLine="420" w:firstLineChars="200"/>
              <w:contextualSpacing/>
              <w:rPr>
                <w:rFonts w:ascii="宋体" w:hAnsi="宋体"/>
                <w:kern w:val="0"/>
              </w:rPr>
            </w:pPr>
            <w:bookmarkStart w:id="0" w:name="_Toc464905613"/>
            <w:r>
              <w:rPr>
                <w:rFonts w:hint="eastAsia" w:ascii="宋体" w:hAnsi="宋体"/>
                <w:kern w:val="0"/>
              </w:rPr>
              <w:t>5.标准中如果涉及专利，应有明确的知识产权说明</w:t>
            </w:r>
            <w:bookmarkEnd w:id="0"/>
          </w:p>
        </w:tc>
      </w:tr>
      <w:tr w14:paraId="177C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25D27FC8">
            <w:pPr>
              <w:widowControl/>
              <w:autoSpaceDE w:val="0"/>
              <w:autoSpaceDN w:val="0"/>
              <w:adjustRightInd w:val="0"/>
              <w:spacing w:line="560" w:lineRule="exact"/>
              <w:ind w:firstLine="420" w:firstLineChars="200"/>
              <w:contextualSpacing/>
              <w:rPr>
                <w:rFonts w:ascii="宋体" w:hAnsi="宋体"/>
                <w:kern w:val="0"/>
              </w:rPr>
            </w:pPr>
            <w:r>
              <w:rPr>
                <w:rFonts w:hint="eastAsia" w:ascii="宋体" w:hAnsi="宋体"/>
                <w:kern w:val="0"/>
              </w:rPr>
              <w:t>本标准不涉及专利。</w:t>
            </w:r>
          </w:p>
        </w:tc>
      </w:tr>
      <w:tr w14:paraId="72AB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2B0ED26C">
            <w:pPr>
              <w:widowControl/>
              <w:autoSpaceDE w:val="0"/>
              <w:autoSpaceDN w:val="0"/>
              <w:adjustRightInd w:val="0"/>
              <w:spacing w:line="560" w:lineRule="exact"/>
              <w:ind w:firstLine="420" w:firstLineChars="200"/>
              <w:contextualSpacing/>
              <w:rPr>
                <w:rFonts w:ascii="宋体" w:hAnsi="宋体"/>
                <w:kern w:val="0"/>
              </w:rPr>
            </w:pPr>
            <w:bookmarkStart w:id="1" w:name="_Toc465074267"/>
            <w:r>
              <w:rPr>
                <w:rFonts w:hint="eastAsia" w:ascii="宋体" w:hAnsi="宋体"/>
                <w:kern w:val="0"/>
              </w:rPr>
              <w:t>6.采用国际标准或国外先进标准的，说明采标程度，以及国内外同类标准水平的对比情况</w:t>
            </w:r>
            <w:bookmarkEnd w:id="1"/>
          </w:p>
        </w:tc>
      </w:tr>
      <w:tr w14:paraId="4955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2CE787E4">
            <w:pPr>
              <w:widowControl/>
              <w:autoSpaceDE w:val="0"/>
              <w:autoSpaceDN w:val="0"/>
              <w:adjustRightInd w:val="0"/>
              <w:spacing w:line="560" w:lineRule="exact"/>
              <w:ind w:firstLine="420" w:firstLineChars="200"/>
              <w:contextualSpacing/>
              <w:rPr>
                <w:rFonts w:ascii="宋体" w:hAnsi="宋体"/>
                <w:kern w:val="0"/>
              </w:rPr>
            </w:pPr>
            <w:r>
              <w:rPr>
                <w:rFonts w:hint="eastAsia" w:ascii="宋体" w:hAnsi="宋体"/>
                <w:kern w:val="0"/>
              </w:rPr>
              <w:t>无。</w:t>
            </w:r>
          </w:p>
        </w:tc>
      </w:tr>
      <w:tr w14:paraId="5D2B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5FE7DD8D">
            <w:pPr>
              <w:widowControl/>
              <w:autoSpaceDE w:val="0"/>
              <w:autoSpaceDN w:val="0"/>
              <w:adjustRightInd w:val="0"/>
              <w:spacing w:line="560" w:lineRule="exact"/>
              <w:ind w:firstLine="420" w:firstLineChars="200"/>
              <w:contextualSpacing/>
              <w:rPr>
                <w:rFonts w:ascii="宋体" w:hAnsi="宋体"/>
                <w:kern w:val="0"/>
              </w:rPr>
            </w:pPr>
            <w:bookmarkStart w:id="2" w:name="_Toc464902854"/>
            <w:r>
              <w:rPr>
                <w:rFonts w:hint="eastAsia" w:ascii="宋体" w:hAnsi="宋体"/>
                <w:kern w:val="0"/>
              </w:rPr>
              <w:t>7.重大分歧意见的处理经过和依据</w:t>
            </w:r>
            <w:bookmarkEnd w:id="2"/>
          </w:p>
        </w:tc>
      </w:tr>
      <w:tr w14:paraId="7E23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5FB6AD4B">
            <w:pPr>
              <w:widowControl/>
              <w:autoSpaceDE w:val="0"/>
              <w:autoSpaceDN w:val="0"/>
              <w:adjustRightInd w:val="0"/>
              <w:spacing w:line="560" w:lineRule="exact"/>
              <w:ind w:firstLine="420" w:firstLineChars="200"/>
              <w:contextualSpacing/>
              <w:rPr>
                <w:rFonts w:ascii="宋体" w:hAnsi="宋体"/>
                <w:kern w:val="0"/>
              </w:rPr>
            </w:pPr>
            <w:r>
              <w:rPr>
                <w:rFonts w:hint="eastAsia" w:ascii="宋体" w:hAnsi="宋体"/>
                <w:kern w:val="0"/>
              </w:rPr>
              <w:t>无。</w:t>
            </w:r>
          </w:p>
        </w:tc>
      </w:tr>
      <w:tr w14:paraId="463D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2035AD14">
            <w:pPr>
              <w:widowControl/>
              <w:autoSpaceDE w:val="0"/>
              <w:autoSpaceDN w:val="0"/>
              <w:adjustRightInd w:val="0"/>
              <w:spacing w:line="560" w:lineRule="exact"/>
              <w:ind w:firstLine="420" w:firstLineChars="200"/>
              <w:contextualSpacing/>
              <w:rPr>
                <w:rFonts w:ascii="宋体" w:hAnsi="宋体"/>
                <w:kern w:val="0"/>
              </w:rPr>
            </w:pPr>
            <w:bookmarkStart w:id="3" w:name="_Toc464902855"/>
            <w:r>
              <w:rPr>
                <w:rFonts w:hint="eastAsia" w:ascii="宋体" w:hAnsi="宋体"/>
                <w:kern w:val="0"/>
              </w:rPr>
              <w:t>8.贯彻标准的要求和措施建议（包括组织措施、技术措施、过渡办法、实施日期等）</w:t>
            </w:r>
            <w:bookmarkEnd w:id="3"/>
          </w:p>
        </w:tc>
      </w:tr>
      <w:tr w14:paraId="2DA9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4FD8079F">
            <w:pPr>
              <w:spacing w:line="460" w:lineRule="exact"/>
              <w:ind w:firstLine="420" w:firstLineChars="200"/>
            </w:pPr>
            <w:r>
              <w:rPr>
                <w:rFonts w:hint="eastAsia"/>
              </w:rPr>
              <w:t>本范本完成制订、批准发布后，编制单位拟组织全省范围内相关技术人员开展宣传、培训，使其能真正得到实际应用，以便更好地发挥社会效益和经济效益。另外，编制单位将对该标准执行情况进行跟踪调查，及时发现和收集范本执行中发现的问题，不断修改完善，提升范本技术水平，进一步提高该范本的科学性、适用性和应用范围。</w:t>
            </w:r>
          </w:p>
        </w:tc>
      </w:tr>
      <w:tr w14:paraId="0A9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51321D64">
            <w:pPr>
              <w:widowControl/>
              <w:autoSpaceDE w:val="0"/>
              <w:autoSpaceDN w:val="0"/>
              <w:adjustRightInd w:val="0"/>
              <w:spacing w:line="560" w:lineRule="exact"/>
              <w:ind w:firstLine="420" w:firstLineChars="200"/>
              <w:contextualSpacing/>
              <w:rPr>
                <w:rFonts w:ascii="宋体" w:hAnsi="宋体"/>
                <w:kern w:val="0"/>
              </w:rPr>
            </w:pPr>
            <w:bookmarkStart w:id="4" w:name="_Toc464902856"/>
            <w:r>
              <w:rPr>
                <w:rFonts w:hint="eastAsia" w:ascii="宋体" w:hAnsi="宋体"/>
                <w:kern w:val="0"/>
              </w:rPr>
              <w:t>9.废止现行相关标准的建议</w:t>
            </w:r>
            <w:bookmarkEnd w:id="4"/>
          </w:p>
        </w:tc>
      </w:tr>
      <w:tr w14:paraId="33BC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77207886">
            <w:pPr>
              <w:widowControl/>
              <w:autoSpaceDE w:val="0"/>
              <w:autoSpaceDN w:val="0"/>
              <w:adjustRightInd w:val="0"/>
              <w:spacing w:line="560" w:lineRule="exact"/>
              <w:ind w:firstLine="420" w:firstLineChars="200"/>
              <w:contextualSpacing/>
              <w:rPr>
                <w:rFonts w:ascii="宋体" w:hAnsi="宋体"/>
                <w:kern w:val="0"/>
              </w:rPr>
            </w:pPr>
            <w:r>
              <w:rPr>
                <w:rFonts w:hint="eastAsia" w:ascii="宋体" w:hAnsi="宋体"/>
                <w:kern w:val="0"/>
              </w:rPr>
              <w:t>无。</w:t>
            </w:r>
          </w:p>
        </w:tc>
      </w:tr>
      <w:tr w14:paraId="6033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690782D9">
            <w:pPr>
              <w:widowControl/>
              <w:autoSpaceDE w:val="0"/>
              <w:autoSpaceDN w:val="0"/>
              <w:adjustRightInd w:val="0"/>
              <w:spacing w:line="560" w:lineRule="exact"/>
              <w:ind w:firstLine="420" w:firstLineChars="200"/>
              <w:contextualSpacing/>
              <w:rPr>
                <w:rFonts w:ascii="宋体" w:hAnsi="宋体"/>
                <w:kern w:val="0"/>
              </w:rPr>
            </w:pPr>
            <w:bookmarkStart w:id="5" w:name="_Toc464902857"/>
            <w:r>
              <w:rPr>
                <w:rFonts w:hint="eastAsia" w:ascii="宋体" w:hAnsi="宋体"/>
                <w:kern w:val="0"/>
              </w:rPr>
              <w:t>10.其它应予说明的事项</w:t>
            </w:r>
            <w:bookmarkEnd w:id="5"/>
          </w:p>
        </w:tc>
      </w:tr>
      <w:tr w14:paraId="4D86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1" w:type="dxa"/>
            <w:gridSpan w:val="7"/>
            <w:tcBorders>
              <w:top w:val="single" w:color="auto" w:sz="4" w:space="0"/>
              <w:left w:val="single" w:color="auto" w:sz="4" w:space="0"/>
              <w:bottom w:val="single" w:color="auto" w:sz="4" w:space="0"/>
              <w:right w:val="single" w:color="auto" w:sz="4" w:space="0"/>
            </w:tcBorders>
            <w:vAlign w:val="center"/>
          </w:tcPr>
          <w:p w14:paraId="39C4CA01">
            <w:pPr>
              <w:widowControl/>
              <w:autoSpaceDE w:val="0"/>
              <w:autoSpaceDN w:val="0"/>
              <w:adjustRightInd w:val="0"/>
              <w:spacing w:line="560" w:lineRule="exact"/>
              <w:ind w:firstLine="420" w:firstLineChars="200"/>
              <w:contextualSpacing/>
              <w:rPr>
                <w:rFonts w:ascii="宋体" w:hAnsi="宋体"/>
                <w:kern w:val="0"/>
              </w:rPr>
            </w:pPr>
            <w:r>
              <w:rPr>
                <w:rFonts w:hint="eastAsia" w:ascii="宋体" w:hAnsi="宋体"/>
                <w:kern w:val="0"/>
              </w:rPr>
              <w:t>无。</w:t>
            </w:r>
          </w:p>
        </w:tc>
      </w:tr>
    </w:tbl>
    <w:p w14:paraId="392A02C7">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30"/>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pStyle w:val="28"/>
      <w:suff w:val="nothing"/>
      <w:lvlText w:val="%1"/>
      <w:lvlJc w:val="left"/>
      <w:pPr>
        <w:ind w:left="0" w:firstLine="0"/>
      </w:pPr>
      <w:rPr>
        <w:rFonts w:hint="eastAsia"/>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pStyle w:val="27"/>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2"/>
      <w:suff w:val="nothing"/>
      <w:lvlText w:val="%1%2.%3.%4　"/>
      <w:lvlJc w:val="left"/>
      <w:pPr>
        <w:ind w:left="0" w:firstLine="0"/>
      </w:pPr>
      <w:rPr>
        <w:rFonts w:hint="eastAsia" w:ascii="黑体" w:eastAsia="黑体"/>
        <w:b w:val="0"/>
        <w:i w:val="0"/>
        <w:sz w:val="21"/>
      </w:rPr>
    </w:lvl>
    <w:lvl w:ilvl="4" w:tentative="0">
      <w:start w:val="1"/>
      <w:numFmt w:val="decimal"/>
      <w:pStyle w:val="23"/>
      <w:suff w:val="nothing"/>
      <w:lvlText w:val="%1%2.%3.%4.%5　"/>
      <w:lvlJc w:val="left"/>
      <w:pPr>
        <w:ind w:left="0" w:firstLine="0"/>
      </w:pPr>
      <w:rPr>
        <w:rFonts w:hint="eastAsia" w:ascii="黑体" w:eastAsia="黑体"/>
        <w:b w:val="0"/>
        <w:i w:val="0"/>
        <w:sz w:val="21"/>
      </w:rPr>
    </w:lvl>
    <w:lvl w:ilvl="5" w:tentative="0">
      <w:start w:val="1"/>
      <w:numFmt w:val="decimal"/>
      <w:pStyle w:val="24"/>
      <w:suff w:val="nothing"/>
      <w:lvlText w:val="%1%2.%3.%4.%5.%6　"/>
      <w:lvlJc w:val="left"/>
      <w:pPr>
        <w:ind w:left="0" w:firstLine="0"/>
      </w:pPr>
      <w:rPr>
        <w:rFonts w:hint="eastAsia" w:ascii="黑体" w:eastAsia="黑体"/>
        <w:b w:val="0"/>
        <w:i w:val="0"/>
        <w:sz w:val="21"/>
      </w:rPr>
    </w:lvl>
    <w:lvl w:ilvl="6" w:tentative="0">
      <w:start w:val="1"/>
      <w:numFmt w:val="decimal"/>
      <w:pStyle w:val="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3D0110"/>
    <w:rsid w:val="000114FB"/>
    <w:rsid w:val="00011C5B"/>
    <w:rsid w:val="00013651"/>
    <w:rsid w:val="000278D9"/>
    <w:rsid w:val="00027EE5"/>
    <w:rsid w:val="00034D1E"/>
    <w:rsid w:val="000511CC"/>
    <w:rsid w:val="00055F8F"/>
    <w:rsid w:val="000604F8"/>
    <w:rsid w:val="00064F90"/>
    <w:rsid w:val="00073473"/>
    <w:rsid w:val="00077661"/>
    <w:rsid w:val="00084151"/>
    <w:rsid w:val="000A0715"/>
    <w:rsid w:val="000A18E7"/>
    <w:rsid w:val="000A4216"/>
    <w:rsid w:val="000B3830"/>
    <w:rsid w:val="000E35B3"/>
    <w:rsid w:val="00101297"/>
    <w:rsid w:val="001012D2"/>
    <w:rsid w:val="00105B74"/>
    <w:rsid w:val="00107443"/>
    <w:rsid w:val="001132C3"/>
    <w:rsid w:val="00121BDD"/>
    <w:rsid w:val="0013384E"/>
    <w:rsid w:val="001372EC"/>
    <w:rsid w:val="0014265D"/>
    <w:rsid w:val="00143512"/>
    <w:rsid w:val="00145B09"/>
    <w:rsid w:val="0014749D"/>
    <w:rsid w:val="001515FD"/>
    <w:rsid w:val="00160B63"/>
    <w:rsid w:val="00163667"/>
    <w:rsid w:val="00166292"/>
    <w:rsid w:val="0017054A"/>
    <w:rsid w:val="00176A8D"/>
    <w:rsid w:val="00186C39"/>
    <w:rsid w:val="00187046"/>
    <w:rsid w:val="001A63D2"/>
    <w:rsid w:val="001B0C20"/>
    <w:rsid w:val="001B38A7"/>
    <w:rsid w:val="001C66C9"/>
    <w:rsid w:val="001E27E6"/>
    <w:rsid w:val="001F2C08"/>
    <w:rsid w:val="00211F9E"/>
    <w:rsid w:val="00214072"/>
    <w:rsid w:val="002209EF"/>
    <w:rsid w:val="00223326"/>
    <w:rsid w:val="0022486C"/>
    <w:rsid w:val="00244576"/>
    <w:rsid w:val="0024555C"/>
    <w:rsid w:val="002628D5"/>
    <w:rsid w:val="00295BCB"/>
    <w:rsid w:val="002A362E"/>
    <w:rsid w:val="002A4383"/>
    <w:rsid w:val="002A50A0"/>
    <w:rsid w:val="002A5322"/>
    <w:rsid w:val="002A58D9"/>
    <w:rsid w:val="002A677B"/>
    <w:rsid w:val="002B21FF"/>
    <w:rsid w:val="002B4DE0"/>
    <w:rsid w:val="002B59ED"/>
    <w:rsid w:val="002E57D1"/>
    <w:rsid w:val="002F451E"/>
    <w:rsid w:val="002F5F73"/>
    <w:rsid w:val="0030196E"/>
    <w:rsid w:val="00303109"/>
    <w:rsid w:val="00303F98"/>
    <w:rsid w:val="003050DC"/>
    <w:rsid w:val="00330010"/>
    <w:rsid w:val="00331E91"/>
    <w:rsid w:val="00335BD1"/>
    <w:rsid w:val="003374E0"/>
    <w:rsid w:val="00367D71"/>
    <w:rsid w:val="0037171C"/>
    <w:rsid w:val="00376F6B"/>
    <w:rsid w:val="00385DD2"/>
    <w:rsid w:val="003967F8"/>
    <w:rsid w:val="003A0F2B"/>
    <w:rsid w:val="003A3127"/>
    <w:rsid w:val="003A596E"/>
    <w:rsid w:val="003C05A5"/>
    <w:rsid w:val="003C7BD9"/>
    <w:rsid w:val="003D0110"/>
    <w:rsid w:val="003E33EF"/>
    <w:rsid w:val="003E7869"/>
    <w:rsid w:val="004017D1"/>
    <w:rsid w:val="00407D8B"/>
    <w:rsid w:val="00412193"/>
    <w:rsid w:val="0041637E"/>
    <w:rsid w:val="00417D01"/>
    <w:rsid w:val="0044188F"/>
    <w:rsid w:val="004510FD"/>
    <w:rsid w:val="00460679"/>
    <w:rsid w:val="004613C8"/>
    <w:rsid w:val="00461CD3"/>
    <w:rsid w:val="00462321"/>
    <w:rsid w:val="00462A03"/>
    <w:rsid w:val="004758E0"/>
    <w:rsid w:val="00482A09"/>
    <w:rsid w:val="004A5237"/>
    <w:rsid w:val="004A7B34"/>
    <w:rsid w:val="004D254C"/>
    <w:rsid w:val="004D6411"/>
    <w:rsid w:val="004D67A3"/>
    <w:rsid w:val="004D7BBB"/>
    <w:rsid w:val="004E08B0"/>
    <w:rsid w:val="005070F1"/>
    <w:rsid w:val="00512E3B"/>
    <w:rsid w:val="005257E3"/>
    <w:rsid w:val="0052703B"/>
    <w:rsid w:val="00534C86"/>
    <w:rsid w:val="005475A8"/>
    <w:rsid w:val="00553985"/>
    <w:rsid w:val="0055468E"/>
    <w:rsid w:val="005601DA"/>
    <w:rsid w:val="00570E18"/>
    <w:rsid w:val="00582288"/>
    <w:rsid w:val="005849D4"/>
    <w:rsid w:val="00586A81"/>
    <w:rsid w:val="00587B81"/>
    <w:rsid w:val="00594387"/>
    <w:rsid w:val="005A096A"/>
    <w:rsid w:val="005A5E9B"/>
    <w:rsid w:val="005B6F6C"/>
    <w:rsid w:val="005D1119"/>
    <w:rsid w:val="005D3507"/>
    <w:rsid w:val="006405F7"/>
    <w:rsid w:val="0064121E"/>
    <w:rsid w:val="00642A57"/>
    <w:rsid w:val="006615AA"/>
    <w:rsid w:val="00665B00"/>
    <w:rsid w:val="00667AB3"/>
    <w:rsid w:val="0067480D"/>
    <w:rsid w:val="00691805"/>
    <w:rsid w:val="00691811"/>
    <w:rsid w:val="006B2D2A"/>
    <w:rsid w:val="006B637F"/>
    <w:rsid w:val="006B642B"/>
    <w:rsid w:val="006C0F44"/>
    <w:rsid w:val="006C0F5E"/>
    <w:rsid w:val="006C1A5D"/>
    <w:rsid w:val="006C2B60"/>
    <w:rsid w:val="006C320D"/>
    <w:rsid w:val="006D20F1"/>
    <w:rsid w:val="006E0DB3"/>
    <w:rsid w:val="006E160B"/>
    <w:rsid w:val="006E31EE"/>
    <w:rsid w:val="006F78CD"/>
    <w:rsid w:val="00710D35"/>
    <w:rsid w:val="00715AF2"/>
    <w:rsid w:val="00717945"/>
    <w:rsid w:val="007550CE"/>
    <w:rsid w:val="00763A9E"/>
    <w:rsid w:val="007647EE"/>
    <w:rsid w:val="00766647"/>
    <w:rsid w:val="0077506E"/>
    <w:rsid w:val="00782C55"/>
    <w:rsid w:val="0078520D"/>
    <w:rsid w:val="007A301D"/>
    <w:rsid w:val="007A381A"/>
    <w:rsid w:val="007B3E35"/>
    <w:rsid w:val="007C04D2"/>
    <w:rsid w:val="007C458A"/>
    <w:rsid w:val="007E3F8E"/>
    <w:rsid w:val="007E3FB5"/>
    <w:rsid w:val="007E71DF"/>
    <w:rsid w:val="007E7633"/>
    <w:rsid w:val="007E7AAA"/>
    <w:rsid w:val="007F3F60"/>
    <w:rsid w:val="00800170"/>
    <w:rsid w:val="0080401D"/>
    <w:rsid w:val="00805DF8"/>
    <w:rsid w:val="00820678"/>
    <w:rsid w:val="00834266"/>
    <w:rsid w:val="00846DCC"/>
    <w:rsid w:val="00850862"/>
    <w:rsid w:val="00871D71"/>
    <w:rsid w:val="00876860"/>
    <w:rsid w:val="0088319D"/>
    <w:rsid w:val="00885345"/>
    <w:rsid w:val="008B362B"/>
    <w:rsid w:val="008D5F28"/>
    <w:rsid w:val="008E377E"/>
    <w:rsid w:val="008E55CF"/>
    <w:rsid w:val="008E75CD"/>
    <w:rsid w:val="008F2C84"/>
    <w:rsid w:val="008F5DCA"/>
    <w:rsid w:val="009034F0"/>
    <w:rsid w:val="00907400"/>
    <w:rsid w:val="00915225"/>
    <w:rsid w:val="00915388"/>
    <w:rsid w:val="0091667D"/>
    <w:rsid w:val="00916B37"/>
    <w:rsid w:val="00920A03"/>
    <w:rsid w:val="009258C8"/>
    <w:rsid w:val="0093235F"/>
    <w:rsid w:val="00933DFF"/>
    <w:rsid w:val="009402FE"/>
    <w:rsid w:val="00947DBA"/>
    <w:rsid w:val="00950148"/>
    <w:rsid w:val="00976972"/>
    <w:rsid w:val="00984E24"/>
    <w:rsid w:val="00990348"/>
    <w:rsid w:val="0099221B"/>
    <w:rsid w:val="00993088"/>
    <w:rsid w:val="009A104D"/>
    <w:rsid w:val="009B78A3"/>
    <w:rsid w:val="009D6C17"/>
    <w:rsid w:val="009F0F46"/>
    <w:rsid w:val="00A10DA1"/>
    <w:rsid w:val="00A123A9"/>
    <w:rsid w:val="00A15584"/>
    <w:rsid w:val="00A20B2F"/>
    <w:rsid w:val="00A23E08"/>
    <w:rsid w:val="00A3569C"/>
    <w:rsid w:val="00A45131"/>
    <w:rsid w:val="00A51747"/>
    <w:rsid w:val="00A60452"/>
    <w:rsid w:val="00A6274C"/>
    <w:rsid w:val="00A64495"/>
    <w:rsid w:val="00A64AB3"/>
    <w:rsid w:val="00A65A9D"/>
    <w:rsid w:val="00A719D1"/>
    <w:rsid w:val="00A72569"/>
    <w:rsid w:val="00A745CF"/>
    <w:rsid w:val="00A82887"/>
    <w:rsid w:val="00A84543"/>
    <w:rsid w:val="00A91EB8"/>
    <w:rsid w:val="00A946BD"/>
    <w:rsid w:val="00A95A9C"/>
    <w:rsid w:val="00AA3A5A"/>
    <w:rsid w:val="00AA513A"/>
    <w:rsid w:val="00AB16D5"/>
    <w:rsid w:val="00AB5C81"/>
    <w:rsid w:val="00AC2A08"/>
    <w:rsid w:val="00AD5E52"/>
    <w:rsid w:val="00AE29B3"/>
    <w:rsid w:val="00AE7D10"/>
    <w:rsid w:val="00AF28C6"/>
    <w:rsid w:val="00AF4D3D"/>
    <w:rsid w:val="00AF73F3"/>
    <w:rsid w:val="00B078DF"/>
    <w:rsid w:val="00B14628"/>
    <w:rsid w:val="00B316E3"/>
    <w:rsid w:val="00B34DA5"/>
    <w:rsid w:val="00B403E6"/>
    <w:rsid w:val="00B44DEB"/>
    <w:rsid w:val="00B71F90"/>
    <w:rsid w:val="00B75D7D"/>
    <w:rsid w:val="00B90C38"/>
    <w:rsid w:val="00B9660A"/>
    <w:rsid w:val="00BA6D7F"/>
    <w:rsid w:val="00BB2359"/>
    <w:rsid w:val="00BB38F8"/>
    <w:rsid w:val="00BC1BB3"/>
    <w:rsid w:val="00BC7C94"/>
    <w:rsid w:val="00BE339E"/>
    <w:rsid w:val="00BE3707"/>
    <w:rsid w:val="00BE43A4"/>
    <w:rsid w:val="00BE51DA"/>
    <w:rsid w:val="00BE7744"/>
    <w:rsid w:val="00BF3DA6"/>
    <w:rsid w:val="00BF653B"/>
    <w:rsid w:val="00C148C8"/>
    <w:rsid w:val="00C16BF9"/>
    <w:rsid w:val="00C17E9F"/>
    <w:rsid w:val="00C20E16"/>
    <w:rsid w:val="00C2468E"/>
    <w:rsid w:val="00C25DD4"/>
    <w:rsid w:val="00C36810"/>
    <w:rsid w:val="00C65667"/>
    <w:rsid w:val="00C76C13"/>
    <w:rsid w:val="00C76D0B"/>
    <w:rsid w:val="00C8017F"/>
    <w:rsid w:val="00C84786"/>
    <w:rsid w:val="00C85718"/>
    <w:rsid w:val="00C85FE7"/>
    <w:rsid w:val="00CA4E67"/>
    <w:rsid w:val="00CB1BA3"/>
    <w:rsid w:val="00CC75A4"/>
    <w:rsid w:val="00CD2B5D"/>
    <w:rsid w:val="00CE355C"/>
    <w:rsid w:val="00CF5B02"/>
    <w:rsid w:val="00CF5E31"/>
    <w:rsid w:val="00CF7EE6"/>
    <w:rsid w:val="00D20823"/>
    <w:rsid w:val="00D226D9"/>
    <w:rsid w:val="00D2339D"/>
    <w:rsid w:val="00D37521"/>
    <w:rsid w:val="00D37993"/>
    <w:rsid w:val="00D5222F"/>
    <w:rsid w:val="00D5727E"/>
    <w:rsid w:val="00D64952"/>
    <w:rsid w:val="00D866AC"/>
    <w:rsid w:val="00D86A72"/>
    <w:rsid w:val="00D8723C"/>
    <w:rsid w:val="00D914D7"/>
    <w:rsid w:val="00D9321F"/>
    <w:rsid w:val="00D94388"/>
    <w:rsid w:val="00DA296E"/>
    <w:rsid w:val="00DA3548"/>
    <w:rsid w:val="00DB3D52"/>
    <w:rsid w:val="00DB4A51"/>
    <w:rsid w:val="00DB6524"/>
    <w:rsid w:val="00DB6E14"/>
    <w:rsid w:val="00DC1846"/>
    <w:rsid w:val="00DC44E2"/>
    <w:rsid w:val="00DD1C7A"/>
    <w:rsid w:val="00DD3199"/>
    <w:rsid w:val="00DD68D5"/>
    <w:rsid w:val="00DD7767"/>
    <w:rsid w:val="00DE02E5"/>
    <w:rsid w:val="00DE6046"/>
    <w:rsid w:val="00DE71DB"/>
    <w:rsid w:val="00DF2C97"/>
    <w:rsid w:val="00DF68D5"/>
    <w:rsid w:val="00DF6A60"/>
    <w:rsid w:val="00E10545"/>
    <w:rsid w:val="00E10CAD"/>
    <w:rsid w:val="00E12F19"/>
    <w:rsid w:val="00E3475B"/>
    <w:rsid w:val="00E35761"/>
    <w:rsid w:val="00E474FD"/>
    <w:rsid w:val="00E47B71"/>
    <w:rsid w:val="00E50B51"/>
    <w:rsid w:val="00E51A62"/>
    <w:rsid w:val="00E7339F"/>
    <w:rsid w:val="00E768C9"/>
    <w:rsid w:val="00E84EE5"/>
    <w:rsid w:val="00E87BE0"/>
    <w:rsid w:val="00E93DDD"/>
    <w:rsid w:val="00E94BF6"/>
    <w:rsid w:val="00EA3231"/>
    <w:rsid w:val="00EA557C"/>
    <w:rsid w:val="00EA76A1"/>
    <w:rsid w:val="00EB63C0"/>
    <w:rsid w:val="00EC697A"/>
    <w:rsid w:val="00ED28EE"/>
    <w:rsid w:val="00ED369E"/>
    <w:rsid w:val="00EF422B"/>
    <w:rsid w:val="00F0204E"/>
    <w:rsid w:val="00F20723"/>
    <w:rsid w:val="00F235CF"/>
    <w:rsid w:val="00F23900"/>
    <w:rsid w:val="00F45C74"/>
    <w:rsid w:val="00F54F89"/>
    <w:rsid w:val="00F63F62"/>
    <w:rsid w:val="00F6493D"/>
    <w:rsid w:val="00F7019B"/>
    <w:rsid w:val="00F82E00"/>
    <w:rsid w:val="00F82E9A"/>
    <w:rsid w:val="00F87997"/>
    <w:rsid w:val="00F9464B"/>
    <w:rsid w:val="00F95798"/>
    <w:rsid w:val="00F97455"/>
    <w:rsid w:val="00FA34ED"/>
    <w:rsid w:val="00FB596F"/>
    <w:rsid w:val="00FD0B40"/>
    <w:rsid w:val="00FE423E"/>
    <w:rsid w:val="00FE538D"/>
    <w:rsid w:val="00FE5A38"/>
    <w:rsid w:val="00FE5DC7"/>
    <w:rsid w:val="00FF246C"/>
    <w:rsid w:val="00FF60C6"/>
    <w:rsid w:val="010F0A15"/>
    <w:rsid w:val="011D6485"/>
    <w:rsid w:val="01317339"/>
    <w:rsid w:val="01380B83"/>
    <w:rsid w:val="013D3C5B"/>
    <w:rsid w:val="014B437B"/>
    <w:rsid w:val="014D5BF6"/>
    <w:rsid w:val="01580A97"/>
    <w:rsid w:val="016627DD"/>
    <w:rsid w:val="018C3EC6"/>
    <w:rsid w:val="01954897"/>
    <w:rsid w:val="01BD1AA8"/>
    <w:rsid w:val="01C74748"/>
    <w:rsid w:val="01D0785A"/>
    <w:rsid w:val="01D6411D"/>
    <w:rsid w:val="01EB1E7B"/>
    <w:rsid w:val="01F25987"/>
    <w:rsid w:val="022057C0"/>
    <w:rsid w:val="02257781"/>
    <w:rsid w:val="022B6C9B"/>
    <w:rsid w:val="02591AB3"/>
    <w:rsid w:val="026E2C7A"/>
    <w:rsid w:val="02823677"/>
    <w:rsid w:val="028D10E4"/>
    <w:rsid w:val="028F7513"/>
    <w:rsid w:val="0290068E"/>
    <w:rsid w:val="02AA3EC5"/>
    <w:rsid w:val="02D95F22"/>
    <w:rsid w:val="02E66A00"/>
    <w:rsid w:val="02F25172"/>
    <w:rsid w:val="02F9277A"/>
    <w:rsid w:val="02FB2E52"/>
    <w:rsid w:val="03190006"/>
    <w:rsid w:val="031A5DFC"/>
    <w:rsid w:val="031F5D46"/>
    <w:rsid w:val="035C45E0"/>
    <w:rsid w:val="035F30D7"/>
    <w:rsid w:val="03943BDD"/>
    <w:rsid w:val="03AB63FD"/>
    <w:rsid w:val="03AC7E09"/>
    <w:rsid w:val="03B5706D"/>
    <w:rsid w:val="03C20F28"/>
    <w:rsid w:val="03F31149"/>
    <w:rsid w:val="041F0EBD"/>
    <w:rsid w:val="04291108"/>
    <w:rsid w:val="042E210B"/>
    <w:rsid w:val="043D4537"/>
    <w:rsid w:val="04491B65"/>
    <w:rsid w:val="0454144B"/>
    <w:rsid w:val="04656711"/>
    <w:rsid w:val="046917B3"/>
    <w:rsid w:val="046F1F5F"/>
    <w:rsid w:val="047122AD"/>
    <w:rsid w:val="04947E04"/>
    <w:rsid w:val="04C23E2F"/>
    <w:rsid w:val="04C932F5"/>
    <w:rsid w:val="04D41297"/>
    <w:rsid w:val="04D568C3"/>
    <w:rsid w:val="04DF60F0"/>
    <w:rsid w:val="04FF5E8B"/>
    <w:rsid w:val="05090436"/>
    <w:rsid w:val="050D4B8D"/>
    <w:rsid w:val="05102F64"/>
    <w:rsid w:val="05123274"/>
    <w:rsid w:val="0536206A"/>
    <w:rsid w:val="054D70F0"/>
    <w:rsid w:val="055B5475"/>
    <w:rsid w:val="057D2038"/>
    <w:rsid w:val="05957F1E"/>
    <w:rsid w:val="05A6267C"/>
    <w:rsid w:val="05B572DF"/>
    <w:rsid w:val="05B90998"/>
    <w:rsid w:val="05F41F2C"/>
    <w:rsid w:val="05FF03EB"/>
    <w:rsid w:val="06126285"/>
    <w:rsid w:val="061815D6"/>
    <w:rsid w:val="061E0B3C"/>
    <w:rsid w:val="0637753E"/>
    <w:rsid w:val="065619AC"/>
    <w:rsid w:val="065E4644"/>
    <w:rsid w:val="06610730"/>
    <w:rsid w:val="06624A0B"/>
    <w:rsid w:val="0676675A"/>
    <w:rsid w:val="067B6642"/>
    <w:rsid w:val="06807683"/>
    <w:rsid w:val="06917198"/>
    <w:rsid w:val="0692015F"/>
    <w:rsid w:val="06986BE8"/>
    <w:rsid w:val="069E22C2"/>
    <w:rsid w:val="06D008F7"/>
    <w:rsid w:val="06E56B6E"/>
    <w:rsid w:val="06FA2798"/>
    <w:rsid w:val="06FB08DA"/>
    <w:rsid w:val="070A489E"/>
    <w:rsid w:val="070D10D6"/>
    <w:rsid w:val="07195705"/>
    <w:rsid w:val="07227252"/>
    <w:rsid w:val="07254C3A"/>
    <w:rsid w:val="07406941"/>
    <w:rsid w:val="07491760"/>
    <w:rsid w:val="0763166F"/>
    <w:rsid w:val="076976E2"/>
    <w:rsid w:val="077E56DA"/>
    <w:rsid w:val="07854CDB"/>
    <w:rsid w:val="07942D86"/>
    <w:rsid w:val="07B17F6E"/>
    <w:rsid w:val="07F5788A"/>
    <w:rsid w:val="080F3E09"/>
    <w:rsid w:val="08162C81"/>
    <w:rsid w:val="081B3683"/>
    <w:rsid w:val="08211D56"/>
    <w:rsid w:val="082524B2"/>
    <w:rsid w:val="08474BB2"/>
    <w:rsid w:val="085C06BA"/>
    <w:rsid w:val="08656653"/>
    <w:rsid w:val="0884120B"/>
    <w:rsid w:val="08903CDE"/>
    <w:rsid w:val="089A6C84"/>
    <w:rsid w:val="08A439C6"/>
    <w:rsid w:val="08D30431"/>
    <w:rsid w:val="08E86AE4"/>
    <w:rsid w:val="08EA43FC"/>
    <w:rsid w:val="08FE2259"/>
    <w:rsid w:val="091851BA"/>
    <w:rsid w:val="093D70B0"/>
    <w:rsid w:val="09687A6C"/>
    <w:rsid w:val="09753FF2"/>
    <w:rsid w:val="098033F8"/>
    <w:rsid w:val="09847723"/>
    <w:rsid w:val="09AF33E8"/>
    <w:rsid w:val="09C74412"/>
    <w:rsid w:val="09C87C07"/>
    <w:rsid w:val="09E84FE6"/>
    <w:rsid w:val="09E951A7"/>
    <w:rsid w:val="09EF7E49"/>
    <w:rsid w:val="0A0905BF"/>
    <w:rsid w:val="0A17076C"/>
    <w:rsid w:val="0A1C69B7"/>
    <w:rsid w:val="0A3267B5"/>
    <w:rsid w:val="0A3E6F79"/>
    <w:rsid w:val="0A425D9F"/>
    <w:rsid w:val="0A486C99"/>
    <w:rsid w:val="0A4E3F8B"/>
    <w:rsid w:val="0A8351E4"/>
    <w:rsid w:val="0A95695A"/>
    <w:rsid w:val="0A9605B1"/>
    <w:rsid w:val="0AAA67F4"/>
    <w:rsid w:val="0AD6658B"/>
    <w:rsid w:val="0B1E1EA6"/>
    <w:rsid w:val="0B293DAD"/>
    <w:rsid w:val="0B2A1F12"/>
    <w:rsid w:val="0B3F2949"/>
    <w:rsid w:val="0B4A0161"/>
    <w:rsid w:val="0B531649"/>
    <w:rsid w:val="0B6605EC"/>
    <w:rsid w:val="0B701C17"/>
    <w:rsid w:val="0B78015C"/>
    <w:rsid w:val="0B9C4D63"/>
    <w:rsid w:val="0BAC2450"/>
    <w:rsid w:val="0BB3704A"/>
    <w:rsid w:val="0BB73988"/>
    <w:rsid w:val="0BB9035B"/>
    <w:rsid w:val="0BD5388A"/>
    <w:rsid w:val="0BE32700"/>
    <w:rsid w:val="0BEA3FB2"/>
    <w:rsid w:val="0BEF7CD8"/>
    <w:rsid w:val="0C167876"/>
    <w:rsid w:val="0C463C0E"/>
    <w:rsid w:val="0C493B1B"/>
    <w:rsid w:val="0C4C0649"/>
    <w:rsid w:val="0C4F29C7"/>
    <w:rsid w:val="0C6C14CB"/>
    <w:rsid w:val="0C776701"/>
    <w:rsid w:val="0C8D79D6"/>
    <w:rsid w:val="0C9B0A5F"/>
    <w:rsid w:val="0CA60C3B"/>
    <w:rsid w:val="0CBA3C10"/>
    <w:rsid w:val="0CBF19CA"/>
    <w:rsid w:val="0CC86B8E"/>
    <w:rsid w:val="0CF36525"/>
    <w:rsid w:val="0CF44CFB"/>
    <w:rsid w:val="0D091344"/>
    <w:rsid w:val="0D464C06"/>
    <w:rsid w:val="0D525432"/>
    <w:rsid w:val="0D573E7F"/>
    <w:rsid w:val="0D764EA5"/>
    <w:rsid w:val="0D9206EA"/>
    <w:rsid w:val="0D961954"/>
    <w:rsid w:val="0D9E3E5B"/>
    <w:rsid w:val="0DB5250B"/>
    <w:rsid w:val="0DC2360D"/>
    <w:rsid w:val="0DEB5691"/>
    <w:rsid w:val="0DED4312"/>
    <w:rsid w:val="0DF50E0E"/>
    <w:rsid w:val="0E052B6E"/>
    <w:rsid w:val="0E1925D6"/>
    <w:rsid w:val="0E192742"/>
    <w:rsid w:val="0E1B0BCC"/>
    <w:rsid w:val="0E335F2D"/>
    <w:rsid w:val="0E392592"/>
    <w:rsid w:val="0E3C6F30"/>
    <w:rsid w:val="0E452E0B"/>
    <w:rsid w:val="0E5D31ED"/>
    <w:rsid w:val="0E6A6BFE"/>
    <w:rsid w:val="0E7D6913"/>
    <w:rsid w:val="0E84791E"/>
    <w:rsid w:val="0E924674"/>
    <w:rsid w:val="0EAC2250"/>
    <w:rsid w:val="0EEE069B"/>
    <w:rsid w:val="0EF84EA7"/>
    <w:rsid w:val="0F1F2760"/>
    <w:rsid w:val="0F2E7814"/>
    <w:rsid w:val="0F33253E"/>
    <w:rsid w:val="0F3A1A03"/>
    <w:rsid w:val="0F421110"/>
    <w:rsid w:val="0F4E66C6"/>
    <w:rsid w:val="0F5A0D51"/>
    <w:rsid w:val="0F6A4D03"/>
    <w:rsid w:val="0FC63596"/>
    <w:rsid w:val="0FC971D6"/>
    <w:rsid w:val="0FCA214C"/>
    <w:rsid w:val="0FFE0F31"/>
    <w:rsid w:val="102F5D40"/>
    <w:rsid w:val="10536849"/>
    <w:rsid w:val="10824927"/>
    <w:rsid w:val="108727AC"/>
    <w:rsid w:val="108761BF"/>
    <w:rsid w:val="10966CC9"/>
    <w:rsid w:val="10A4695D"/>
    <w:rsid w:val="10A76731"/>
    <w:rsid w:val="10BF0492"/>
    <w:rsid w:val="10C83AF1"/>
    <w:rsid w:val="11313AAF"/>
    <w:rsid w:val="114D1FC2"/>
    <w:rsid w:val="115036F3"/>
    <w:rsid w:val="11521E8A"/>
    <w:rsid w:val="115F2FD9"/>
    <w:rsid w:val="116C7A02"/>
    <w:rsid w:val="116D6E05"/>
    <w:rsid w:val="118D029A"/>
    <w:rsid w:val="11BD21E9"/>
    <w:rsid w:val="11C036A3"/>
    <w:rsid w:val="11D86185"/>
    <w:rsid w:val="12036793"/>
    <w:rsid w:val="12070142"/>
    <w:rsid w:val="121022B2"/>
    <w:rsid w:val="1216693B"/>
    <w:rsid w:val="1256060B"/>
    <w:rsid w:val="126B1830"/>
    <w:rsid w:val="1271478B"/>
    <w:rsid w:val="12AE57F4"/>
    <w:rsid w:val="12C703CB"/>
    <w:rsid w:val="12DD3798"/>
    <w:rsid w:val="12FC0A41"/>
    <w:rsid w:val="132C2F58"/>
    <w:rsid w:val="132D37EC"/>
    <w:rsid w:val="132D5E1E"/>
    <w:rsid w:val="132E4B21"/>
    <w:rsid w:val="132E615F"/>
    <w:rsid w:val="132F5015"/>
    <w:rsid w:val="133C06D5"/>
    <w:rsid w:val="13443C16"/>
    <w:rsid w:val="135668C5"/>
    <w:rsid w:val="135F5963"/>
    <w:rsid w:val="13A77FA4"/>
    <w:rsid w:val="13A960ED"/>
    <w:rsid w:val="13B84E9B"/>
    <w:rsid w:val="13BA1BF9"/>
    <w:rsid w:val="13C1735F"/>
    <w:rsid w:val="13D90C39"/>
    <w:rsid w:val="13DC13D8"/>
    <w:rsid w:val="13DD3049"/>
    <w:rsid w:val="140A68AC"/>
    <w:rsid w:val="141D733D"/>
    <w:rsid w:val="142303E5"/>
    <w:rsid w:val="1445581A"/>
    <w:rsid w:val="144A1831"/>
    <w:rsid w:val="145D2D97"/>
    <w:rsid w:val="147A3FC7"/>
    <w:rsid w:val="14C36757"/>
    <w:rsid w:val="14CB423B"/>
    <w:rsid w:val="14D31ECA"/>
    <w:rsid w:val="14D9291B"/>
    <w:rsid w:val="14EC5B8A"/>
    <w:rsid w:val="14F77056"/>
    <w:rsid w:val="14FA7E33"/>
    <w:rsid w:val="151D302F"/>
    <w:rsid w:val="15347E52"/>
    <w:rsid w:val="153E61A5"/>
    <w:rsid w:val="15497072"/>
    <w:rsid w:val="154E009B"/>
    <w:rsid w:val="154E1104"/>
    <w:rsid w:val="158C791C"/>
    <w:rsid w:val="15900722"/>
    <w:rsid w:val="159777A2"/>
    <w:rsid w:val="15A36180"/>
    <w:rsid w:val="15B1629B"/>
    <w:rsid w:val="15C54762"/>
    <w:rsid w:val="15C64E40"/>
    <w:rsid w:val="15C94A70"/>
    <w:rsid w:val="15D70478"/>
    <w:rsid w:val="15DB18C2"/>
    <w:rsid w:val="162A7406"/>
    <w:rsid w:val="16425340"/>
    <w:rsid w:val="16621BFC"/>
    <w:rsid w:val="166743DA"/>
    <w:rsid w:val="16767823"/>
    <w:rsid w:val="167A6C2E"/>
    <w:rsid w:val="16887386"/>
    <w:rsid w:val="16B661D0"/>
    <w:rsid w:val="16C34F2F"/>
    <w:rsid w:val="16ED52C0"/>
    <w:rsid w:val="16FA7F0A"/>
    <w:rsid w:val="17074D4A"/>
    <w:rsid w:val="17141FEB"/>
    <w:rsid w:val="17177A0F"/>
    <w:rsid w:val="171950B3"/>
    <w:rsid w:val="172A2268"/>
    <w:rsid w:val="17540196"/>
    <w:rsid w:val="17566EFE"/>
    <w:rsid w:val="1766125C"/>
    <w:rsid w:val="177778D7"/>
    <w:rsid w:val="17B6255D"/>
    <w:rsid w:val="17C966D5"/>
    <w:rsid w:val="17E543E2"/>
    <w:rsid w:val="17E659E3"/>
    <w:rsid w:val="17FD679E"/>
    <w:rsid w:val="17FE5A1F"/>
    <w:rsid w:val="180415DF"/>
    <w:rsid w:val="18296DCA"/>
    <w:rsid w:val="18474974"/>
    <w:rsid w:val="187A60A5"/>
    <w:rsid w:val="188201EB"/>
    <w:rsid w:val="18AF0115"/>
    <w:rsid w:val="18C76302"/>
    <w:rsid w:val="18C82F80"/>
    <w:rsid w:val="18D04BB6"/>
    <w:rsid w:val="18F15FD5"/>
    <w:rsid w:val="18FB6C7D"/>
    <w:rsid w:val="19014839"/>
    <w:rsid w:val="19065855"/>
    <w:rsid w:val="192C5255"/>
    <w:rsid w:val="19446346"/>
    <w:rsid w:val="194D49C3"/>
    <w:rsid w:val="196469A6"/>
    <w:rsid w:val="19655D48"/>
    <w:rsid w:val="196F0B7A"/>
    <w:rsid w:val="19781219"/>
    <w:rsid w:val="197E25BD"/>
    <w:rsid w:val="19A05CCB"/>
    <w:rsid w:val="19BF0B88"/>
    <w:rsid w:val="19D83302"/>
    <w:rsid w:val="19DE1068"/>
    <w:rsid w:val="19FF2501"/>
    <w:rsid w:val="1A0C1C5A"/>
    <w:rsid w:val="1A1013CD"/>
    <w:rsid w:val="1A12719E"/>
    <w:rsid w:val="1A371FB0"/>
    <w:rsid w:val="1A45036D"/>
    <w:rsid w:val="1A5727ED"/>
    <w:rsid w:val="1A77301B"/>
    <w:rsid w:val="1A821D74"/>
    <w:rsid w:val="1A8537EB"/>
    <w:rsid w:val="1AA047A5"/>
    <w:rsid w:val="1ABF4541"/>
    <w:rsid w:val="1AC34663"/>
    <w:rsid w:val="1AC84BF5"/>
    <w:rsid w:val="1AD558AE"/>
    <w:rsid w:val="1AD70757"/>
    <w:rsid w:val="1AE7016D"/>
    <w:rsid w:val="1AF12E20"/>
    <w:rsid w:val="1AF52DFB"/>
    <w:rsid w:val="1AF6739E"/>
    <w:rsid w:val="1B0F7E80"/>
    <w:rsid w:val="1B1214A8"/>
    <w:rsid w:val="1B1609AB"/>
    <w:rsid w:val="1B253013"/>
    <w:rsid w:val="1B692C0B"/>
    <w:rsid w:val="1B71616D"/>
    <w:rsid w:val="1B81086A"/>
    <w:rsid w:val="1B9657A5"/>
    <w:rsid w:val="1BA34BA2"/>
    <w:rsid w:val="1BE405E2"/>
    <w:rsid w:val="1BFA1D8E"/>
    <w:rsid w:val="1C197B5E"/>
    <w:rsid w:val="1C5C6F89"/>
    <w:rsid w:val="1C6C3DAF"/>
    <w:rsid w:val="1C9B5815"/>
    <w:rsid w:val="1CE90AFB"/>
    <w:rsid w:val="1CEC1893"/>
    <w:rsid w:val="1D0C427E"/>
    <w:rsid w:val="1D230ACC"/>
    <w:rsid w:val="1D2D41AF"/>
    <w:rsid w:val="1D4167A3"/>
    <w:rsid w:val="1D504061"/>
    <w:rsid w:val="1D565D5F"/>
    <w:rsid w:val="1D5C6BB4"/>
    <w:rsid w:val="1D64701D"/>
    <w:rsid w:val="1D7103FA"/>
    <w:rsid w:val="1D784FF9"/>
    <w:rsid w:val="1D7C587E"/>
    <w:rsid w:val="1D7D34D9"/>
    <w:rsid w:val="1D887D97"/>
    <w:rsid w:val="1DC2625E"/>
    <w:rsid w:val="1DD962DE"/>
    <w:rsid w:val="1DFF2EA8"/>
    <w:rsid w:val="1E0005AB"/>
    <w:rsid w:val="1E121A3C"/>
    <w:rsid w:val="1E151D0B"/>
    <w:rsid w:val="1E1A0411"/>
    <w:rsid w:val="1E3833D5"/>
    <w:rsid w:val="1E430A19"/>
    <w:rsid w:val="1E4A7874"/>
    <w:rsid w:val="1E7957BE"/>
    <w:rsid w:val="1E905D04"/>
    <w:rsid w:val="1E983FEF"/>
    <w:rsid w:val="1EC60E99"/>
    <w:rsid w:val="1ED11B30"/>
    <w:rsid w:val="1ED51AAF"/>
    <w:rsid w:val="1EF14646"/>
    <w:rsid w:val="1F050543"/>
    <w:rsid w:val="1F186170"/>
    <w:rsid w:val="1F41346C"/>
    <w:rsid w:val="1F683243"/>
    <w:rsid w:val="1F7235AD"/>
    <w:rsid w:val="1F771BC4"/>
    <w:rsid w:val="1F7B5FEE"/>
    <w:rsid w:val="1FAB6B6B"/>
    <w:rsid w:val="1FBC6D95"/>
    <w:rsid w:val="1FC124FC"/>
    <w:rsid w:val="1FC41B03"/>
    <w:rsid w:val="1FDC3702"/>
    <w:rsid w:val="1FDD341D"/>
    <w:rsid w:val="1FE81856"/>
    <w:rsid w:val="1FEB4029"/>
    <w:rsid w:val="20123938"/>
    <w:rsid w:val="20173189"/>
    <w:rsid w:val="201A585E"/>
    <w:rsid w:val="201E395A"/>
    <w:rsid w:val="202B7B06"/>
    <w:rsid w:val="20397A4B"/>
    <w:rsid w:val="203A4773"/>
    <w:rsid w:val="205415BB"/>
    <w:rsid w:val="20553BB1"/>
    <w:rsid w:val="20664C22"/>
    <w:rsid w:val="2084143F"/>
    <w:rsid w:val="20A86292"/>
    <w:rsid w:val="20AC1497"/>
    <w:rsid w:val="20C703E7"/>
    <w:rsid w:val="20FD3691"/>
    <w:rsid w:val="21087FBA"/>
    <w:rsid w:val="210E169A"/>
    <w:rsid w:val="21396CA1"/>
    <w:rsid w:val="213C1EC7"/>
    <w:rsid w:val="213E7D2A"/>
    <w:rsid w:val="214433E9"/>
    <w:rsid w:val="21553A29"/>
    <w:rsid w:val="215A10EE"/>
    <w:rsid w:val="215A66D2"/>
    <w:rsid w:val="215E608C"/>
    <w:rsid w:val="21730D3C"/>
    <w:rsid w:val="21790A82"/>
    <w:rsid w:val="21A37A02"/>
    <w:rsid w:val="21B73576"/>
    <w:rsid w:val="21E608A9"/>
    <w:rsid w:val="21F20615"/>
    <w:rsid w:val="21FD48B9"/>
    <w:rsid w:val="22162622"/>
    <w:rsid w:val="22194266"/>
    <w:rsid w:val="22214E0D"/>
    <w:rsid w:val="22271825"/>
    <w:rsid w:val="22552D82"/>
    <w:rsid w:val="226631DE"/>
    <w:rsid w:val="22800562"/>
    <w:rsid w:val="22830815"/>
    <w:rsid w:val="229239B0"/>
    <w:rsid w:val="22964ED0"/>
    <w:rsid w:val="22A16A8E"/>
    <w:rsid w:val="22B2532A"/>
    <w:rsid w:val="22CB4E5E"/>
    <w:rsid w:val="22D32E62"/>
    <w:rsid w:val="22D937F1"/>
    <w:rsid w:val="22E62E91"/>
    <w:rsid w:val="23034880"/>
    <w:rsid w:val="232A33A0"/>
    <w:rsid w:val="2341060C"/>
    <w:rsid w:val="237117B5"/>
    <w:rsid w:val="23AB13E4"/>
    <w:rsid w:val="23BD6BA7"/>
    <w:rsid w:val="23C86B8D"/>
    <w:rsid w:val="23DC6932"/>
    <w:rsid w:val="23E5149E"/>
    <w:rsid w:val="23EB4044"/>
    <w:rsid w:val="23F429AB"/>
    <w:rsid w:val="241D6474"/>
    <w:rsid w:val="24331AEB"/>
    <w:rsid w:val="243B3412"/>
    <w:rsid w:val="244455D9"/>
    <w:rsid w:val="248A2ADA"/>
    <w:rsid w:val="24B82207"/>
    <w:rsid w:val="24E04E04"/>
    <w:rsid w:val="24EC4562"/>
    <w:rsid w:val="25181598"/>
    <w:rsid w:val="251A3182"/>
    <w:rsid w:val="2525706F"/>
    <w:rsid w:val="254D3BDB"/>
    <w:rsid w:val="25526ECF"/>
    <w:rsid w:val="2556186C"/>
    <w:rsid w:val="25677DEF"/>
    <w:rsid w:val="258171FF"/>
    <w:rsid w:val="2589589C"/>
    <w:rsid w:val="258D0AC0"/>
    <w:rsid w:val="2595661F"/>
    <w:rsid w:val="25AB04C6"/>
    <w:rsid w:val="25AC350D"/>
    <w:rsid w:val="25B87CB9"/>
    <w:rsid w:val="25CC48BF"/>
    <w:rsid w:val="25EB7DB9"/>
    <w:rsid w:val="25FC478B"/>
    <w:rsid w:val="2618569E"/>
    <w:rsid w:val="26257337"/>
    <w:rsid w:val="26703DED"/>
    <w:rsid w:val="26766122"/>
    <w:rsid w:val="26784529"/>
    <w:rsid w:val="26A12866"/>
    <w:rsid w:val="26A541B4"/>
    <w:rsid w:val="26B448D3"/>
    <w:rsid w:val="26C42E4B"/>
    <w:rsid w:val="26F7354D"/>
    <w:rsid w:val="26FA7903"/>
    <w:rsid w:val="27080B57"/>
    <w:rsid w:val="271A38AB"/>
    <w:rsid w:val="27237C2C"/>
    <w:rsid w:val="273455A4"/>
    <w:rsid w:val="273B522C"/>
    <w:rsid w:val="27536AEB"/>
    <w:rsid w:val="278A3093"/>
    <w:rsid w:val="279F115B"/>
    <w:rsid w:val="27D658D5"/>
    <w:rsid w:val="27FA1FD6"/>
    <w:rsid w:val="27FC7E38"/>
    <w:rsid w:val="27FF1635"/>
    <w:rsid w:val="2802543E"/>
    <w:rsid w:val="28104B74"/>
    <w:rsid w:val="28363CDB"/>
    <w:rsid w:val="2843517E"/>
    <w:rsid w:val="287C1558"/>
    <w:rsid w:val="2897771D"/>
    <w:rsid w:val="28A2176C"/>
    <w:rsid w:val="28B265B6"/>
    <w:rsid w:val="28C61061"/>
    <w:rsid w:val="28CE1BD2"/>
    <w:rsid w:val="290C2FDC"/>
    <w:rsid w:val="291377C3"/>
    <w:rsid w:val="292A0739"/>
    <w:rsid w:val="295F27A9"/>
    <w:rsid w:val="296A27C6"/>
    <w:rsid w:val="296E0DA0"/>
    <w:rsid w:val="29707DAA"/>
    <w:rsid w:val="29727227"/>
    <w:rsid w:val="297C46DC"/>
    <w:rsid w:val="29845811"/>
    <w:rsid w:val="298B1028"/>
    <w:rsid w:val="29927475"/>
    <w:rsid w:val="2998305B"/>
    <w:rsid w:val="29AB0EE8"/>
    <w:rsid w:val="29D9457F"/>
    <w:rsid w:val="29E07F6E"/>
    <w:rsid w:val="29F85AA9"/>
    <w:rsid w:val="2A070491"/>
    <w:rsid w:val="2A2A300F"/>
    <w:rsid w:val="2A3248F2"/>
    <w:rsid w:val="2A435E65"/>
    <w:rsid w:val="2A47684A"/>
    <w:rsid w:val="2A604F68"/>
    <w:rsid w:val="2A62030D"/>
    <w:rsid w:val="2A7D7800"/>
    <w:rsid w:val="2A914650"/>
    <w:rsid w:val="2A947123"/>
    <w:rsid w:val="2AAD1920"/>
    <w:rsid w:val="2AB77406"/>
    <w:rsid w:val="2ABC042E"/>
    <w:rsid w:val="2AC25951"/>
    <w:rsid w:val="2AD23FCB"/>
    <w:rsid w:val="2AE47168"/>
    <w:rsid w:val="2AE94C04"/>
    <w:rsid w:val="2B196E5A"/>
    <w:rsid w:val="2B38792F"/>
    <w:rsid w:val="2B5F393F"/>
    <w:rsid w:val="2B6B15A0"/>
    <w:rsid w:val="2B89516D"/>
    <w:rsid w:val="2BA17958"/>
    <w:rsid w:val="2BDD0565"/>
    <w:rsid w:val="2BE72753"/>
    <w:rsid w:val="2BED5A8C"/>
    <w:rsid w:val="2BEE0D23"/>
    <w:rsid w:val="2BFF34C8"/>
    <w:rsid w:val="2C073972"/>
    <w:rsid w:val="2C0E07A3"/>
    <w:rsid w:val="2C1D6E90"/>
    <w:rsid w:val="2C2C5E47"/>
    <w:rsid w:val="2C37761A"/>
    <w:rsid w:val="2C411C3C"/>
    <w:rsid w:val="2C5C6375"/>
    <w:rsid w:val="2C6B62BF"/>
    <w:rsid w:val="2C7933CB"/>
    <w:rsid w:val="2C836240"/>
    <w:rsid w:val="2CB875EC"/>
    <w:rsid w:val="2CC61414"/>
    <w:rsid w:val="2CF91A03"/>
    <w:rsid w:val="2D057CBF"/>
    <w:rsid w:val="2D0B3DCF"/>
    <w:rsid w:val="2D213DE8"/>
    <w:rsid w:val="2D483F3B"/>
    <w:rsid w:val="2D700435"/>
    <w:rsid w:val="2DC41C6B"/>
    <w:rsid w:val="2DE36E6E"/>
    <w:rsid w:val="2DEA1B5A"/>
    <w:rsid w:val="2DED74D4"/>
    <w:rsid w:val="2DF17084"/>
    <w:rsid w:val="2E001B40"/>
    <w:rsid w:val="2E0709E6"/>
    <w:rsid w:val="2E1A6CC5"/>
    <w:rsid w:val="2E4B16F2"/>
    <w:rsid w:val="2E624E6B"/>
    <w:rsid w:val="2E93122A"/>
    <w:rsid w:val="2E9B273C"/>
    <w:rsid w:val="2EA33838"/>
    <w:rsid w:val="2EB953B2"/>
    <w:rsid w:val="2ECA30D5"/>
    <w:rsid w:val="2ED55EA9"/>
    <w:rsid w:val="2ED816A1"/>
    <w:rsid w:val="2EE25CB5"/>
    <w:rsid w:val="2EEC4C17"/>
    <w:rsid w:val="2EFB7B3B"/>
    <w:rsid w:val="2F084158"/>
    <w:rsid w:val="2F084F18"/>
    <w:rsid w:val="2F21338B"/>
    <w:rsid w:val="2F571E44"/>
    <w:rsid w:val="2F5F370A"/>
    <w:rsid w:val="2F79156F"/>
    <w:rsid w:val="2F793373"/>
    <w:rsid w:val="2F81073A"/>
    <w:rsid w:val="2F8D4D43"/>
    <w:rsid w:val="2FBC0E50"/>
    <w:rsid w:val="2FC42232"/>
    <w:rsid w:val="2FD53C51"/>
    <w:rsid w:val="300B38DC"/>
    <w:rsid w:val="300D4645"/>
    <w:rsid w:val="301A1810"/>
    <w:rsid w:val="30422AF2"/>
    <w:rsid w:val="30726748"/>
    <w:rsid w:val="307C1E06"/>
    <w:rsid w:val="30932E2A"/>
    <w:rsid w:val="309F5D41"/>
    <w:rsid w:val="30A82A9B"/>
    <w:rsid w:val="30AB425F"/>
    <w:rsid w:val="30AD295E"/>
    <w:rsid w:val="30B9716F"/>
    <w:rsid w:val="30CD649E"/>
    <w:rsid w:val="30E24A75"/>
    <w:rsid w:val="30FE753B"/>
    <w:rsid w:val="3117635D"/>
    <w:rsid w:val="312E3586"/>
    <w:rsid w:val="31AB3318"/>
    <w:rsid w:val="31D6133C"/>
    <w:rsid w:val="31E2291C"/>
    <w:rsid w:val="31ED59D7"/>
    <w:rsid w:val="32213AF1"/>
    <w:rsid w:val="323054E7"/>
    <w:rsid w:val="323874C1"/>
    <w:rsid w:val="323E39C7"/>
    <w:rsid w:val="32535C24"/>
    <w:rsid w:val="32696CB7"/>
    <w:rsid w:val="327C3324"/>
    <w:rsid w:val="328D7D7F"/>
    <w:rsid w:val="32BE47B8"/>
    <w:rsid w:val="32C20CF1"/>
    <w:rsid w:val="33252498"/>
    <w:rsid w:val="332967D9"/>
    <w:rsid w:val="332E4F73"/>
    <w:rsid w:val="334661D0"/>
    <w:rsid w:val="335B0C6B"/>
    <w:rsid w:val="3386138B"/>
    <w:rsid w:val="339059D9"/>
    <w:rsid w:val="33A87C9B"/>
    <w:rsid w:val="33B048F8"/>
    <w:rsid w:val="33CC5255"/>
    <w:rsid w:val="33E271B4"/>
    <w:rsid w:val="33F248D5"/>
    <w:rsid w:val="33F451A2"/>
    <w:rsid w:val="34012AC1"/>
    <w:rsid w:val="34260CED"/>
    <w:rsid w:val="34333E69"/>
    <w:rsid w:val="34464357"/>
    <w:rsid w:val="344966F8"/>
    <w:rsid w:val="344B678F"/>
    <w:rsid w:val="34895CF5"/>
    <w:rsid w:val="34945B26"/>
    <w:rsid w:val="349C47FD"/>
    <w:rsid w:val="34A30E13"/>
    <w:rsid w:val="34A63866"/>
    <w:rsid w:val="34AE3890"/>
    <w:rsid w:val="34B12473"/>
    <w:rsid w:val="34B14154"/>
    <w:rsid w:val="34B63C45"/>
    <w:rsid w:val="34CC69A8"/>
    <w:rsid w:val="34E07946"/>
    <w:rsid w:val="34EA21A1"/>
    <w:rsid w:val="35035677"/>
    <w:rsid w:val="3507677C"/>
    <w:rsid w:val="350C1E87"/>
    <w:rsid w:val="35256F6D"/>
    <w:rsid w:val="353B52C3"/>
    <w:rsid w:val="354C2872"/>
    <w:rsid w:val="354D1516"/>
    <w:rsid w:val="354F2E69"/>
    <w:rsid w:val="35551F06"/>
    <w:rsid w:val="357B6DCE"/>
    <w:rsid w:val="35944247"/>
    <w:rsid w:val="3595753A"/>
    <w:rsid w:val="35AA355B"/>
    <w:rsid w:val="35B10D5A"/>
    <w:rsid w:val="35D47147"/>
    <w:rsid w:val="35D83ECB"/>
    <w:rsid w:val="35FB1677"/>
    <w:rsid w:val="360B7E90"/>
    <w:rsid w:val="36275394"/>
    <w:rsid w:val="364B5EFD"/>
    <w:rsid w:val="36573627"/>
    <w:rsid w:val="36772316"/>
    <w:rsid w:val="367D3047"/>
    <w:rsid w:val="368A50F3"/>
    <w:rsid w:val="369404F0"/>
    <w:rsid w:val="36B30B63"/>
    <w:rsid w:val="36BC5B26"/>
    <w:rsid w:val="36C06A37"/>
    <w:rsid w:val="36C629D2"/>
    <w:rsid w:val="36CD0529"/>
    <w:rsid w:val="36DE6B0B"/>
    <w:rsid w:val="373B58E9"/>
    <w:rsid w:val="373F16AA"/>
    <w:rsid w:val="37787C2A"/>
    <w:rsid w:val="37893FF8"/>
    <w:rsid w:val="379B2393"/>
    <w:rsid w:val="379C5CC7"/>
    <w:rsid w:val="37CA0B51"/>
    <w:rsid w:val="381A20E6"/>
    <w:rsid w:val="38486158"/>
    <w:rsid w:val="3861191E"/>
    <w:rsid w:val="386F0AFE"/>
    <w:rsid w:val="387A0375"/>
    <w:rsid w:val="387D63B8"/>
    <w:rsid w:val="38D807C1"/>
    <w:rsid w:val="38ED6D07"/>
    <w:rsid w:val="3902675F"/>
    <w:rsid w:val="3932543F"/>
    <w:rsid w:val="39445F4B"/>
    <w:rsid w:val="39B8524C"/>
    <w:rsid w:val="39CE623B"/>
    <w:rsid w:val="39D25900"/>
    <w:rsid w:val="39DE5C0A"/>
    <w:rsid w:val="39F001AF"/>
    <w:rsid w:val="39F84D94"/>
    <w:rsid w:val="3A045799"/>
    <w:rsid w:val="3A191B38"/>
    <w:rsid w:val="3A197389"/>
    <w:rsid w:val="3A32709E"/>
    <w:rsid w:val="3A497DA8"/>
    <w:rsid w:val="3A4D6E08"/>
    <w:rsid w:val="3A5473B9"/>
    <w:rsid w:val="3A6D7F6D"/>
    <w:rsid w:val="3A706A95"/>
    <w:rsid w:val="3A7E1790"/>
    <w:rsid w:val="3A991BCB"/>
    <w:rsid w:val="3A9C1D2A"/>
    <w:rsid w:val="3AA647C2"/>
    <w:rsid w:val="3AE57E0B"/>
    <w:rsid w:val="3B065C55"/>
    <w:rsid w:val="3B0876F9"/>
    <w:rsid w:val="3B0C77DD"/>
    <w:rsid w:val="3B1D326C"/>
    <w:rsid w:val="3B222C79"/>
    <w:rsid w:val="3B2404BD"/>
    <w:rsid w:val="3B2D159D"/>
    <w:rsid w:val="3B4457A9"/>
    <w:rsid w:val="3B4E65BB"/>
    <w:rsid w:val="3B86547E"/>
    <w:rsid w:val="3B98241C"/>
    <w:rsid w:val="3BA421E8"/>
    <w:rsid w:val="3BA65BF1"/>
    <w:rsid w:val="3C044CEF"/>
    <w:rsid w:val="3C4C3550"/>
    <w:rsid w:val="3C545648"/>
    <w:rsid w:val="3C622A65"/>
    <w:rsid w:val="3C9507E9"/>
    <w:rsid w:val="3CB72C0F"/>
    <w:rsid w:val="3CC777A9"/>
    <w:rsid w:val="3D196325"/>
    <w:rsid w:val="3D1C78F1"/>
    <w:rsid w:val="3D294323"/>
    <w:rsid w:val="3D652C8D"/>
    <w:rsid w:val="3D9A2710"/>
    <w:rsid w:val="3DD2352C"/>
    <w:rsid w:val="3DFC7BAE"/>
    <w:rsid w:val="3E001CC5"/>
    <w:rsid w:val="3E0F65D4"/>
    <w:rsid w:val="3E107D62"/>
    <w:rsid w:val="3E187197"/>
    <w:rsid w:val="3E1A199D"/>
    <w:rsid w:val="3E283A9F"/>
    <w:rsid w:val="3E4F09FB"/>
    <w:rsid w:val="3E561D5F"/>
    <w:rsid w:val="3E5F7B2A"/>
    <w:rsid w:val="3E6B23A5"/>
    <w:rsid w:val="3E7061FE"/>
    <w:rsid w:val="3E752295"/>
    <w:rsid w:val="3E76518F"/>
    <w:rsid w:val="3EB50D5D"/>
    <w:rsid w:val="3EC10732"/>
    <w:rsid w:val="3EC90CE3"/>
    <w:rsid w:val="3ED400B9"/>
    <w:rsid w:val="3ED60B7E"/>
    <w:rsid w:val="3EE70D4D"/>
    <w:rsid w:val="3EF85674"/>
    <w:rsid w:val="3F133695"/>
    <w:rsid w:val="3F295E1F"/>
    <w:rsid w:val="3F7A7C5C"/>
    <w:rsid w:val="3F913DB7"/>
    <w:rsid w:val="3FA2087C"/>
    <w:rsid w:val="3FBD89AA"/>
    <w:rsid w:val="3FC650EC"/>
    <w:rsid w:val="3FCD16C1"/>
    <w:rsid w:val="3FE92584"/>
    <w:rsid w:val="3FFE499A"/>
    <w:rsid w:val="40157802"/>
    <w:rsid w:val="40273406"/>
    <w:rsid w:val="40301446"/>
    <w:rsid w:val="40364837"/>
    <w:rsid w:val="403A7984"/>
    <w:rsid w:val="403D26DA"/>
    <w:rsid w:val="403F4FE9"/>
    <w:rsid w:val="405F79D5"/>
    <w:rsid w:val="40610496"/>
    <w:rsid w:val="406D701D"/>
    <w:rsid w:val="40B42AC7"/>
    <w:rsid w:val="40B52332"/>
    <w:rsid w:val="40BA1D87"/>
    <w:rsid w:val="410E3A90"/>
    <w:rsid w:val="411C33D0"/>
    <w:rsid w:val="412445E7"/>
    <w:rsid w:val="41266A75"/>
    <w:rsid w:val="4141590D"/>
    <w:rsid w:val="41623B0C"/>
    <w:rsid w:val="41627CC2"/>
    <w:rsid w:val="41675504"/>
    <w:rsid w:val="416F74B6"/>
    <w:rsid w:val="41754BA9"/>
    <w:rsid w:val="41A918DE"/>
    <w:rsid w:val="41A95678"/>
    <w:rsid w:val="41C26922"/>
    <w:rsid w:val="41CA5ABB"/>
    <w:rsid w:val="41F95FBE"/>
    <w:rsid w:val="42067D6F"/>
    <w:rsid w:val="42186601"/>
    <w:rsid w:val="421D7371"/>
    <w:rsid w:val="422226EF"/>
    <w:rsid w:val="42293116"/>
    <w:rsid w:val="4233782F"/>
    <w:rsid w:val="4239121D"/>
    <w:rsid w:val="424E04E8"/>
    <w:rsid w:val="4253307B"/>
    <w:rsid w:val="42647DB9"/>
    <w:rsid w:val="42651385"/>
    <w:rsid w:val="42660DE2"/>
    <w:rsid w:val="426E30FD"/>
    <w:rsid w:val="42977CB2"/>
    <w:rsid w:val="429D7C0E"/>
    <w:rsid w:val="42A33FBC"/>
    <w:rsid w:val="42CC0B9B"/>
    <w:rsid w:val="43024438"/>
    <w:rsid w:val="430F57E4"/>
    <w:rsid w:val="432E3AA5"/>
    <w:rsid w:val="435658CD"/>
    <w:rsid w:val="435A1A82"/>
    <w:rsid w:val="437C6D57"/>
    <w:rsid w:val="43895329"/>
    <w:rsid w:val="43912669"/>
    <w:rsid w:val="4396456A"/>
    <w:rsid w:val="43AE531F"/>
    <w:rsid w:val="43B961E1"/>
    <w:rsid w:val="43BF6E65"/>
    <w:rsid w:val="43CB10C3"/>
    <w:rsid w:val="43D40015"/>
    <w:rsid w:val="44092A17"/>
    <w:rsid w:val="44143279"/>
    <w:rsid w:val="44190FAB"/>
    <w:rsid w:val="442F6170"/>
    <w:rsid w:val="44331BC9"/>
    <w:rsid w:val="44347EC8"/>
    <w:rsid w:val="443F7065"/>
    <w:rsid w:val="44472E0A"/>
    <w:rsid w:val="444D659F"/>
    <w:rsid w:val="44536D6D"/>
    <w:rsid w:val="44682F05"/>
    <w:rsid w:val="44AB44CD"/>
    <w:rsid w:val="44C75EC9"/>
    <w:rsid w:val="44C87676"/>
    <w:rsid w:val="44C90881"/>
    <w:rsid w:val="44F56047"/>
    <w:rsid w:val="44FE045A"/>
    <w:rsid w:val="45104EB6"/>
    <w:rsid w:val="451502F9"/>
    <w:rsid w:val="451E2122"/>
    <w:rsid w:val="453625A7"/>
    <w:rsid w:val="45366F33"/>
    <w:rsid w:val="45472DED"/>
    <w:rsid w:val="4561284C"/>
    <w:rsid w:val="456E7172"/>
    <w:rsid w:val="457B3C34"/>
    <w:rsid w:val="45B11B5D"/>
    <w:rsid w:val="45B41B12"/>
    <w:rsid w:val="45F60348"/>
    <w:rsid w:val="460919D5"/>
    <w:rsid w:val="462D6BFD"/>
    <w:rsid w:val="46412091"/>
    <w:rsid w:val="46484EBC"/>
    <w:rsid w:val="464D67B8"/>
    <w:rsid w:val="465365EF"/>
    <w:rsid w:val="46737EB8"/>
    <w:rsid w:val="46750081"/>
    <w:rsid w:val="46796A38"/>
    <w:rsid w:val="46892757"/>
    <w:rsid w:val="468B4D21"/>
    <w:rsid w:val="469052F2"/>
    <w:rsid w:val="469C1524"/>
    <w:rsid w:val="469D72BE"/>
    <w:rsid w:val="46A8498E"/>
    <w:rsid w:val="46AA2EFF"/>
    <w:rsid w:val="46AC3900"/>
    <w:rsid w:val="46BD3213"/>
    <w:rsid w:val="46D229DD"/>
    <w:rsid w:val="46D251AB"/>
    <w:rsid w:val="46D34CAA"/>
    <w:rsid w:val="46D50709"/>
    <w:rsid w:val="46D55084"/>
    <w:rsid w:val="470A1AF9"/>
    <w:rsid w:val="470C1B57"/>
    <w:rsid w:val="47100BF3"/>
    <w:rsid w:val="471A2120"/>
    <w:rsid w:val="47354B6A"/>
    <w:rsid w:val="475703C3"/>
    <w:rsid w:val="47634C27"/>
    <w:rsid w:val="476B4C4A"/>
    <w:rsid w:val="479353FB"/>
    <w:rsid w:val="479A7962"/>
    <w:rsid w:val="47A92733"/>
    <w:rsid w:val="47B26CC9"/>
    <w:rsid w:val="47B64B1A"/>
    <w:rsid w:val="47BA6E8F"/>
    <w:rsid w:val="47BD1653"/>
    <w:rsid w:val="47D2003A"/>
    <w:rsid w:val="481D5949"/>
    <w:rsid w:val="48306D34"/>
    <w:rsid w:val="483E7877"/>
    <w:rsid w:val="48433BDD"/>
    <w:rsid w:val="48641067"/>
    <w:rsid w:val="486D7497"/>
    <w:rsid w:val="487542C4"/>
    <w:rsid w:val="489858E5"/>
    <w:rsid w:val="48B84F7E"/>
    <w:rsid w:val="48C1261E"/>
    <w:rsid w:val="48C32561"/>
    <w:rsid w:val="48F0089E"/>
    <w:rsid w:val="48FB1AAF"/>
    <w:rsid w:val="4900301E"/>
    <w:rsid w:val="490765E3"/>
    <w:rsid w:val="491532FA"/>
    <w:rsid w:val="49181DFB"/>
    <w:rsid w:val="49203F1B"/>
    <w:rsid w:val="49256CB9"/>
    <w:rsid w:val="493425A8"/>
    <w:rsid w:val="494D285F"/>
    <w:rsid w:val="495C694F"/>
    <w:rsid w:val="496B0158"/>
    <w:rsid w:val="49727CC4"/>
    <w:rsid w:val="498647EB"/>
    <w:rsid w:val="49A01925"/>
    <w:rsid w:val="49A35BCE"/>
    <w:rsid w:val="49AD168F"/>
    <w:rsid w:val="49AF3C7E"/>
    <w:rsid w:val="49C12D28"/>
    <w:rsid w:val="49CA4862"/>
    <w:rsid w:val="49D82921"/>
    <w:rsid w:val="49DC6B5E"/>
    <w:rsid w:val="49E150CC"/>
    <w:rsid w:val="4A0E64B2"/>
    <w:rsid w:val="4A2C25A8"/>
    <w:rsid w:val="4A3163D1"/>
    <w:rsid w:val="4A3C1B2D"/>
    <w:rsid w:val="4A6B008A"/>
    <w:rsid w:val="4A6D4B37"/>
    <w:rsid w:val="4AD2536E"/>
    <w:rsid w:val="4AD74C80"/>
    <w:rsid w:val="4ADD422B"/>
    <w:rsid w:val="4B307766"/>
    <w:rsid w:val="4B3C57B0"/>
    <w:rsid w:val="4B3F6EB8"/>
    <w:rsid w:val="4B5116A9"/>
    <w:rsid w:val="4B5C709C"/>
    <w:rsid w:val="4B6374D7"/>
    <w:rsid w:val="4B651EAE"/>
    <w:rsid w:val="4B653596"/>
    <w:rsid w:val="4BE74B05"/>
    <w:rsid w:val="4BEA1A8D"/>
    <w:rsid w:val="4C114AAE"/>
    <w:rsid w:val="4C1D0078"/>
    <w:rsid w:val="4C25405F"/>
    <w:rsid w:val="4C3B2322"/>
    <w:rsid w:val="4C594AFF"/>
    <w:rsid w:val="4C902954"/>
    <w:rsid w:val="4C9E4705"/>
    <w:rsid w:val="4CA13EE3"/>
    <w:rsid w:val="4CC36733"/>
    <w:rsid w:val="4CD056F8"/>
    <w:rsid w:val="4CDB78CA"/>
    <w:rsid w:val="4CE349DA"/>
    <w:rsid w:val="4CF355D5"/>
    <w:rsid w:val="4CFD40E3"/>
    <w:rsid w:val="4D093C4E"/>
    <w:rsid w:val="4D104268"/>
    <w:rsid w:val="4D1633CD"/>
    <w:rsid w:val="4D1B1EC3"/>
    <w:rsid w:val="4D2B25A0"/>
    <w:rsid w:val="4D2D7EE2"/>
    <w:rsid w:val="4D33244E"/>
    <w:rsid w:val="4D342FF0"/>
    <w:rsid w:val="4D383D7B"/>
    <w:rsid w:val="4D3F5397"/>
    <w:rsid w:val="4D5C592D"/>
    <w:rsid w:val="4D6600CB"/>
    <w:rsid w:val="4D737660"/>
    <w:rsid w:val="4D8338B9"/>
    <w:rsid w:val="4DA639E4"/>
    <w:rsid w:val="4DAF3B6F"/>
    <w:rsid w:val="4DC60DB4"/>
    <w:rsid w:val="4DD364C3"/>
    <w:rsid w:val="4DDE26D3"/>
    <w:rsid w:val="4DF14BB7"/>
    <w:rsid w:val="4E056868"/>
    <w:rsid w:val="4E063ED7"/>
    <w:rsid w:val="4E0820E0"/>
    <w:rsid w:val="4E100BC8"/>
    <w:rsid w:val="4E2C7913"/>
    <w:rsid w:val="4E2E64D6"/>
    <w:rsid w:val="4E475A24"/>
    <w:rsid w:val="4E5E7BA0"/>
    <w:rsid w:val="4EB3336B"/>
    <w:rsid w:val="4EB86F3A"/>
    <w:rsid w:val="4EC83717"/>
    <w:rsid w:val="4EF2563F"/>
    <w:rsid w:val="4F1D683B"/>
    <w:rsid w:val="4F296076"/>
    <w:rsid w:val="4F4802DE"/>
    <w:rsid w:val="4F8D2FF9"/>
    <w:rsid w:val="4FC806FF"/>
    <w:rsid w:val="4FDD0507"/>
    <w:rsid w:val="4FE41296"/>
    <w:rsid w:val="4FE611D3"/>
    <w:rsid w:val="4FE970A5"/>
    <w:rsid w:val="501A5C94"/>
    <w:rsid w:val="501C70B8"/>
    <w:rsid w:val="50246162"/>
    <w:rsid w:val="503244B0"/>
    <w:rsid w:val="505217D0"/>
    <w:rsid w:val="508954B3"/>
    <w:rsid w:val="509176A8"/>
    <w:rsid w:val="509423B8"/>
    <w:rsid w:val="509D2FA6"/>
    <w:rsid w:val="50B35E89"/>
    <w:rsid w:val="50C30D5E"/>
    <w:rsid w:val="50D05F7A"/>
    <w:rsid w:val="510E49E4"/>
    <w:rsid w:val="51406F79"/>
    <w:rsid w:val="51425C13"/>
    <w:rsid w:val="514579E8"/>
    <w:rsid w:val="514B0899"/>
    <w:rsid w:val="514E3CA1"/>
    <w:rsid w:val="515524F3"/>
    <w:rsid w:val="516507C4"/>
    <w:rsid w:val="51652CA4"/>
    <w:rsid w:val="519655E1"/>
    <w:rsid w:val="51CC7CD5"/>
    <w:rsid w:val="51E74FD7"/>
    <w:rsid w:val="51F45AC3"/>
    <w:rsid w:val="52031813"/>
    <w:rsid w:val="521A0E48"/>
    <w:rsid w:val="522C2243"/>
    <w:rsid w:val="523D03BE"/>
    <w:rsid w:val="52875E18"/>
    <w:rsid w:val="52876C60"/>
    <w:rsid w:val="52943523"/>
    <w:rsid w:val="52AC4CCD"/>
    <w:rsid w:val="52AE5241"/>
    <w:rsid w:val="52C432FE"/>
    <w:rsid w:val="52C505DE"/>
    <w:rsid w:val="52D161FD"/>
    <w:rsid w:val="530A4629"/>
    <w:rsid w:val="530A54F6"/>
    <w:rsid w:val="530C6632"/>
    <w:rsid w:val="53166696"/>
    <w:rsid w:val="534126BE"/>
    <w:rsid w:val="53477DB9"/>
    <w:rsid w:val="534E43EE"/>
    <w:rsid w:val="53510751"/>
    <w:rsid w:val="535D4EC8"/>
    <w:rsid w:val="535F5994"/>
    <w:rsid w:val="536665A7"/>
    <w:rsid w:val="536E44AB"/>
    <w:rsid w:val="537637B1"/>
    <w:rsid w:val="5382665C"/>
    <w:rsid w:val="53836132"/>
    <w:rsid w:val="53D573BA"/>
    <w:rsid w:val="53D93916"/>
    <w:rsid w:val="53E634F2"/>
    <w:rsid w:val="53EC6364"/>
    <w:rsid w:val="54055097"/>
    <w:rsid w:val="540959EA"/>
    <w:rsid w:val="540E6676"/>
    <w:rsid w:val="54163A8E"/>
    <w:rsid w:val="54275FA1"/>
    <w:rsid w:val="543A5725"/>
    <w:rsid w:val="544D55B1"/>
    <w:rsid w:val="546A0E78"/>
    <w:rsid w:val="5478176B"/>
    <w:rsid w:val="54793AF4"/>
    <w:rsid w:val="54951BE2"/>
    <w:rsid w:val="54976917"/>
    <w:rsid w:val="549D6ED1"/>
    <w:rsid w:val="54C5018B"/>
    <w:rsid w:val="54D603C3"/>
    <w:rsid w:val="54E659A3"/>
    <w:rsid w:val="551017F6"/>
    <w:rsid w:val="551E663B"/>
    <w:rsid w:val="553064CC"/>
    <w:rsid w:val="55560AFD"/>
    <w:rsid w:val="556755D7"/>
    <w:rsid w:val="556A7AF7"/>
    <w:rsid w:val="55700154"/>
    <w:rsid w:val="557E5921"/>
    <w:rsid w:val="55921E8B"/>
    <w:rsid w:val="55B713E1"/>
    <w:rsid w:val="55E5713A"/>
    <w:rsid w:val="55E753C2"/>
    <w:rsid w:val="562F0D71"/>
    <w:rsid w:val="563561EB"/>
    <w:rsid w:val="5636323D"/>
    <w:rsid w:val="565F4D61"/>
    <w:rsid w:val="568E67F4"/>
    <w:rsid w:val="56C9054F"/>
    <w:rsid w:val="56CF5DFE"/>
    <w:rsid w:val="56EB73C8"/>
    <w:rsid w:val="57462CE5"/>
    <w:rsid w:val="576A5A75"/>
    <w:rsid w:val="576B2807"/>
    <w:rsid w:val="57757C3C"/>
    <w:rsid w:val="577E7DCB"/>
    <w:rsid w:val="57B17530"/>
    <w:rsid w:val="57C41BDE"/>
    <w:rsid w:val="57CB274A"/>
    <w:rsid w:val="57D977C7"/>
    <w:rsid w:val="57DE08FB"/>
    <w:rsid w:val="58100B7C"/>
    <w:rsid w:val="58104574"/>
    <w:rsid w:val="58133327"/>
    <w:rsid w:val="581B4D64"/>
    <w:rsid w:val="582511FC"/>
    <w:rsid w:val="582E051E"/>
    <w:rsid w:val="58542119"/>
    <w:rsid w:val="58650BF0"/>
    <w:rsid w:val="58651DD8"/>
    <w:rsid w:val="587457B2"/>
    <w:rsid w:val="58843FF1"/>
    <w:rsid w:val="589117F1"/>
    <w:rsid w:val="58B3445D"/>
    <w:rsid w:val="58CA4FC4"/>
    <w:rsid w:val="58CB5384"/>
    <w:rsid w:val="58E602E9"/>
    <w:rsid w:val="59026E50"/>
    <w:rsid w:val="5925642A"/>
    <w:rsid w:val="592D2E4F"/>
    <w:rsid w:val="592D7F98"/>
    <w:rsid w:val="59395A7E"/>
    <w:rsid w:val="59426E40"/>
    <w:rsid w:val="5983181A"/>
    <w:rsid w:val="59982621"/>
    <w:rsid w:val="599B6F51"/>
    <w:rsid w:val="59C7708B"/>
    <w:rsid w:val="59D6507B"/>
    <w:rsid w:val="59DB7E4C"/>
    <w:rsid w:val="59DD0E45"/>
    <w:rsid w:val="5A2C4103"/>
    <w:rsid w:val="5A604675"/>
    <w:rsid w:val="5A825385"/>
    <w:rsid w:val="5A9341BE"/>
    <w:rsid w:val="5AA17A22"/>
    <w:rsid w:val="5AB12FEC"/>
    <w:rsid w:val="5AB82CEC"/>
    <w:rsid w:val="5ABF0EED"/>
    <w:rsid w:val="5AEF0115"/>
    <w:rsid w:val="5B073967"/>
    <w:rsid w:val="5B334433"/>
    <w:rsid w:val="5B346ED3"/>
    <w:rsid w:val="5B4022B5"/>
    <w:rsid w:val="5B4431D7"/>
    <w:rsid w:val="5B5C4D44"/>
    <w:rsid w:val="5B7621AF"/>
    <w:rsid w:val="5B763281"/>
    <w:rsid w:val="5B803E8A"/>
    <w:rsid w:val="5B95055F"/>
    <w:rsid w:val="5BB77AC7"/>
    <w:rsid w:val="5BBC103A"/>
    <w:rsid w:val="5BC14D0E"/>
    <w:rsid w:val="5C092B46"/>
    <w:rsid w:val="5C2001BF"/>
    <w:rsid w:val="5C360C6C"/>
    <w:rsid w:val="5C362417"/>
    <w:rsid w:val="5C3A0268"/>
    <w:rsid w:val="5C3E0F66"/>
    <w:rsid w:val="5C445888"/>
    <w:rsid w:val="5C505794"/>
    <w:rsid w:val="5C6443D9"/>
    <w:rsid w:val="5C6F23F9"/>
    <w:rsid w:val="5C73255E"/>
    <w:rsid w:val="5C7904FC"/>
    <w:rsid w:val="5C99475F"/>
    <w:rsid w:val="5C9960CA"/>
    <w:rsid w:val="5CA45D5A"/>
    <w:rsid w:val="5CAD5206"/>
    <w:rsid w:val="5CE11EE4"/>
    <w:rsid w:val="5CE601AE"/>
    <w:rsid w:val="5CF37A94"/>
    <w:rsid w:val="5CFC5F8A"/>
    <w:rsid w:val="5D065B56"/>
    <w:rsid w:val="5D1751D6"/>
    <w:rsid w:val="5D221813"/>
    <w:rsid w:val="5D2A5B54"/>
    <w:rsid w:val="5D300489"/>
    <w:rsid w:val="5D330F32"/>
    <w:rsid w:val="5D4F1875"/>
    <w:rsid w:val="5D7C1ED5"/>
    <w:rsid w:val="5D8C399E"/>
    <w:rsid w:val="5D8E455C"/>
    <w:rsid w:val="5D94060F"/>
    <w:rsid w:val="5D9F4F81"/>
    <w:rsid w:val="5DA60386"/>
    <w:rsid w:val="5DAD47BF"/>
    <w:rsid w:val="5DD57BCC"/>
    <w:rsid w:val="5DD86AD1"/>
    <w:rsid w:val="5E020195"/>
    <w:rsid w:val="5E12640A"/>
    <w:rsid w:val="5E193657"/>
    <w:rsid w:val="5E1F61D2"/>
    <w:rsid w:val="5E206F98"/>
    <w:rsid w:val="5E337056"/>
    <w:rsid w:val="5E5E59AA"/>
    <w:rsid w:val="5E7B5A54"/>
    <w:rsid w:val="5E884AC7"/>
    <w:rsid w:val="5E8A2B15"/>
    <w:rsid w:val="5E8A78FD"/>
    <w:rsid w:val="5E932FC1"/>
    <w:rsid w:val="5EC9657A"/>
    <w:rsid w:val="5ED825A5"/>
    <w:rsid w:val="5EDD628A"/>
    <w:rsid w:val="5EDE5C3F"/>
    <w:rsid w:val="5EDFFE72"/>
    <w:rsid w:val="5EF20DA7"/>
    <w:rsid w:val="5EFB3B84"/>
    <w:rsid w:val="5EFE06A1"/>
    <w:rsid w:val="5F0368D2"/>
    <w:rsid w:val="5F0E38C4"/>
    <w:rsid w:val="5F1B3102"/>
    <w:rsid w:val="5F242B02"/>
    <w:rsid w:val="5F300814"/>
    <w:rsid w:val="5F6E06EE"/>
    <w:rsid w:val="5F780836"/>
    <w:rsid w:val="5F7953E3"/>
    <w:rsid w:val="5FAF5808"/>
    <w:rsid w:val="5FC755CB"/>
    <w:rsid w:val="5FDF42C1"/>
    <w:rsid w:val="5FDF794B"/>
    <w:rsid w:val="5FE32163"/>
    <w:rsid w:val="5FE42009"/>
    <w:rsid w:val="5FF06BB6"/>
    <w:rsid w:val="600531A7"/>
    <w:rsid w:val="60247441"/>
    <w:rsid w:val="604A75CB"/>
    <w:rsid w:val="60554094"/>
    <w:rsid w:val="605D30F8"/>
    <w:rsid w:val="607E794C"/>
    <w:rsid w:val="607E7E03"/>
    <w:rsid w:val="60854BB0"/>
    <w:rsid w:val="609D25B9"/>
    <w:rsid w:val="60B31BC5"/>
    <w:rsid w:val="60B912D8"/>
    <w:rsid w:val="60C278C8"/>
    <w:rsid w:val="60DE46BD"/>
    <w:rsid w:val="60DF56D7"/>
    <w:rsid w:val="60E052D9"/>
    <w:rsid w:val="60E3417C"/>
    <w:rsid w:val="60EF1A51"/>
    <w:rsid w:val="60F2663D"/>
    <w:rsid w:val="60F6507A"/>
    <w:rsid w:val="611B3E2E"/>
    <w:rsid w:val="61373DBE"/>
    <w:rsid w:val="613D4B63"/>
    <w:rsid w:val="616C0BAB"/>
    <w:rsid w:val="61836F23"/>
    <w:rsid w:val="619E26B2"/>
    <w:rsid w:val="61B215A8"/>
    <w:rsid w:val="61DB081F"/>
    <w:rsid w:val="61E96F98"/>
    <w:rsid w:val="62073061"/>
    <w:rsid w:val="6211592A"/>
    <w:rsid w:val="62167A3D"/>
    <w:rsid w:val="62236FCF"/>
    <w:rsid w:val="62240B6C"/>
    <w:rsid w:val="624D4C39"/>
    <w:rsid w:val="625130D3"/>
    <w:rsid w:val="62745AC5"/>
    <w:rsid w:val="628D686F"/>
    <w:rsid w:val="62C435EF"/>
    <w:rsid w:val="62C53E94"/>
    <w:rsid w:val="62CE6306"/>
    <w:rsid w:val="62F86C72"/>
    <w:rsid w:val="62F96915"/>
    <w:rsid w:val="630F5CAC"/>
    <w:rsid w:val="631143BA"/>
    <w:rsid w:val="631A3F04"/>
    <w:rsid w:val="631D66C3"/>
    <w:rsid w:val="63334DFE"/>
    <w:rsid w:val="633F292D"/>
    <w:rsid w:val="634537BD"/>
    <w:rsid w:val="634B7F3E"/>
    <w:rsid w:val="634D3F9E"/>
    <w:rsid w:val="6364554A"/>
    <w:rsid w:val="63662918"/>
    <w:rsid w:val="637022A9"/>
    <w:rsid w:val="637914BF"/>
    <w:rsid w:val="637F4DD5"/>
    <w:rsid w:val="638755AF"/>
    <w:rsid w:val="63AA3ED5"/>
    <w:rsid w:val="63F00053"/>
    <w:rsid w:val="63F036B7"/>
    <w:rsid w:val="643379FA"/>
    <w:rsid w:val="644E54C7"/>
    <w:rsid w:val="64571737"/>
    <w:rsid w:val="6472088A"/>
    <w:rsid w:val="649B10DB"/>
    <w:rsid w:val="64D344EB"/>
    <w:rsid w:val="64E572E8"/>
    <w:rsid w:val="64E75548"/>
    <w:rsid w:val="64EA4C4A"/>
    <w:rsid w:val="64F508A8"/>
    <w:rsid w:val="65196D12"/>
    <w:rsid w:val="65284162"/>
    <w:rsid w:val="65551E2C"/>
    <w:rsid w:val="6572606B"/>
    <w:rsid w:val="65730A63"/>
    <w:rsid w:val="65796275"/>
    <w:rsid w:val="657E022B"/>
    <w:rsid w:val="657E3E97"/>
    <w:rsid w:val="65871190"/>
    <w:rsid w:val="659B6CC7"/>
    <w:rsid w:val="65A30ED7"/>
    <w:rsid w:val="65A45E05"/>
    <w:rsid w:val="65B2601B"/>
    <w:rsid w:val="65D32108"/>
    <w:rsid w:val="65DF1681"/>
    <w:rsid w:val="65E52321"/>
    <w:rsid w:val="65F24D59"/>
    <w:rsid w:val="66047A5B"/>
    <w:rsid w:val="660600E6"/>
    <w:rsid w:val="660B56AA"/>
    <w:rsid w:val="661030AD"/>
    <w:rsid w:val="661D44E6"/>
    <w:rsid w:val="663F40DB"/>
    <w:rsid w:val="66461462"/>
    <w:rsid w:val="66650F2A"/>
    <w:rsid w:val="66723E0F"/>
    <w:rsid w:val="66812107"/>
    <w:rsid w:val="66842CE4"/>
    <w:rsid w:val="668E2857"/>
    <w:rsid w:val="668F1C92"/>
    <w:rsid w:val="669D555B"/>
    <w:rsid w:val="66A15F49"/>
    <w:rsid w:val="66A64DC8"/>
    <w:rsid w:val="66CA27DD"/>
    <w:rsid w:val="6713781B"/>
    <w:rsid w:val="671875A6"/>
    <w:rsid w:val="674D4466"/>
    <w:rsid w:val="676354D3"/>
    <w:rsid w:val="676740FC"/>
    <w:rsid w:val="67686BAB"/>
    <w:rsid w:val="676B15B3"/>
    <w:rsid w:val="676E1752"/>
    <w:rsid w:val="67703254"/>
    <w:rsid w:val="677532A3"/>
    <w:rsid w:val="6788255B"/>
    <w:rsid w:val="678A419D"/>
    <w:rsid w:val="67A338C0"/>
    <w:rsid w:val="67AF1E10"/>
    <w:rsid w:val="67C114D2"/>
    <w:rsid w:val="67D2789D"/>
    <w:rsid w:val="67DD655F"/>
    <w:rsid w:val="67DE590C"/>
    <w:rsid w:val="67E20CB6"/>
    <w:rsid w:val="67EE3A7C"/>
    <w:rsid w:val="68005FAB"/>
    <w:rsid w:val="6813020F"/>
    <w:rsid w:val="681546F8"/>
    <w:rsid w:val="68522095"/>
    <w:rsid w:val="6859228C"/>
    <w:rsid w:val="686B17DF"/>
    <w:rsid w:val="686C6D89"/>
    <w:rsid w:val="68C646AE"/>
    <w:rsid w:val="68CD3939"/>
    <w:rsid w:val="68D0128F"/>
    <w:rsid w:val="68D90BDF"/>
    <w:rsid w:val="691B7817"/>
    <w:rsid w:val="696242DC"/>
    <w:rsid w:val="696506FF"/>
    <w:rsid w:val="69770706"/>
    <w:rsid w:val="69A231AF"/>
    <w:rsid w:val="69C15CAE"/>
    <w:rsid w:val="6A0015AD"/>
    <w:rsid w:val="6A120CFC"/>
    <w:rsid w:val="6A216133"/>
    <w:rsid w:val="6A314DB7"/>
    <w:rsid w:val="6A3418D7"/>
    <w:rsid w:val="6A34708E"/>
    <w:rsid w:val="6A3E6839"/>
    <w:rsid w:val="6A4A2F6C"/>
    <w:rsid w:val="6A6A650A"/>
    <w:rsid w:val="6A810D14"/>
    <w:rsid w:val="6A8F12FB"/>
    <w:rsid w:val="6AA174ED"/>
    <w:rsid w:val="6AAD5BA4"/>
    <w:rsid w:val="6ABD60A6"/>
    <w:rsid w:val="6AF23AF4"/>
    <w:rsid w:val="6AF51218"/>
    <w:rsid w:val="6B1F100D"/>
    <w:rsid w:val="6B322084"/>
    <w:rsid w:val="6B3466AF"/>
    <w:rsid w:val="6B354DE1"/>
    <w:rsid w:val="6B4246C8"/>
    <w:rsid w:val="6B4907E0"/>
    <w:rsid w:val="6B5C5573"/>
    <w:rsid w:val="6BA078B0"/>
    <w:rsid w:val="6BBE0F45"/>
    <w:rsid w:val="6BC55D81"/>
    <w:rsid w:val="6BCF77FA"/>
    <w:rsid w:val="6BF51E21"/>
    <w:rsid w:val="6C022CEC"/>
    <w:rsid w:val="6C1F5C61"/>
    <w:rsid w:val="6C221040"/>
    <w:rsid w:val="6C2C5798"/>
    <w:rsid w:val="6C2D061D"/>
    <w:rsid w:val="6C3D6154"/>
    <w:rsid w:val="6C3E20A5"/>
    <w:rsid w:val="6C402BB8"/>
    <w:rsid w:val="6C6838B5"/>
    <w:rsid w:val="6C741D2D"/>
    <w:rsid w:val="6C7D3288"/>
    <w:rsid w:val="6C875CBB"/>
    <w:rsid w:val="6CAF4541"/>
    <w:rsid w:val="6CEF5833"/>
    <w:rsid w:val="6D126BE2"/>
    <w:rsid w:val="6D3523B0"/>
    <w:rsid w:val="6D3A4A64"/>
    <w:rsid w:val="6D454B94"/>
    <w:rsid w:val="6D577E1B"/>
    <w:rsid w:val="6D6C6B8B"/>
    <w:rsid w:val="6D6D5DE2"/>
    <w:rsid w:val="6D7F300E"/>
    <w:rsid w:val="6D934008"/>
    <w:rsid w:val="6DB41646"/>
    <w:rsid w:val="6DE458A3"/>
    <w:rsid w:val="6DF44A43"/>
    <w:rsid w:val="6E093AB3"/>
    <w:rsid w:val="6E341640"/>
    <w:rsid w:val="6E4412FE"/>
    <w:rsid w:val="6E4E0C56"/>
    <w:rsid w:val="6E6172BB"/>
    <w:rsid w:val="6E646725"/>
    <w:rsid w:val="6E674326"/>
    <w:rsid w:val="6E6E26C4"/>
    <w:rsid w:val="6E717CFF"/>
    <w:rsid w:val="6E936AA3"/>
    <w:rsid w:val="6EAF4EAF"/>
    <w:rsid w:val="6EB06C55"/>
    <w:rsid w:val="6EB65827"/>
    <w:rsid w:val="6ED26F82"/>
    <w:rsid w:val="6ED8619A"/>
    <w:rsid w:val="6ED96B9A"/>
    <w:rsid w:val="6EE753DE"/>
    <w:rsid w:val="6EE81564"/>
    <w:rsid w:val="6EF84F93"/>
    <w:rsid w:val="6EFB3E70"/>
    <w:rsid w:val="6F0E71C8"/>
    <w:rsid w:val="6F10776C"/>
    <w:rsid w:val="6F3002DC"/>
    <w:rsid w:val="6F3C11ED"/>
    <w:rsid w:val="6F474FB0"/>
    <w:rsid w:val="6F593FCA"/>
    <w:rsid w:val="6FA15E58"/>
    <w:rsid w:val="6FA34CAF"/>
    <w:rsid w:val="6FB82B55"/>
    <w:rsid w:val="6FBC6F99"/>
    <w:rsid w:val="6FBE567C"/>
    <w:rsid w:val="6FC77CBF"/>
    <w:rsid w:val="6FD71915"/>
    <w:rsid w:val="7000372B"/>
    <w:rsid w:val="701C529C"/>
    <w:rsid w:val="702856D6"/>
    <w:rsid w:val="703535F3"/>
    <w:rsid w:val="70400D22"/>
    <w:rsid w:val="70446ECD"/>
    <w:rsid w:val="704E6C47"/>
    <w:rsid w:val="706D7E29"/>
    <w:rsid w:val="706F3F0C"/>
    <w:rsid w:val="707B6789"/>
    <w:rsid w:val="708A2ADC"/>
    <w:rsid w:val="709854A1"/>
    <w:rsid w:val="70AB61CF"/>
    <w:rsid w:val="70D842DD"/>
    <w:rsid w:val="70DA2B03"/>
    <w:rsid w:val="70DF2AEE"/>
    <w:rsid w:val="70ED6780"/>
    <w:rsid w:val="71051014"/>
    <w:rsid w:val="710F3218"/>
    <w:rsid w:val="714339E2"/>
    <w:rsid w:val="716272EC"/>
    <w:rsid w:val="716668EA"/>
    <w:rsid w:val="71B969A4"/>
    <w:rsid w:val="71BB54D4"/>
    <w:rsid w:val="71C00152"/>
    <w:rsid w:val="71D83CB5"/>
    <w:rsid w:val="71F64D3C"/>
    <w:rsid w:val="72095E22"/>
    <w:rsid w:val="721E6F3B"/>
    <w:rsid w:val="7222449A"/>
    <w:rsid w:val="722265F1"/>
    <w:rsid w:val="72365DE2"/>
    <w:rsid w:val="726C54CF"/>
    <w:rsid w:val="72AC1C34"/>
    <w:rsid w:val="72AD793B"/>
    <w:rsid w:val="72B30CCF"/>
    <w:rsid w:val="72C24BBE"/>
    <w:rsid w:val="72C82208"/>
    <w:rsid w:val="72CB3BCC"/>
    <w:rsid w:val="72E0116C"/>
    <w:rsid w:val="72FD7FD3"/>
    <w:rsid w:val="73242A48"/>
    <w:rsid w:val="734E7EAB"/>
    <w:rsid w:val="7380236F"/>
    <w:rsid w:val="73950439"/>
    <w:rsid w:val="73AB651E"/>
    <w:rsid w:val="73CA2EB6"/>
    <w:rsid w:val="73D52674"/>
    <w:rsid w:val="73FF5133"/>
    <w:rsid w:val="740F66EB"/>
    <w:rsid w:val="741C650E"/>
    <w:rsid w:val="7422402A"/>
    <w:rsid w:val="74432EB5"/>
    <w:rsid w:val="748E4096"/>
    <w:rsid w:val="74A27C75"/>
    <w:rsid w:val="74B56405"/>
    <w:rsid w:val="74C60236"/>
    <w:rsid w:val="74CB3B3D"/>
    <w:rsid w:val="74DD5CDA"/>
    <w:rsid w:val="74E04735"/>
    <w:rsid w:val="7528017C"/>
    <w:rsid w:val="752F0C50"/>
    <w:rsid w:val="752F5A15"/>
    <w:rsid w:val="75314EB2"/>
    <w:rsid w:val="753B37EB"/>
    <w:rsid w:val="75483DFE"/>
    <w:rsid w:val="75496CD3"/>
    <w:rsid w:val="755419E8"/>
    <w:rsid w:val="755D3BAC"/>
    <w:rsid w:val="756E2754"/>
    <w:rsid w:val="758E697F"/>
    <w:rsid w:val="75AE3A0E"/>
    <w:rsid w:val="75B5498B"/>
    <w:rsid w:val="75CE2D9E"/>
    <w:rsid w:val="76000AE0"/>
    <w:rsid w:val="7612305C"/>
    <w:rsid w:val="761622BF"/>
    <w:rsid w:val="762A0E55"/>
    <w:rsid w:val="763B761A"/>
    <w:rsid w:val="76412EA0"/>
    <w:rsid w:val="764D6F80"/>
    <w:rsid w:val="76536340"/>
    <w:rsid w:val="76600DBB"/>
    <w:rsid w:val="768C6D97"/>
    <w:rsid w:val="76A4530B"/>
    <w:rsid w:val="76C337AF"/>
    <w:rsid w:val="76D22FB5"/>
    <w:rsid w:val="76F02042"/>
    <w:rsid w:val="772706CD"/>
    <w:rsid w:val="77276435"/>
    <w:rsid w:val="77361B29"/>
    <w:rsid w:val="77526061"/>
    <w:rsid w:val="776E3CD0"/>
    <w:rsid w:val="77A56871"/>
    <w:rsid w:val="78084022"/>
    <w:rsid w:val="781A3268"/>
    <w:rsid w:val="781B0B6E"/>
    <w:rsid w:val="78262EC1"/>
    <w:rsid w:val="78266334"/>
    <w:rsid w:val="782C09BA"/>
    <w:rsid w:val="783C0B04"/>
    <w:rsid w:val="786B7A5D"/>
    <w:rsid w:val="786E1BE1"/>
    <w:rsid w:val="786F523D"/>
    <w:rsid w:val="78730A66"/>
    <w:rsid w:val="787C5D21"/>
    <w:rsid w:val="78852312"/>
    <w:rsid w:val="78A17B39"/>
    <w:rsid w:val="78E8266B"/>
    <w:rsid w:val="78E91118"/>
    <w:rsid w:val="79024BEC"/>
    <w:rsid w:val="790731C3"/>
    <w:rsid w:val="79083A74"/>
    <w:rsid w:val="792F510E"/>
    <w:rsid w:val="794E2500"/>
    <w:rsid w:val="798B60EC"/>
    <w:rsid w:val="798F2B72"/>
    <w:rsid w:val="799643BA"/>
    <w:rsid w:val="79AC4566"/>
    <w:rsid w:val="79AE62F1"/>
    <w:rsid w:val="79B4484E"/>
    <w:rsid w:val="79CE5C18"/>
    <w:rsid w:val="79D45D2B"/>
    <w:rsid w:val="79F44795"/>
    <w:rsid w:val="7A194DE7"/>
    <w:rsid w:val="7A2A2AF5"/>
    <w:rsid w:val="7A5E1AD2"/>
    <w:rsid w:val="7A7E2A67"/>
    <w:rsid w:val="7A8B559D"/>
    <w:rsid w:val="7A946043"/>
    <w:rsid w:val="7A9E15C6"/>
    <w:rsid w:val="7ADB7AA0"/>
    <w:rsid w:val="7B055255"/>
    <w:rsid w:val="7B2072E3"/>
    <w:rsid w:val="7B2B12D1"/>
    <w:rsid w:val="7B2F217F"/>
    <w:rsid w:val="7B3E05D3"/>
    <w:rsid w:val="7B620ED5"/>
    <w:rsid w:val="7B9C10DA"/>
    <w:rsid w:val="7BA06AB6"/>
    <w:rsid w:val="7BA46EDB"/>
    <w:rsid w:val="7BC61133"/>
    <w:rsid w:val="7BED1FDD"/>
    <w:rsid w:val="7BFF0B69"/>
    <w:rsid w:val="7C176443"/>
    <w:rsid w:val="7C2370F6"/>
    <w:rsid w:val="7C3A53DE"/>
    <w:rsid w:val="7C4A63E4"/>
    <w:rsid w:val="7C4C75F2"/>
    <w:rsid w:val="7C6A4D69"/>
    <w:rsid w:val="7CA37055"/>
    <w:rsid w:val="7CA57706"/>
    <w:rsid w:val="7CC50627"/>
    <w:rsid w:val="7CF25BAC"/>
    <w:rsid w:val="7CFD75FB"/>
    <w:rsid w:val="7D2707E7"/>
    <w:rsid w:val="7D2A763D"/>
    <w:rsid w:val="7D4850B4"/>
    <w:rsid w:val="7D753A3C"/>
    <w:rsid w:val="7D8D7FEE"/>
    <w:rsid w:val="7D8F49DA"/>
    <w:rsid w:val="7DAF12E5"/>
    <w:rsid w:val="7DC85E25"/>
    <w:rsid w:val="7DCE319E"/>
    <w:rsid w:val="7DE04AAE"/>
    <w:rsid w:val="7E236DEA"/>
    <w:rsid w:val="7E2523BD"/>
    <w:rsid w:val="7E354D5C"/>
    <w:rsid w:val="7E4B4009"/>
    <w:rsid w:val="7E8F7428"/>
    <w:rsid w:val="7EAA0BAB"/>
    <w:rsid w:val="7EFE1787"/>
    <w:rsid w:val="7EFE6542"/>
    <w:rsid w:val="7F0D78A8"/>
    <w:rsid w:val="7F0E7FB9"/>
    <w:rsid w:val="7F1A7B16"/>
    <w:rsid w:val="7F20052E"/>
    <w:rsid w:val="7F2A1FB0"/>
    <w:rsid w:val="7F346696"/>
    <w:rsid w:val="7F73B8E2"/>
    <w:rsid w:val="7F8B2348"/>
    <w:rsid w:val="7FA13647"/>
    <w:rsid w:val="7FA30882"/>
    <w:rsid w:val="7FAB621E"/>
    <w:rsid w:val="7FAE463C"/>
    <w:rsid w:val="7FB0212F"/>
    <w:rsid w:val="7FB67439"/>
    <w:rsid w:val="7FB6D761"/>
    <w:rsid w:val="7FD90E39"/>
    <w:rsid w:val="BF7F70D8"/>
    <w:rsid w:val="CF6F90E1"/>
    <w:rsid w:val="D6BE4A9A"/>
    <w:rsid w:val="DCDAA486"/>
    <w:rsid w:val="FD3FFD45"/>
    <w:rsid w:val="FDEFA9CD"/>
    <w:rsid w:val="FF37D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4">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paragraph" w:styleId="5">
    <w:name w:val="heading 5"/>
    <w:basedOn w:val="1"/>
    <w:next w:val="1"/>
    <w:unhideWhenUsed/>
    <w:qFormat/>
    <w:uiPriority w:val="0"/>
    <w:pPr>
      <w:keepNext/>
      <w:keepLines/>
      <w:spacing w:before="280" w:after="290" w:line="376" w:lineRule="auto"/>
      <w:outlineLvl w:val="4"/>
    </w:pPr>
    <w:rPr>
      <w:b/>
      <w:bCs/>
      <w:sz w:val="28"/>
      <w:szCs w:val="28"/>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firstLine="660"/>
    </w:pPr>
    <w:rPr>
      <w:rFonts w:ascii="宋体" w:hAnsi="宋体"/>
      <w:color w:val="000000"/>
      <w:sz w:val="24"/>
      <w:szCs w:val="20"/>
    </w:rPr>
  </w:style>
  <w:style w:type="paragraph" w:styleId="6">
    <w:name w:val="Body Text"/>
    <w:basedOn w:val="1"/>
    <w:qFormat/>
    <w:uiPriority w:val="0"/>
    <w:rPr>
      <w:rFonts w:ascii="宋体" w:hAnsi="Arial"/>
      <w:sz w:val="28"/>
    </w:rPr>
  </w:style>
  <w:style w:type="paragraph" w:styleId="7">
    <w:name w:val="Balloon Text"/>
    <w:basedOn w:val="1"/>
    <w:link w:val="13"/>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Autospacing="1" w:afterAutospacing="1"/>
      <w:jc w:val="left"/>
    </w:pPr>
    <w:rPr>
      <w:kern w:val="0"/>
      <w:sz w:val="24"/>
    </w:rPr>
  </w:style>
  <w:style w:type="character" w:customStyle="1" w:styleId="13">
    <w:name w:val="批注框文本 字符"/>
    <w:basedOn w:val="12"/>
    <w:link w:val="7"/>
    <w:semiHidden/>
    <w:qFormat/>
    <w:uiPriority w:val="99"/>
    <w:rPr>
      <w:rFonts w:ascii="Calibri" w:hAnsi="Calibri" w:eastAsia="宋体" w:cs="Times New Roman"/>
      <w:sz w:val="18"/>
      <w:szCs w:val="18"/>
    </w:rPr>
  </w:style>
  <w:style w:type="paragraph" w:customStyle="1" w:styleId="14">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一级条标题"/>
    <w:next w:val="1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二级无"/>
    <w:basedOn w:val="17"/>
    <w:qFormat/>
    <w:uiPriority w:val="0"/>
    <w:pPr>
      <w:spacing w:beforeLines="0" w:afterLines="0"/>
    </w:pPr>
    <w:rPr>
      <w:rFonts w:ascii="宋体" w:eastAsia="宋体"/>
    </w:rPr>
  </w:style>
  <w:style w:type="paragraph" w:customStyle="1" w:styleId="17">
    <w:name w:val="二级条标题"/>
    <w:basedOn w:val="15"/>
    <w:next w:val="14"/>
    <w:qFormat/>
    <w:uiPriority w:val="0"/>
    <w:pPr>
      <w:numPr>
        <w:ilvl w:val="2"/>
      </w:numPr>
      <w:spacing w:before="50" w:after="50"/>
      <w:outlineLvl w:val="3"/>
    </w:pPr>
  </w:style>
  <w:style w:type="paragraph" w:customStyle="1" w:styleId="18">
    <w:name w:val="标准文件_段"/>
    <w:link w:val="3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9">
    <w:name w:val="页眉 字符"/>
    <w:basedOn w:val="12"/>
    <w:link w:val="9"/>
    <w:qFormat/>
    <w:uiPriority w:val="99"/>
    <w:rPr>
      <w:rFonts w:ascii="Calibri" w:hAnsi="Calibri"/>
      <w:kern w:val="2"/>
      <w:sz w:val="18"/>
      <w:szCs w:val="18"/>
    </w:rPr>
  </w:style>
  <w:style w:type="character" w:customStyle="1" w:styleId="20">
    <w:name w:val="页脚 字符"/>
    <w:basedOn w:val="12"/>
    <w:link w:val="8"/>
    <w:qFormat/>
    <w:uiPriority w:val="99"/>
    <w:rPr>
      <w:rFonts w:ascii="Calibri" w:hAnsi="Calibri"/>
      <w:kern w:val="2"/>
      <w:sz w:val="18"/>
      <w:szCs w:val="18"/>
    </w:rPr>
  </w:style>
  <w:style w:type="character" w:customStyle="1" w:styleId="21">
    <w:name w:val="fontstyle01"/>
    <w:basedOn w:val="12"/>
    <w:uiPriority w:val="0"/>
    <w:rPr>
      <w:rFonts w:hint="eastAsia" w:ascii="黑体" w:hAnsi="黑体" w:eastAsia="黑体"/>
      <w:color w:val="000000"/>
      <w:sz w:val="52"/>
      <w:szCs w:val="52"/>
    </w:rPr>
  </w:style>
  <w:style w:type="paragraph" w:customStyle="1" w:styleId="22">
    <w:name w:val="标准文件_二级条标题"/>
    <w:next w:val="1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23">
    <w:name w:val="标准文件_三级条标题"/>
    <w:basedOn w:val="22"/>
    <w:next w:val="18"/>
    <w:qFormat/>
    <w:uiPriority w:val="0"/>
    <w:pPr>
      <w:widowControl/>
      <w:numPr>
        <w:ilvl w:val="4"/>
      </w:numPr>
      <w:outlineLvl w:val="3"/>
    </w:pPr>
  </w:style>
  <w:style w:type="paragraph" w:customStyle="1" w:styleId="24">
    <w:name w:val="标准文件_四级条标题"/>
    <w:next w:val="1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5">
    <w:name w:val="标准文件_五级条标题"/>
    <w:next w:val="1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6">
    <w:name w:val="标准文件_章标题"/>
    <w:next w:val="1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27">
    <w:name w:val="标准文件_一级条标题"/>
    <w:basedOn w:val="26"/>
    <w:next w:val="18"/>
    <w:qFormat/>
    <w:uiPriority w:val="0"/>
    <w:pPr>
      <w:numPr>
        <w:ilvl w:val="2"/>
      </w:numPr>
      <w:spacing w:beforeLines="50" w:afterLines="50"/>
      <w:outlineLvl w:val="1"/>
    </w:pPr>
  </w:style>
  <w:style w:type="paragraph" w:customStyle="1" w:styleId="28">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9">
    <w:name w:val="标准文件_术语条一"/>
    <w:basedOn w:val="1"/>
    <w:next w:val="18"/>
    <w:qFormat/>
    <w:uiPriority w:val="0"/>
    <w:pPr>
      <w:widowControl/>
    </w:pPr>
    <w:rPr>
      <w:rFonts w:ascii="宋体" w:hAnsi="Times New Roman"/>
      <w:kern w:val="0"/>
      <w:szCs w:val="20"/>
    </w:rPr>
  </w:style>
  <w:style w:type="paragraph" w:customStyle="1" w:styleId="30">
    <w:name w:val="标准文件_二级无标题"/>
    <w:basedOn w:val="22"/>
    <w:qFormat/>
    <w:uiPriority w:val="0"/>
    <w:pPr>
      <w:numPr>
        <w:numId w:val="1"/>
      </w:numPr>
      <w:spacing w:beforeLines="0" w:afterLines="0"/>
      <w:outlineLvl w:val="9"/>
    </w:pPr>
    <w:rPr>
      <w:rFonts w:ascii="宋体" w:eastAsia="宋体"/>
    </w:rPr>
  </w:style>
  <w:style w:type="paragraph" w:customStyle="1" w:styleId="31">
    <w:name w:val="标准文件_三级无标题"/>
    <w:basedOn w:val="23"/>
    <w:qFormat/>
    <w:uiPriority w:val="0"/>
    <w:pPr>
      <w:numPr>
        <w:numId w:val="1"/>
      </w:numPr>
      <w:spacing w:beforeLines="0" w:afterLines="0"/>
      <w:outlineLvl w:val="9"/>
    </w:pPr>
    <w:rPr>
      <w:rFonts w:ascii="宋体" w:eastAsia="宋体"/>
    </w:rPr>
  </w:style>
  <w:style w:type="character" w:customStyle="1" w:styleId="32">
    <w:name w:val="段 Char"/>
    <w:link w:val="14"/>
    <w:qFormat/>
    <w:uiPriority w:val="0"/>
    <w:rPr>
      <w:rFonts w:ascii="宋体"/>
      <w:sz w:val="21"/>
    </w:rPr>
  </w:style>
  <w:style w:type="character" w:customStyle="1" w:styleId="33">
    <w:name w:val="标准文件_段 Char"/>
    <w:link w:val="18"/>
    <w:uiPriority w:val="0"/>
    <w:rPr>
      <w:rFonts w:ascii="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2320</Words>
  <Characters>2440</Characters>
  <Lines>17</Lines>
  <Paragraphs>4</Paragraphs>
  <TotalTime>8</TotalTime>
  <ScaleCrop>false</ScaleCrop>
  <LinksUpToDate>false</LinksUpToDate>
  <CharactersWithSpaces>2442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2020-06-19T01:57:00Z</dcterms:created>
  <dc:creator>jsb10</dc:creator>
  <cp:lastModifiedBy> </cp:lastModifiedBy>
  <cp:lastPrinted>2024-05-15T01:11:00Z</cp:lastPrinted>
  <dcterms:modified xsi:type="dcterms:W3CDTF">2025-01-15T06:44:25Z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RubyTemplateID" linkTarget="0">
    <vt:lpwstr>6</vt:lpwstr>
  </property>
  <property fmtid="{D5CDD505-2E9C-101B-9397-08002B2CF9AE}" pid="4" name="ICV">
    <vt:lpwstr>C5F4DA27F9C6C5922ABA4A6752774A83_43</vt:lpwstr>
  </property>
  <property fmtid="{D5CDD505-2E9C-101B-9397-08002B2CF9AE}" pid="5" name="KSOTemplateDocerSaveRecord">
    <vt:lpwstr>eyJoZGlkIjoiZGVjNTgyMzU1ZWEyMzVlMDk2ZGQ5MTg1MDc4ODVlNjYiLCJ1c2VySWQiOiIyMzU3MTIzODkifQ==</vt:lpwstr>
  </property>
</Properties>
</file>