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97131BC">
        <w:tc>
          <w:tcPr>
            <w:tcW w:w="509" w:type="dxa"/>
          </w:tcPr>
          <w:p w14:paraId="31955CA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A0F565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hint="eastAsia" w:ascii="黑体" w:hAnsi="黑体" w:eastAsia="黑体"/>
                <w:sz w:val="21"/>
                <w:szCs w:val="21"/>
              </w:rPr>
              <w:t>13.100</w:t>
            </w:r>
            <w:r>
              <w:rPr>
                <w:rFonts w:ascii="黑体" w:hAnsi="黑体" w:eastAsia="黑体"/>
                <w:sz w:val="21"/>
                <w:szCs w:val="21"/>
              </w:rPr>
              <w:fldChar w:fldCharType="end"/>
            </w:r>
            <w:bookmarkEnd w:id="0"/>
          </w:p>
        </w:tc>
      </w:tr>
      <w:tr w14:paraId="19BF73AF">
        <w:tc>
          <w:tcPr>
            <w:tcW w:w="509" w:type="dxa"/>
          </w:tcPr>
          <w:p w14:paraId="168DCE1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929200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C50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BD8658D">
        <w:tc>
          <w:tcPr>
            <w:tcW w:w="6407" w:type="dxa"/>
          </w:tcPr>
          <w:p w14:paraId="60C5B5B2">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57BC9DAD">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9F9CC50">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F200A6D">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B3CF10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F890DC">
      <w:pPr>
        <w:pStyle w:val="50"/>
        <w:framePr w:w="9639" w:h="6976" w:hRule="exact" w:hSpace="0" w:vSpace="0" w:wrap="around" w:hAnchor="page" w:y="6408"/>
        <w:jc w:val="center"/>
        <w:rPr>
          <w:rFonts w:hint="eastAsia" w:ascii="黑体" w:hAnsi="黑体" w:eastAsia="黑体"/>
          <w:b w:val="0"/>
          <w:bCs w:val="0"/>
          <w:w w:val="100"/>
        </w:rPr>
      </w:pPr>
    </w:p>
    <w:p w14:paraId="49DA1B8B">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成人体外膜肺氧合患者院际转院服务规范</w:t>
      </w:r>
      <w:r>
        <w:fldChar w:fldCharType="end"/>
      </w:r>
      <w:bookmarkEnd w:id="9"/>
    </w:p>
    <w:p w14:paraId="4F5F723F">
      <w:pPr>
        <w:framePr w:w="9639" w:h="6974" w:hRule="exact" w:wrap="around" w:vAnchor="page" w:hAnchor="page" w:x="1419" w:y="6408" w:anchorLock="1"/>
        <w:ind w:left="-1418"/>
      </w:pPr>
    </w:p>
    <w:p w14:paraId="1BAEB10F">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default" w:ascii="黑体" w:hAnsi="黑体" w:eastAsia="黑体"/>
          <w:szCs w:val="28"/>
          <w:lang w:val="en-US"/>
        </w:rPr>
        <w:t>S</w:t>
      </w:r>
      <w:r>
        <w:rPr>
          <w:rFonts w:hint="eastAsia" w:ascii="黑体" w:hAnsi="黑体" w:eastAsia="黑体"/>
          <w:szCs w:val="28"/>
        </w:rPr>
        <w:t xml:space="preserve">erving standards for  inter-hospital transport of adult patients with extracorporeal membrane oxygenation </w:t>
      </w:r>
      <w:r>
        <w:rPr>
          <w:rFonts w:ascii="黑体" w:hAnsi="黑体" w:eastAsia="黑体"/>
          <w:szCs w:val="28"/>
        </w:rPr>
        <w:fldChar w:fldCharType="end"/>
      </w:r>
      <w:bookmarkEnd w:id="10"/>
    </w:p>
    <w:p w14:paraId="17CB3B95">
      <w:pPr>
        <w:framePr w:w="9639" w:h="6974" w:hRule="exact" w:wrap="around" w:vAnchor="page" w:hAnchor="page" w:x="1419" w:y="6408" w:anchorLock="1"/>
        <w:spacing w:line="760" w:lineRule="exact"/>
        <w:ind w:left="-1418"/>
      </w:pPr>
    </w:p>
    <w:p w14:paraId="6AB98045">
      <w:pPr>
        <w:pStyle w:val="125"/>
        <w:framePr w:w="9639" w:h="6974" w:hRule="exact" w:wrap="around" w:vAnchor="page" w:hAnchor="page" w:x="1419" w:y="6408" w:anchorLock="1"/>
        <w:textAlignment w:val="bottom"/>
        <w:rPr>
          <w:rFonts w:eastAsia="黑体"/>
          <w:szCs w:val="28"/>
        </w:rPr>
      </w:pPr>
    </w:p>
    <w:p w14:paraId="697AB94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423777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FAB0EC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06306D7">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20A4D6E">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049614E">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41679E7">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073EFE6">
      <w:pPr>
        <w:pStyle w:val="89"/>
        <w:spacing w:before="560" w:after="468"/>
      </w:pPr>
      <w:bookmarkStart w:id="21" w:name="BookMark2"/>
      <w:r>
        <w:rPr>
          <w:rFonts w:hint="eastAsia"/>
          <w:spacing w:val="320"/>
        </w:rPr>
        <w:t>前</w:t>
      </w:r>
      <w:r>
        <w:rPr>
          <w:rFonts w:hint="eastAsia"/>
        </w:rPr>
        <w:t>言</w:t>
      </w:r>
    </w:p>
    <w:p w14:paraId="0AC72F90">
      <w:pPr>
        <w:pStyle w:val="56"/>
        <w:ind w:firstLine="420"/>
      </w:pPr>
      <w:r>
        <w:rPr>
          <w:rFonts w:hint="eastAsia"/>
        </w:rPr>
        <w:t>本文件按照GB/T 1.1—2020《标准化工作导则  第1部分：标准化文件的结构和起草规则》的规定起草。</w:t>
      </w:r>
    </w:p>
    <w:p w14:paraId="16785519">
      <w:pPr>
        <w:pStyle w:val="56"/>
        <w:ind w:firstLine="420"/>
      </w:pPr>
      <w:r>
        <w:rPr>
          <w:rFonts w:hint="eastAsia"/>
        </w:rPr>
        <w:t>请注意本文件的某些内容可能涉及专利。本文件的发布机构不承担识别专利的责任。</w:t>
      </w:r>
    </w:p>
    <w:p w14:paraId="216552E3">
      <w:pPr>
        <w:pStyle w:val="56"/>
        <w:ind w:firstLine="420"/>
      </w:pPr>
      <w:r>
        <w:rPr>
          <w:rFonts w:hint="eastAsia"/>
        </w:rPr>
        <w:t>本文件由安徽医科大学第一附属医院提出。</w:t>
      </w:r>
    </w:p>
    <w:p w14:paraId="472987C9">
      <w:pPr>
        <w:pStyle w:val="56"/>
        <w:ind w:firstLine="420"/>
      </w:pPr>
      <w:r>
        <w:rPr>
          <w:rFonts w:hint="eastAsia"/>
        </w:rPr>
        <w:t>本文件由安徽省卫生健康委员会归口。</w:t>
      </w:r>
    </w:p>
    <w:p w14:paraId="1F4B0223">
      <w:pPr>
        <w:pStyle w:val="56"/>
        <w:ind w:firstLine="420"/>
      </w:pPr>
      <w:r>
        <w:rPr>
          <w:rFonts w:hint="eastAsia"/>
        </w:rPr>
        <w:t>本文件起草单位：</w:t>
      </w:r>
      <w:bookmarkStart w:id="22" w:name="OLE_LINK4"/>
      <w:r>
        <w:rPr>
          <w:rFonts w:hint="eastAsia"/>
        </w:rPr>
        <w:t>安徽医科大学第一附属医院、皖南医学院附属第一附属医院（弋矶山医院）、宿州市立医院</w:t>
      </w:r>
      <w:bookmarkEnd w:id="22"/>
      <w:r>
        <w:t>……</w:t>
      </w:r>
    </w:p>
    <w:p w14:paraId="1B9DC392">
      <w:pPr>
        <w:pStyle w:val="56"/>
        <w:ind w:firstLine="420"/>
      </w:pPr>
      <w:r>
        <w:rPr>
          <w:rFonts w:hint="eastAsia"/>
        </w:rPr>
        <w:t>本文件主要起草人：</w:t>
      </w:r>
      <w:r>
        <w:t>……</w:t>
      </w:r>
    </w:p>
    <w:p w14:paraId="0E647D20">
      <w:pPr>
        <w:pStyle w:val="56"/>
        <w:ind w:firstLine="420"/>
      </w:pPr>
    </w:p>
    <w:p w14:paraId="1B47C9A1">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4C2C9FD2">
      <w:pPr>
        <w:spacing w:line="20" w:lineRule="exact"/>
        <w:jc w:val="center"/>
        <w:rPr>
          <w:rFonts w:hint="eastAsia" w:ascii="黑体" w:hAnsi="黑体" w:eastAsia="黑体"/>
          <w:sz w:val="32"/>
          <w:szCs w:val="32"/>
        </w:rPr>
      </w:pPr>
      <w:bookmarkStart w:id="23" w:name="BookMark4"/>
    </w:p>
    <w:p w14:paraId="66FC14D4">
      <w:pPr>
        <w:spacing w:line="20" w:lineRule="exact"/>
        <w:jc w:val="center"/>
        <w:rPr>
          <w:rFonts w:hint="eastAsia" w:ascii="黑体" w:hAnsi="黑体" w:eastAsia="黑体"/>
          <w:sz w:val="32"/>
          <w:szCs w:val="32"/>
        </w:rPr>
      </w:pPr>
    </w:p>
    <w:sdt>
      <w:sdtPr>
        <w:tag w:val="NEW_STAND_NAME"/>
        <w:id w:val="595910757"/>
        <w:lock w:val="sdtLocked"/>
        <w:placeholder>
          <w:docPart w:val="C8A2D1044DBB410387CCA3082E62B910"/>
        </w:placeholder>
      </w:sdtPr>
      <w:sdtContent>
        <w:p w14:paraId="6FB7E52D">
          <w:pPr>
            <w:pStyle w:val="177"/>
            <w:spacing w:before="312" w:beforeLines="100" w:after="686" w:afterLines="220"/>
            <w:rPr>
              <w:rFonts w:hint="eastAsia"/>
            </w:rPr>
          </w:pPr>
          <w:bookmarkStart w:id="24" w:name="NEW_STAND_NAME"/>
          <w:r>
            <w:rPr>
              <w:rFonts w:hint="eastAsia"/>
            </w:rPr>
            <w:t>成人体外膜肺氧合患者院际转运</w:t>
          </w:r>
          <w:r>
            <w:rPr>
              <w:rFonts w:hint="eastAsia"/>
              <w:lang w:val="en-US" w:eastAsia="zh-CN"/>
            </w:rPr>
            <w:t>服务</w:t>
          </w:r>
          <w:r>
            <w:rPr>
              <w:rFonts w:hint="eastAsia"/>
            </w:rPr>
            <w:t>规范</w:t>
          </w:r>
        </w:p>
      </w:sdtContent>
    </w:sdt>
    <w:bookmarkEnd w:id="24"/>
    <w:p w14:paraId="7CDFD938">
      <w:pPr>
        <w:pStyle w:val="104"/>
        <w:spacing w:before="312" w:after="312"/>
      </w:pPr>
      <w:bookmarkStart w:id="25" w:name="_Toc26986771"/>
      <w:bookmarkStart w:id="26" w:name="_Toc17233325"/>
      <w:bookmarkStart w:id="27" w:name="_Toc26718930"/>
      <w:bookmarkStart w:id="28" w:name="_Toc26986530"/>
      <w:bookmarkStart w:id="29" w:name="_Toc97191423"/>
      <w:bookmarkStart w:id="30" w:name="_Toc26648465"/>
      <w:bookmarkStart w:id="31" w:name="_Toc24884211"/>
      <w:bookmarkStart w:id="32" w:name="_Toc24884218"/>
      <w:bookmarkStart w:id="33" w:name="_Toc17233333"/>
      <w:r>
        <w:rPr>
          <w:rFonts w:hint="eastAsia"/>
        </w:rPr>
        <w:t>范围</w:t>
      </w:r>
      <w:bookmarkEnd w:id="25"/>
      <w:bookmarkEnd w:id="26"/>
      <w:bookmarkEnd w:id="27"/>
      <w:bookmarkEnd w:id="28"/>
      <w:bookmarkEnd w:id="29"/>
      <w:bookmarkEnd w:id="30"/>
      <w:bookmarkEnd w:id="31"/>
      <w:bookmarkEnd w:id="32"/>
      <w:bookmarkEnd w:id="33"/>
    </w:p>
    <w:p w14:paraId="329D2C82">
      <w:pPr>
        <w:pStyle w:val="56"/>
        <w:ind w:firstLine="420"/>
        <w:rPr>
          <w:rFonts w:ascii="Times New Roman"/>
        </w:rPr>
      </w:pPr>
      <w:bookmarkStart w:id="34" w:name="_Toc17233334"/>
      <w:bookmarkStart w:id="35" w:name="_Toc24884219"/>
      <w:bookmarkStart w:id="36" w:name="_Toc26648466"/>
      <w:bookmarkStart w:id="37" w:name="_Toc17233326"/>
      <w:bookmarkStart w:id="38" w:name="_Toc24884212"/>
      <w:r>
        <w:rPr>
          <w:rFonts w:ascii="Times New Roman"/>
        </w:rPr>
        <w:t>本文件规定了成人体外膜肺氧合患者院际转运</w:t>
      </w:r>
      <w:r>
        <w:rPr>
          <w:rFonts w:hint="eastAsia" w:ascii="Times New Roman"/>
          <w:lang w:val="en-US" w:eastAsia="zh-CN"/>
        </w:rPr>
        <w:t>服务</w:t>
      </w:r>
      <w:r>
        <w:rPr>
          <w:rFonts w:ascii="Times New Roman"/>
        </w:rPr>
        <w:t>规范的基本要求、转运前</w:t>
      </w:r>
      <w:r>
        <w:rPr>
          <w:rFonts w:hint="eastAsia" w:ascii="Times New Roman"/>
        </w:rPr>
        <w:t>评估、转运前</w:t>
      </w:r>
      <w:r>
        <w:rPr>
          <w:rFonts w:ascii="Times New Roman"/>
        </w:rPr>
        <w:t>准备、转运中管理、转运后交接和</w:t>
      </w:r>
      <w:r>
        <w:rPr>
          <w:rFonts w:hint="eastAsia" w:ascii="Times New Roman"/>
        </w:rPr>
        <w:t>评价与改进</w:t>
      </w:r>
      <w:r>
        <w:rPr>
          <w:rFonts w:ascii="Times New Roman"/>
        </w:rPr>
        <w:t>。</w:t>
      </w:r>
    </w:p>
    <w:p w14:paraId="52C1581C">
      <w:pPr>
        <w:pStyle w:val="56"/>
        <w:ind w:firstLine="420"/>
        <w:rPr>
          <w:rFonts w:ascii="Times New Roman"/>
        </w:rPr>
      </w:pPr>
      <w:r>
        <w:rPr>
          <w:rFonts w:ascii="Times New Roman"/>
        </w:rPr>
        <w:t>本文件适用于指导成人体外膜肺氧合患者院际转运护理工作，儿童可参考执行。</w:t>
      </w:r>
    </w:p>
    <w:p w14:paraId="5E5DFEB1">
      <w:pPr>
        <w:pStyle w:val="104"/>
        <w:spacing w:before="312" w:after="312"/>
        <w:rPr>
          <w:rFonts w:ascii="Times New Roman"/>
        </w:rPr>
      </w:pPr>
      <w:bookmarkStart w:id="39" w:name="_Toc97191424"/>
      <w:bookmarkStart w:id="40" w:name="_Toc26986531"/>
      <w:bookmarkStart w:id="41" w:name="_Toc26986772"/>
      <w:bookmarkStart w:id="42" w:name="_Toc26718931"/>
      <w:r>
        <w:rPr>
          <w:rFonts w:ascii="Times New Roman"/>
        </w:rPr>
        <w:t>规范性引用文件</w:t>
      </w:r>
      <w:bookmarkEnd w:id="34"/>
      <w:bookmarkEnd w:id="35"/>
      <w:bookmarkEnd w:id="36"/>
      <w:bookmarkEnd w:id="37"/>
      <w:bookmarkEnd w:id="38"/>
      <w:bookmarkEnd w:id="39"/>
      <w:bookmarkEnd w:id="40"/>
      <w:bookmarkEnd w:id="41"/>
      <w:bookmarkEnd w:id="42"/>
    </w:p>
    <w:sdt>
      <w:sdtPr>
        <w:rPr>
          <w:rFonts w:ascii="Times New Roman"/>
        </w:rPr>
        <w:id w:val="715848253"/>
        <w:placeholder>
          <w:docPart w:val="9B7B102A6D234C42839794403AE226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5700A1F1">
          <w:pPr>
            <w:pStyle w:val="56"/>
            <w:ind w:firstLine="420"/>
            <w:rPr>
              <w:rFonts w:ascii="Times New Roman"/>
            </w:rPr>
          </w:pPr>
          <w:r>
            <w:rPr>
              <w:rFonts w:ascii="Times New Roman"/>
            </w:rPr>
            <w:t>本文件没有规范性引用文件。</w:t>
          </w:r>
        </w:p>
      </w:sdtContent>
    </w:sdt>
    <w:p w14:paraId="4E518BFE">
      <w:pPr>
        <w:pStyle w:val="104"/>
        <w:spacing w:before="312" w:after="312"/>
        <w:rPr>
          <w:rFonts w:ascii="Times New Roman"/>
        </w:rPr>
      </w:pPr>
      <w:bookmarkStart w:id="43" w:name="_Toc97191425"/>
      <w:r>
        <w:rPr>
          <w:rFonts w:ascii="Times New Roman"/>
          <w:szCs w:val="21"/>
        </w:rPr>
        <w:t>术语和定义</w:t>
      </w:r>
      <w:bookmarkEnd w:id="43"/>
    </w:p>
    <w:sdt>
      <w:sdtPr>
        <w:rPr>
          <w:rFonts w:ascii="Times New Roman"/>
        </w:rPr>
        <w:id w:val="-1"/>
        <w:placeholder>
          <w:docPart w:val="C6AA029BB4434148A85FF0E0DC4F8A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29746944">
          <w:pPr>
            <w:pStyle w:val="56"/>
            <w:ind w:firstLine="420"/>
            <w:rPr>
              <w:rFonts w:ascii="Times New Roman"/>
            </w:rPr>
          </w:pPr>
          <w:bookmarkStart w:id="44" w:name="_Toc26986532"/>
          <w:bookmarkEnd w:id="44"/>
          <w:r>
            <w:rPr>
              <w:rFonts w:ascii="Times New Roman"/>
            </w:rPr>
            <w:t>下列术语和定义适用于本文件。</w:t>
          </w:r>
        </w:p>
      </w:sdtContent>
    </w:sdt>
    <w:p w14:paraId="71F70EF2">
      <w:pPr>
        <w:pStyle w:val="56"/>
        <w:ind w:firstLine="0" w:firstLineChars="0"/>
        <w:rPr>
          <w:rFonts w:ascii="Times New Roman"/>
        </w:rPr>
      </w:pPr>
      <w:r>
        <w:rPr>
          <w:rFonts w:ascii="Times New Roman"/>
        </w:rPr>
        <w:t>3.1　</w:t>
      </w:r>
    </w:p>
    <w:p w14:paraId="2E05516D">
      <w:pPr>
        <w:pStyle w:val="56"/>
        <w:ind w:firstLine="420"/>
        <w:rPr>
          <w:rFonts w:ascii="Times New Roman"/>
        </w:rPr>
      </w:pPr>
      <w:r>
        <w:rPr>
          <w:rFonts w:ascii="Times New Roman"/>
        </w:rPr>
        <w:t>体外膜肺氧合 extracorporeal membrane oxygenation</w:t>
      </w:r>
    </w:p>
    <w:p w14:paraId="1D1191A6">
      <w:pPr>
        <w:pStyle w:val="56"/>
        <w:ind w:firstLine="420"/>
        <w:rPr>
          <w:rFonts w:ascii="Times New Roman"/>
        </w:rPr>
      </w:pPr>
      <w:r>
        <w:rPr>
          <w:rFonts w:ascii="Times New Roman"/>
        </w:rPr>
        <w:t>以体外循环系统为基本设备，采用体外循环技术进行操作和管理的一种辅助治疗手段，其原理是将静脉血引流到体外，经膜</w:t>
      </w:r>
      <w:r>
        <w:rPr>
          <w:rFonts w:hint="eastAsia" w:ascii="Times New Roman"/>
        </w:rPr>
        <w:t>肺</w:t>
      </w:r>
      <w:r>
        <w:rPr>
          <w:rFonts w:ascii="Times New Roman"/>
        </w:rPr>
        <w:t>氧合器氧合后再用血泵将血液灌入体内，以替代或部分替代心脏或肺脏功能，提供临时生命支持，以下简称ECMO。</w:t>
      </w:r>
    </w:p>
    <w:p w14:paraId="460D58FB">
      <w:pPr>
        <w:pStyle w:val="56"/>
        <w:ind w:firstLine="0" w:firstLineChars="0"/>
        <w:rPr>
          <w:rFonts w:ascii="Times New Roman"/>
        </w:rPr>
      </w:pPr>
      <w:r>
        <w:rPr>
          <w:rFonts w:ascii="Times New Roman"/>
        </w:rPr>
        <w:t>3.2　</w:t>
      </w:r>
    </w:p>
    <w:p w14:paraId="091B808F">
      <w:pPr>
        <w:pStyle w:val="56"/>
        <w:ind w:firstLine="420"/>
        <w:rPr>
          <w:rFonts w:ascii="Times New Roman"/>
        </w:rPr>
      </w:pPr>
      <w:r>
        <w:rPr>
          <w:rFonts w:ascii="Times New Roman"/>
        </w:rPr>
        <w:t>院际转运 inter-hospital transport</w:t>
      </w:r>
    </w:p>
    <w:p w14:paraId="7F1FAC96">
      <w:pPr>
        <w:pStyle w:val="56"/>
        <w:ind w:firstLine="420"/>
        <w:rPr>
          <w:rFonts w:ascii="Times New Roman"/>
        </w:rPr>
      </w:pPr>
      <w:r>
        <w:rPr>
          <w:rFonts w:ascii="Times New Roman"/>
        </w:rPr>
        <w:t>根据患者病情需要、患者及（或）其家属意愿、医疗资源的可及性，将患者转到另一医疗单位进行诊疗或处理的过程。</w:t>
      </w:r>
    </w:p>
    <w:p w14:paraId="7D2CF0FF">
      <w:pPr>
        <w:pStyle w:val="104"/>
        <w:spacing w:before="312" w:after="312"/>
        <w:rPr>
          <w:rFonts w:ascii="Times New Roman"/>
        </w:rPr>
      </w:pPr>
      <w:r>
        <w:rPr>
          <w:rFonts w:ascii="Times New Roman"/>
        </w:rPr>
        <w:t>基本要求</w:t>
      </w:r>
    </w:p>
    <w:p w14:paraId="4026663D">
      <w:pPr>
        <w:pStyle w:val="104"/>
        <w:numPr>
          <w:ilvl w:val="0"/>
          <w:numId w:val="0"/>
        </w:numPr>
        <w:spacing w:before="312" w:after="312"/>
      </w:pPr>
      <w:r>
        <w:rPr>
          <w:rFonts w:hint="eastAsia"/>
        </w:rPr>
        <w:t>4.1管理要求</w:t>
      </w:r>
    </w:p>
    <w:p w14:paraId="1C2D18E4">
      <w:pPr>
        <w:pStyle w:val="56"/>
        <w:ind w:firstLine="0" w:firstLineChars="0"/>
        <w:rPr>
          <w:rFonts w:ascii="Times New Roman"/>
        </w:rPr>
      </w:pPr>
      <w:r>
        <w:rPr>
          <w:rFonts w:ascii="Times New Roman"/>
        </w:rPr>
        <w:t>4.1.</w:t>
      </w:r>
      <w:r>
        <w:rPr>
          <w:rFonts w:hint="eastAsia" w:ascii="Times New Roman"/>
        </w:rPr>
        <w:t>1</w:t>
      </w:r>
      <w:r>
        <w:rPr>
          <w:rFonts w:ascii="Times New Roman"/>
        </w:rPr>
        <w:t xml:space="preserve"> 建立健全管理机制，包括但不限于以下相关制度</w:t>
      </w:r>
      <w:r>
        <w:rPr>
          <w:rFonts w:hint="eastAsia" w:ascii="Times New Roman"/>
          <w:lang w:eastAsia="zh-CN"/>
        </w:rPr>
        <w:t>：</w:t>
      </w:r>
    </w:p>
    <w:p w14:paraId="0920976E">
      <w:pPr>
        <w:pStyle w:val="56"/>
        <w:ind w:firstLine="420"/>
        <w:rPr>
          <w:rFonts w:ascii="Times New Roman"/>
        </w:rPr>
      </w:pPr>
      <w:r>
        <w:rPr>
          <w:rFonts w:ascii="Times New Roman"/>
        </w:rPr>
        <w:t>a)  ECMO院际转运管理制度；</w:t>
      </w:r>
    </w:p>
    <w:p w14:paraId="425E1E11">
      <w:pPr>
        <w:pStyle w:val="56"/>
        <w:ind w:firstLine="420"/>
        <w:rPr>
          <w:rFonts w:ascii="Times New Roman"/>
        </w:rPr>
      </w:pPr>
      <w:r>
        <w:rPr>
          <w:rFonts w:ascii="Times New Roman"/>
        </w:rPr>
        <w:t>b)  ECMO培训考核制度；</w:t>
      </w:r>
    </w:p>
    <w:p w14:paraId="2FB45A7A">
      <w:pPr>
        <w:pStyle w:val="56"/>
        <w:ind w:firstLine="420"/>
        <w:rPr>
          <w:rFonts w:ascii="Times New Roman"/>
        </w:rPr>
      </w:pPr>
      <w:r>
        <w:rPr>
          <w:rFonts w:ascii="Times New Roman"/>
        </w:rPr>
        <w:t>c)  ECMO数据管理制度；</w:t>
      </w:r>
    </w:p>
    <w:p w14:paraId="34FFCE2B">
      <w:pPr>
        <w:pStyle w:val="56"/>
        <w:ind w:firstLine="420"/>
        <w:rPr>
          <w:rFonts w:ascii="Times New Roman"/>
        </w:rPr>
      </w:pPr>
      <w:r>
        <w:rPr>
          <w:rFonts w:ascii="Times New Roman"/>
        </w:rPr>
        <w:t>d)  ECMO设施设备管理制度；</w:t>
      </w:r>
    </w:p>
    <w:p w14:paraId="549504E9">
      <w:pPr>
        <w:pStyle w:val="56"/>
        <w:ind w:firstLine="420"/>
        <w:rPr>
          <w:rFonts w:ascii="Times New Roman"/>
        </w:rPr>
      </w:pPr>
      <w:r>
        <w:rPr>
          <w:rFonts w:ascii="Times New Roman"/>
        </w:rPr>
        <w:t>e）</w:t>
      </w:r>
      <w:r>
        <w:rPr>
          <w:rFonts w:hint="eastAsia" w:ascii="Times New Roman"/>
        </w:rPr>
        <w:t xml:space="preserve"> </w:t>
      </w:r>
      <w:r>
        <w:rPr>
          <w:rFonts w:ascii="Times New Roman"/>
        </w:rPr>
        <w:t>ECMO医用耗材外带管理制度</w:t>
      </w:r>
      <w:r>
        <w:rPr>
          <w:rFonts w:hint="eastAsia" w:ascii="Times New Roman"/>
        </w:rPr>
        <w:t>；</w:t>
      </w:r>
    </w:p>
    <w:p w14:paraId="73EA4ECF">
      <w:pPr>
        <w:pStyle w:val="56"/>
        <w:ind w:firstLine="420"/>
        <w:rPr>
          <w:rFonts w:ascii="Times New Roman"/>
        </w:rPr>
      </w:pPr>
      <w:r>
        <w:rPr>
          <w:rFonts w:ascii="Times New Roman"/>
        </w:rPr>
        <w:t>f)  ECMO质量控制制度。</w:t>
      </w:r>
    </w:p>
    <w:p w14:paraId="7EDE582D">
      <w:pPr>
        <w:pStyle w:val="56"/>
        <w:ind w:firstLine="0" w:firstLineChars="0"/>
        <w:rPr>
          <w:rFonts w:ascii="Times New Roman"/>
        </w:rPr>
      </w:pPr>
      <w:r>
        <w:rPr>
          <w:rFonts w:ascii="Times New Roman"/>
        </w:rPr>
        <w:t>4.1.</w:t>
      </w:r>
      <w:r>
        <w:rPr>
          <w:rFonts w:hint="eastAsia" w:ascii="Times New Roman"/>
        </w:rPr>
        <w:t>2</w:t>
      </w:r>
      <w:r>
        <w:rPr>
          <w:rFonts w:ascii="Times New Roman"/>
        </w:rPr>
        <w:t xml:space="preserve"> 建立健全风险管理机制，包括但不限于以下相关应急预案：</w:t>
      </w:r>
    </w:p>
    <w:p w14:paraId="32E9B5A7">
      <w:pPr>
        <w:pStyle w:val="56"/>
        <w:ind w:firstLine="420"/>
        <w:rPr>
          <w:rFonts w:ascii="Times New Roman"/>
        </w:rPr>
      </w:pPr>
      <w:r>
        <w:rPr>
          <w:rFonts w:ascii="Times New Roman"/>
        </w:rPr>
        <w:t>a)  患者病情突变应急预案；</w:t>
      </w:r>
    </w:p>
    <w:p w14:paraId="4AEA9285">
      <w:pPr>
        <w:pStyle w:val="56"/>
        <w:ind w:firstLine="420"/>
        <w:rPr>
          <w:rFonts w:ascii="Times New Roman"/>
        </w:rPr>
      </w:pPr>
      <w:r>
        <w:rPr>
          <w:rFonts w:ascii="Times New Roman"/>
        </w:rPr>
        <w:t>b)  ECMO系统相关应急预案；</w:t>
      </w:r>
    </w:p>
    <w:p w14:paraId="2403E3C4">
      <w:pPr>
        <w:pStyle w:val="56"/>
        <w:ind w:firstLine="420"/>
      </w:pPr>
      <w:r>
        <w:rPr>
          <w:rFonts w:hint="eastAsia"/>
        </w:rPr>
        <w:t>c)  转运人员职业暴露应急预案；</w:t>
      </w:r>
    </w:p>
    <w:p w14:paraId="44459BD0">
      <w:pPr>
        <w:pStyle w:val="56"/>
        <w:ind w:firstLine="420"/>
        <w:rPr>
          <w:rFonts w:ascii="Times New Roman"/>
        </w:rPr>
      </w:pPr>
      <w:r>
        <w:rPr>
          <w:rFonts w:ascii="Times New Roman"/>
        </w:rPr>
        <w:t>d)  转运车辆和道路故障应急预案；</w:t>
      </w:r>
    </w:p>
    <w:p w14:paraId="3D774A96">
      <w:pPr>
        <w:pStyle w:val="56"/>
        <w:ind w:firstLine="420"/>
        <w:rPr>
          <w:rFonts w:ascii="Times New Roman"/>
        </w:rPr>
      </w:pPr>
      <w:r>
        <w:rPr>
          <w:rFonts w:ascii="Times New Roman"/>
        </w:rPr>
        <w:t>e)  其他不可抗力事件应急预案。</w:t>
      </w:r>
    </w:p>
    <w:p w14:paraId="24753609">
      <w:pPr>
        <w:pStyle w:val="56"/>
        <w:ind w:firstLine="0" w:firstLineChars="0"/>
        <w:rPr>
          <w:rFonts w:ascii="Times New Roman"/>
        </w:rPr>
      </w:pPr>
      <w:r>
        <w:rPr>
          <w:rFonts w:ascii="Times New Roman"/>
        </w:rPr>
        <w:t>4.1.</w:t>
      </w:r>
      <w:r>
        <w:rPr>
          <w:rFonts w:hint="eastAsia" w:ascii="Times New Roman"/>
        </w:rPr>
        <w:t>3</w:t>
      </w:r>
      <w:r>
        <w:rPr>
          <w:rFonts w:ascii="Times New Roman"/>
        </w:rPr>
        <w:t xml:space="preserve"> 建立健全</w:t>
      </w:r>
      <w:r>
        <w:rPr>
          <w:rFonts w:hint="eastAsia" w:ascii="Times New Roman"/>
          <w:lang w:eastAsia="zh-CN"/>
        </w:rPr>
        <w:t>病历</w:t>
      </w:r>
      <w:r>
        <w:rPr>
          <w:rFonts w:ascii="Times New Roman"/>
        </w:rPr>
        <w:t>记录管理，应包括但不限于以下方面：</w:t>
      </w:r>
    </w:p>
    <w:p w14:paraId="3FA6AD12">
      <w:pPr>
        <w:pStyle w:val="56"/>
        <w:ind w:firstLine="420"/>
        <w:rPr>
          <w:rFonts w:ascii="Times New Roman"/>
        </w:rPr>
      </w:pPr>
      <w:r>
        <w:rPr>
          <w:rFonts w:ascii="Times New Roman"/>
        </w:rPr>
        <w:t>涉及病历记录应按照《电子病历应用管理规范（试行）》有关规定执行。</w:t>
      </w:r>
    </w:p>
    <w:p w14:paraId="784A4F0C">
      <w:pPr>
        <w:pStyle w:val="104"/>
        <w:numPr>
          <w:ilvl w:val="0"/>
          <w:numId w:val="0"/>
        </w:numPr>
        <w:spacing w:before="312" w:after="312"/>
      </w:pPr>
      <w:r>
        <w:rPr>
          <w:rFonts w:hint="eastAsia"/>
        </w:rPr>
        <w:t>4.2 人员要求</w:t>
      </w:r>
    </w:p>
    <w:p w14:paraId="55C77273">
      <w:pPr>
        <w:pStyle w:val="56"/>
        <w:ind w:firstLine="0" w:firstLineChars="0"/>
        <w:rPr>
          <w:rFonts w:ascii="Times New Roman"/>
        </w:rPr>
      </w:pPr>
      <w:r>
        <w:rPr>
          <w:rFonts w:ascii="Times New Roman"/>
        </w:rPr>
        <w:t>4.2.1 转运团队人员应至少包括1名医生及1名护士，有条件的医疗机构可配备1名ECMO治疗师和（或）呼吸治疗师。</w:t>
      </w:r>
    </w:p>
    <w:p w14:paraId="5F7E7F9D">
      <w:pPr>
        <w:pStyle w:val="56"/>
        <w:ind w:firstLine="0" w:firstLineChars="0"/>
        <w:rPr>
          <w:rFonts w:ascii="Times New Roman"/>
        </w:rPr>
      </w:pPr>
      <w:r>
        <w:rPr>
          <w:rFonts w:ascii="Times New Roman"/>
        </w:rPr>
        <w:t>4.2.2 医生应经过规范化的ECMO理论及技术培训，熟练掌握ECMO技术、独立完成心肺复苏和生命支持技术、危重患者救治技术</w:t>
      </w:r>
      <w:r>
        <w:rPr>
          <w:rFonts w:hint="eastAsia" w:ascii="Times New Roman"/>
        </w:rPr>
        <w:t>。</w:t>
      </w:r>
    </w:p>
    <w:p w14:paraId="12F2A213">
      <w:pPr>
        <w:pStyle w:val="56"/>
        <w:ind w:firstLine="0" w:firstLineChars="0"/>
        <w:rPr>
          <w:rFonts w:ascii="Times New Roman"/>
        </w:rPr>
      </w:pPr>
      <w:r>
        <w:rPr>
          <w:rFonts w:ascii="Times New Roman"/>
        </w:rPr>
        <w:t>4.2.3 转运护士应熟练掌握危重症患者救治护理技术及ECMO相关设备的应用，能够配合医师进行ECMO患者急救</w:t>
      </w:r>
      <w:r>
        <w:rPr>
          <w:rFonts w:hint="eastAsia" w:ascii="Times New Roman"/>
        </w:rPr>
        <w:t>。</w:t>
      </w:r>
    </w:p>
    <w:p w14:paraId="014065EF">
      <w:pPr>
        <w:pStyle w:val="56"/>
        <w:ind w:firstLine="0" w:firstLineChars="0"/>
        <w:rPr>
          <w:rFonts w:ascii="Times New Roman"/>
        </w:rPr>
      </w:pPr>
      <w:r>
        <w:rPr>
          <w:rFonts w:ascii="Times New Roman"/>
        </w:rPr>
        <w:t>4.2.4 所有人员</w:t>
      </w:r>
      <w:r>
        <w:rPr>
          <w:rFonts w:hint="eastAsia" w:ascii="Times New Roman"/>
        </w:rPr>
        <w:t>应</w:t>
      </w:r>
      <w:r>
        <w:rPr>
          <w:rFonts w:ascii="Times New Roman"/>
        </w:rPr>
        <w:t>定期参加培训、考核和演练。</w:t>
      </w:r>
    </w:p>
    <w:p w14:paraId="1E9329B0">
      <w:pPr>
        <w:pStyle w:val="104"/>
        <w:numPr>
          <w:ilvl w:val="0"/>
          <w:numId w:val="0"/>
        </w:numPr>
        <w:spacing w:before="312" w:after="312"/>
        <w:rPr>
          <w:rFonts w:ascii="Times New Roman"/>
        </w:rPr>
      </w:pPr>
      <w:r>
        <w:rPr>
          <w:rFonts w:hint="eastAsia"/>
        </w:rPr>
        <w:t xml:space="preserve">4.3 </w:t>
      </w:r>
      <w:r>
        <w:rPr>
          <w:rFonts w:ascii="Times New Roman"/>
        </w:rPr>
        <w:t>设施设备</w:t>
      </w:r>
    </w:p>
    <w:p w14:paraId="0EB310B2">
      <w:pPr>
        <w:pStyle w:val="56"/>
        <w:ind w:firstLine="0" w:firstLineChars="0"/>
        <w:rPr>
          <w:rFonts w:ascii="Times New Roman"/>
        </w:rPr>
      </w:pPr>
      <w:r>
        <w:rPr>
          <w:rFonts w:ascii="Times New Roman"/>
        </w:rPr>
        <w:t>4.3.1 ECMO系统设备宜包括：</w:t>
      </w:r>
    </w:p>
    <w:p w14:paraId="06942DC9">
      <w:pPr>
        <w:pStyle w:val="56"/>
        <w:ind w:firstLine="420"/>
        <w:rPr>
          <w:rFonts w:ascii="Times New Roman"/>
        </w:rPr>
      </w:pPr>
      <w:r>
        <w:rPr>
          <w:rFonts w:ascii="Times New Roman"/>
        </w:rPr>
        <w:t>——主机、泵头</w:t>
      </w:r>
      <w:r>
        <w:rPr>
          <w:rFonts w:hint="eastAsia" w:ascii="Times New Roman"/>
        </w:rPr>
        <w:t>；</w:t>
      </w:r>
    </w:p>
    <w:p w14:paraId="7DAD1AD2">
      <w:pPr>
        <w:pStyle w:val="56"/>
        <w:ind w:firstLine="420"/>
        <w:rPr>
          <w:rFonts w:ascii="Times New Roman"/>
        </w:rPr>
      </w:pPr>
      <w:r>
        <w:rPr>
          <w:rFonts w:ascii="Times New Roman"/>
        </w:rPr>
        <w:t>——膜肺氧合器及配套管路</w:t>
      </w:r>
      <w:r>
        <w:rPr>
          <w:rFonts w:hint="eastAsia" w:ascii="Times New Roman"/>
        </w:rPr>
        <w:t>；</w:t>
      </w:r>
    </w:p>
    <w:p w14:paraId="74EAE595">
      <w:pPr>
        <w:pStyle w:val="56"/>
        <w:ind w:firstLine="420"/>
        <w:rPr>
          <w:rFonts w:ascii="Times New Roman"/>
        </w:rPr>
      </w:pPr>
      <w:r>
        <w:rPr>
          <w:rFonts w:ascii="Times New Roman"/>
        </w:rPr>
        <w:t>——膜肺支架</w:t>
      </w:r>
      <w:r>
        <w:rPr>
          <w:rFonts w:hint="eastAsia" w:ascii="Times New Roman"/>
        </w:rPr>
        <w:t>；</w:t>
      </w:r>
    </w:p>
    <w:p w14:paraId="72766DF3">
      <w:pPr>
        <w:pStyle w:val="56"/>
        <w:ind w:firstLine="420"/>
        <w:rPr>
          <w:rFonts w:ascii="Times New Roman"/>
        </w:rPr>
      </w:pPr>
      <w:r>
        <w:rPr>
          <w:rFonts w:ascii="Times New Roman"/>
        </w:rPr>
        <w:t>——变温水箱</w:t>
      </w:r>
      <w:r>
        <w:rPr>
          <w:rFonts w:hint="eastAsia" w:ascii="Times New Roman"/>
        </w:rPr>
        <w:t>；</w:t>
      </w:r>
    </w:p>
    <w:p w14:paraId="446507FA">
      <w:pPr>
        <w:pStyle w:val="56"/>
        <w:ind w:firstLine="420"/>
        <w:rPr>
          <w:rFonts w:ascii="Times New Roman"/>
        </w:rPr>
      </w:pPr>
      <w:r>
        <w:rPr>
          <w:rFonts w:ascii="Times New Roman"/>
        </w:rPr>
        <w:t>——手摇泵</w:t>
      </w:r>
      <w:r>
        <w:rPr>
          <w:rFonts w:hint="eastAsia" w:ascii="Times New Roman"/>
        </w:rPr>
        <w:t>。</w:t>
      </w:r>
    </w:p>
    <w:p w14:paraId="72EFCFAB">
      <w:pPr>
        <w:pStyle w:val="56"/>
        <w:ind w:firstLine="0" w:firstLineChars="0"/>
        <w:rPr>
          <w:rFonts w:ascii="Times New Roman"/>
        </w:rPr>
      </w:pPr>
      <w:r>
        <w:rPr>
          <w:rFonts w:ascii="Times New Roman"/>
        </w:rPr>
        <w:t>4.3.2 ECMO以外设备宜包括：</w:t>
      </w:r>
    </w:p>
    <w:p w14:paraId="74FEC8C1">
      <w:pPr>
        <w:pStyle w:val="56"/>
        <w:ind w:firstLine="420"/>
        <w:rPr>
          <w:rFonts w:ascii="Times New Roman"/>
        </w:rPr>
      </w:pPr>
      <w:r>
        <w:rPr>
          <w:rFonts w:ascii="Times New Roman"/>
        </w:rPr>
        <w:t>——转运呼吸机、便携氧气瓶或车载氧源；</w:t>
      </w:r>
    </w:p>
    <w:p w14:paraId="6D689B35">
      <w:pPr>
        <w:pStyle w:val="56"/>
        <w:ind w:firstLine="420"/>
        <w:rPr>
          <w:rFonts w:ascii="Times New Roman"/>
        </w:rPr>
      </w:pPr>
      <w:r>
        <w:rPr>
          <w:rFonts w:ascii="Times New Roman"/>
        </w:rPr>
        <w:t>——心电监护仪、血气分析仪</w:t>
      </w:r>
      <w:r>
        <w:rPr>
          <w:rFonts w:hint="eastAsia" w:ascii="Times New Roman"/>
        </w:rPr>
        <w:t>；</w:t>
      </w:r>
    </w:p>
    <w:p w14:paraId="61172D46">
      <w:pPr>
        <w:pStyle w:val="56"/>
        <w:ind w:firstLine="420"/>
        <w:rPr>
          <w:rFonts w:ascii="Times New Roman"/>
        </w:rPr>
      </w:pPr>
      <w:r>
        <w:rPr>
          <w:rFonts w:ascii="Times New Roman"/>
        </w:rPr>
        <w:t>——负压吸引装置、除颤仪</w:t>
      </w:r>
      <w:r>
        <w:rPr>
          <w:rFonts w:hint="eastAsia" w:ascii="Times New Roman"/>
        </w:rPr>
        <w:t>；</w:t>
      </w:r>
    </w:p>
    <w:p w14:paraId="5130BB5B">
      <w:pPr>
        <w:pStyle w:val="56"/>
        <w:ind w:firstLine="420"/>
        <w:rPr>
          <w:rFonts w:ascii="Times New Roman"/>
        </w:rPr>
      </w:pPr>
      <w:r>
        <w:rPr>
          <w:rFonts w:ascii="Times New Roman"/>
        </w:rPr>
        <w:t>——微量注射泵，输液泵</w:t>
      </w:r>
      <w:r>
        <w:rPr>
          <w:rFonts w:hint="eastAsia" w:ascii="Times New Roman"/>
        </w:rPr>
        <w:t>；</w:t>
      </w:r>
    </w:p>
    <w:p w14:paraId="55908599">
      <w:pPr>
        <w:pStyle w:val="56"/>
        <w:ind w:firstLine="420"/>
        <w:rPr>
          <w:rFonts w:ascii="Times New Roman"/>
        </w:rPr>
      </w:pPr>
      <w:r>
        <w:rPr>
          <w:rFonts w:ascii="Times New Roman"/>
        </w:rPr>
        <w:t>——简易呼吸气囊</w:t>
      </w:r>
      <w:r>
        <w:rPr>
          <w:rFonts w:hint="eastAsia" w:ascii="Times New Roman"/>
        </w:rPr>
        <w:t>；</w:t>
      </w:r>
    </w:p>
    <w:p w14:paraId="24621BDF">
      <w:pPr>
        <w:pStyle w:val="56"/>
        <w:ind w:firstLine="420"/>
        <w:rPr>
          <w:rFonts w:ascii="Times New Roman"/>
        </w:rPr>
      </w:pPr>
      <w:r>
        <w:rPr>
          <w:rFonts w:ascii="Times New Roman"/>
        </w:rPr>
        <w:t>——不间断电源</w:t>
      </w:r>
      <w:r>
        <w:rPr>
          <w:rFonts w:hint="eastAsia" w:ascii="Times New Roman"/>
        </w:rPr>
        <w:t>，管道钳。</w:t>
      </w:r>
    </w:p>
    <w:p w14:paraId="62D3F2F5">
      <w:pPr>
        <w:pStyle w:val="56"/>
        <w:ind w:firstLine="0" w:firstLineChars="0"/>
        <w:rPr>
          <w:rFonts w:ascii="Times New Roman"/>
        </w:rPr>
      </w:pPr>
      <w:r>
        <w:rPr>
          <w:rFonts w:ascii="Times New Roman"/>
        </w:rPr>
        <w:t>4.3.3 转运急救箱内宜包括：</w:t>
      </w:r>
    </w:p>
    <w:p w14:paraId="781C7CA3">
      <w:pPr>
        <w:pStyle w:val="56"/>
        <w:ind w:firstLine="420"/>
      </w:pPr>
      <w:r>
        <w:rPr>
          <w:rFonts w:hint="eastAsia"/>
        </w:rPr>
        <w:t>——一次性物品：不同型号气管插管，口咽通气道，注射器，输液器，静脉留置针，吸痰管，胃管，吸氧管，吸引器连接管；</w:t>
      </w:r>
    </w:p>
    <w:p w14:paraId="77E67F09">
      <w:pPr>
        <w:pStyle w:val="56"/>
        <w:ind w:firstLine="420"/>
      </w:pPr>
      <w:r>
        <w:rPr>
          <w:rFonts w:hint="eastAsia"/>
        </w:rPr>
        <w:t>——药品：葡萄糖溶液、复方氯化钠溶液、乳酸钠林格氏液、镇静镇痛药物、血管活性药物、强心药、扩容类药物；</w:t>
      </w:r>
    </w:p>
    <w:p w14:paraId="60A465FE">
      <w:pPr>
        <w:pStyle w:val="56"/>
        <w:ind w:firstLine="420"/>
      </w:pPr>
      <w:r>
        <w:rPr>
          <w:rFonts w:hint="eastAsia"/>
        </w:rPr>
        <w:t>——其他：消毒剂，听诊器，体温计，一次性手套，胶带，备用电池等。</w:t>
      </w:r>
    </w:p>
    <w:p w14:paraId="1DE9A681">
      <w:pPr>
        <w:pStyle w:val="104"/>
        <w:spacing w:before="312" w:after="312"/>
      </w:pPr>
      <w:r>
        <w:rPr>
          <w:rFonts w:hint="eastAsia"/>
        </w:rPr>
        <w:t>转运前评估</w:t>
      </w:r>
    </w:p>
    <w:p w14:paraId="27A5658D">
      <w:pPr>
        <w:pStyle w:val="56"/>
        <w:ind w:firstLine="0" w:firstLineChars="0"/>
        <w:rPr>
          <w:rFonts w:ascii="Times New Roman"/>
        </w:rPr>
      </w:pPr>
      <w:r>
        <w:rPr>
          <w:rFonts w:ascii="Times New Roman"/>
        </w:rPr>
        <w:t>5.1 医生评估转运风险及获益，决定患者是否需要进行转运。</w:t>
      </w:r>
    </w:p>
    <w:p w14:paraId="0F359F07">
      <w:pPr>
        <w:pStyle w:val="56"/>
        <w:ind w:firstLine="0" w:firstLineChars="0"/>
        <w:rPr>
          <w:rFonts w:ascii="Times New Roman"/>
        </w:rPr>
      </w:pPr>
      <w:r>
        <w:rPr>
          <w:rFonts w:ascii="Times New Roman"/>
        </w:rPr>
        <w:t>5.2 医护共同评估患者的转运风险耐受程度，包括</w:t>
      </w:r>
      <w:r>
        <w:rPr>
          <w:rFonts w:hint="eastAsia" w:ascii="Times New Roman"/>
          <w:lang w:eastAsia="zh-CN"/>
        </w:rPr>
        <w:t>意识、瞳孔</w:t>
      </w:r>
      <w:r>
        <w:rPr>
          <w:rFonts w:ascii="Times New Roman"/>
        </w:rPr>
        <w:t>、生命体征、呼吸循环等指标，征得家属同意并签署知情同意书后，方可进行转运。</w:t>
      </w:r>
    </w:p>
    <w:p w14:paraId="172289FD">
      <w:pPr>
        <w:pStyle w:val="56"/>
        <w:ind w:firstLine="0" w:firstLineChars="0"/>
        <w:rPr>
          <w:rFonts w:ascii="Times New Roman"/>
        </w:rPr>
      </w:pPr>
      <w:r>
        <w:rPr>
          <w:rFonts w:ascii="Times New Roman"/>
        </w:rPr>
        <w:t>5.3 填写</w:t>
      </w:r>
      <w:r>
        <w:rPr>
          <w:rFonts w:hint="eastAsia" w:ascii="Times New Roman"/>
        </w:rPr>
        <w:t>成人</w:t>
      </w:r>
      <w:r>
        <w:rPr>
          <w:rFonts w:ascii="Times New Roman"/>
        </w:rPr>
        <w:t>ECMO患者院际转运清单（</w:t>
      </w:r>
      <w:r>
        <w:rPr>
          <w:rFonts w:hint="eastAsia" w:ascii="Times New Roman"/>
        </w:rPr>
        <w:t>见</w:t>
      </w:r>
      <w:r>
        <w:rPr>
          <w:rFonts w:ascii="Times New Roman"/>
        </w:rPr>
        <w:t>附录A）。</w:t>
      </w:r>
    </w:p>
    <w:p w14:paraId="23147C77">
      <w:pPr>
        <w:pStyle w:val="104"/>
        <w:numPr>
          <w:ilvl w:val="0"/>
          <w:numId w:val="0"/>
        </w:numPr>
        <w:spacing w:before="312" w:after="312"/>
        <w:rPr>
          <w:rFonts w:ascii="Times New Roman"/>
          <w:color w:val="FF0000"/>
          <w:szCs w:val="21"/>
        </w:rPr>
      </w:pPr>
      <w:bookmarkStart w:id="45" w:name="_Hlk183877639"/>
      <w:r>
        <w:rPr>
          <w:rFonts w:hint="eastAsia"/>
        </w:rPr>
        <w:t>6</w:t>
      </w:r>
      <w:r>
        <w:rPr>
          <w:rFonts w:ascii="Times New Roman"/>
        </w:rPr>
        <w:t xml:space="preserve">  转运前准备</w:t>
      </w:r>
    </w:p>
    <w:bookmarkEnd w:id="45"/>
    <w:p w14:paraId="63F794A1">
      <w:pPr>
        <w:pStyle w:val="56"/>
        <w:ind w:firstLine="0" w:firstLineChars="0"/>
        <w:rPr>
          <w:rFonts w:ascii="Times New Roman"/>
        </w:rPr>
      </w:pPr>
      <w:r>
        <w:rPr>
          <w:rFonts w:ascii="Times New Roman"/>
        </w:rPr>
        <w:t>6.1 制定转运计划，结合路况、天气等因素，确定最佳路线以及人员配备。</w:t>
      </w:r>
    </w:p>
    <w:p w14:paraId="2C0DD58E">
      <w:pPr>
        <w:pStyle w:val="56"/>
        <w:ind w:firstLine="0" w:firstLineChars="0"/>
        <w:rPr>
          <w:rFonts w:ascii="Times New Roman"/>
        </w:rPr>
      </w:pPr>
      <w:r>
        <w:rPr>
          <w:rFonts w:ascii="Times New Roman"/>
        </w:rPr>
        <w:t>6.2 根据</w:t>
      </w:r>
      <w:r>
        <w:rPr>
          <w:rFonts w:hint="eastAsia" w:ascii="Times New Roman"/>
        </w:rPr>
        <w:t>成人</w:t>
      </w:r>
      <w:r>
        <w:rPr>
          <w:rFonts w:ascii="Times New Roman"/>
        </w:rPr>
        <w:t>ECMO患者院际转运清单（</w:t>
      </w:r>
      <w:r>
        <w:rPr>
          <w:rFonts w:hint="eastAsia" w:ascii="Times New Roman"/>
        </w:rPr>
        <w:t>见</w:t>
      </w:r>
      <w:r>
        <w:rPr>
          <w:rFonts w:ascii="Times New Roman"/>
        </w:rPr>
        <w:t>附录A），仔细核查仪器设备，备齐转运所需物品。</w:t>
      </w:r>
    </w:p>
    <w:p w14:paraId="29C68619">
      <w:pPr>
        <w:pStyle w:val="56"/>
        <w:ind w:firstLine="0" w:firstLineChars="0"/>
        <w:rPr>
          <w:rFonts w:ascii="Times New Roman"/>
        </w:rPr>
      </w:pPr>
      <w:r>
        <w:rPr>
          <w:rFonts w:ascii="Times New Roman"/>
        </w:rPr>
        <w:t>6.3 妥善固定所有ECMO组件、管道，防止转运途中因震动、变速导致管路脱出、机器故障等不良事件。</w:t>
      </w:r>
    </w:p>
    <w:p w14:paraId="40133AEF">
      <w:pPr>
        <w:pStyle w:val="56"/>
        <w:ind w:firstLine="0" w:firstLineChars="0"/>
        <w:rPr>
          <w:rFonts w:ascii="Times New Roman"/>
        </w:rPr>
      </w:pPr>
      <w:r>
        <w:rPr>
          <w:rFonts w:ascii="Times New Roman"/>
        </w:rPr>
        <w:t>6.4 停止一切非必要药物和液体的使用，并根据维持药物使用情况（如血管活性药物），携带足量药物，保证治疗连续性，并准备必要的抢救药物。</w:t>
      </w:r>
    </w:p>
    <w:p w14:paraId="3CC8B219">
      <w:pPr>
        <w:pStyle w:val="56"/>
        <w:ind w:firstLine="0" w:firstLineChars="0"/>
        <w:rPr>
          <w:rFonts w:ascii="Times New Roman"/>
        </w:rPr>
      </w:pPr>
      <w:r>
        <w:rPr>
          <w:rFonts w:ascii="Times New Roman"/>
        </w:rPr>
        <w:t>6.5 建立人工气道的患者充分吸痰，保持气道通畅。</w:t>
      </w:r>
    </w:p>
    <w:p w14:paraId="7A6549A9">
      <w:pPr>
        <w:pStyle w:val="104"/>
        <w:numPr>
          <w:ilvl w:val="0"/>
          <w:numId w:val="0"/>
        </w:numPr>
        <w:spacing w:before="312" w:after="312"/>
        <w:rPr>
          <w:rFonts w:ascii="Times New Roman"/>
          <w:color w:val="FF0000"/>
          <w:szCs w:val="21"/>
        </w:rPr>
      </w:pPr>
      <w:r>
        <w:rPr>
          <w:rFonts w:hint="eastAsia"/>
        </w:rPr>
        <w:t>7</w:t>
      </w:r>
      <w:r>
        <w:rPr>
          <w:rFonts w:ascii="Times New Roman"/>
        </w:rPr>
        <w:t xml:space="preserve"> </w:t>
      </w:r>
      <w:r>
        <w:rPr>
          <w:rFonts w:hint="eastAsia" w:ascii="Times New Roman"/>
        </w:rPr>
        <w:t xml:space="preserve"> </w:t>
      </w:r>
      <w:r>
        <w:rPr>
          <w:rFonts w:ascii="Times New Roman"/>
        </w:rPr>
        <w:t>转运中管理</w:t>
      </w:r>
    </w:p>
    <w:p w14:paraId="1AC7DDC5">
      <w:pPr>
        <w:pStyle w:val="56"/>
        <w:ind w:firstLine="0" w:firstLineChars="0"/>
        <w:rPr>
          <w:rFonts w:ascii="Times New Roman"/>
        </w:rPr>
      </w:pPr>
      <w:r>
        <w:rPr>
          <w:rFonts w:ascii="Times New Roman"/>
        </w:rPr>
        <w:t>7.1 快速建立有序的救治环境，形成合理的人员站位及仪器设备布局。</w:t>
      </w:r>
    </w:p>
    <w:p w14:paraId="00938E56">
      <w:pPr>
        <w:pStyle w:val="56"/>
        <w:ind w:firstLine="0" w:firstLineChars="0"/>
        <w:rPr>
          <w:rFonts w:ascii="Times New Roman"/>
        </w:rPr>
      </w:pPr>
      <w:r>
        <w:rPr>
          <w:rFonts w:ascii="Times New Roman"/>
        </w:rPr>
        <w:t>7.2 生命体征监护：严密监测患者生命体征及病情变化，并做好患者体温管理。</w:t>
      </w:r>
    </w:p>
    <w:p w14:paraId="37C81C76">
      <w:pPr>
        <w:pStyle w:val="56"/>
        <w:ind w:firstLine="0" w:firstLineChars="0"/>
        <w:rPr>
          <w:rFonts w:ascii="Times New Roman"/>
        </w:rPr>
      </w:pPr>
      <w:r>
        <w:rPr>
          <w:rFonts w:ascii="Times New Roman"/>
        </w:rPr>
        <w:t>7.3 ECMO监测：</w:t>
      </w:r>
    </w:p>
    <w:p w14:paraId="12F89C95">
      <w:pPr>
        <w:pStyle w:val="56"/>
        <w:ind w:firstLine="409" w:firstLineChars="195"/>
        <w:rPr>
          <w:rFonts w:ascii="Times New Roman"/>
        </w:rPr>
      </w:pPr>
      <w:r>
        <w:rPr>
          <w:rFonts w:ascii="Times New Roman"/>
        </w:rPr>
        <w:t>——密切观察ECMO运转情况，包括ECMO转速、血流量及氧流量变化等；</w:t>
      </w:r>
    </w:p>
    <w:p w14:paraId="669BCA88">
      <w:pPr>
        <w:pStyle w:val="56"/>
        <w:ind w:firstLine="420"/>
        <w:rPr>
          <w:rFonts w:ascii="Times New Roman"/>
        </w:rPr>
      </w:pPr>
      <w:r>
        <w:rPr>
          <w:rFonts w:ascii="Times New Roman"/>
        </w:rPr>
        <w:t>——观察ECMO循环管路内血液颜色、有无血凝块、穿刺点的渗血情况以及有无导管抖动等异常情况；</w:t>
      </w:r>
    </w:p>
    <w:p w14:paraId="01B5AB69">
      <w:pPr>
        <w:pStyle w:val="56"/>
        <w:ind w:firstLine="420"/>
        <w:rPr>
          <w:rFonts w:ascii="Times New Roman"/>
        </w:rPr>
      </w:pPr>
      <w:r>
        <w:rPr>
          <w:rFonts w:ascii="Times New Roman"/>
        </w:rPr>
        <w:t>——观察膜肺氧合器有无血浆渗漏、气体交换不良、栓塞等；</w:t>
      </w:r>
    </w:p>
    <w:p w14:paraId="317D931E">
      <w:pPr>
        <w:pStyle w:val="56"/>
        <w:ind w:firstLine="420"/>
        <w:rPr>
          <w:rFonts w:ascii="Times New Roman"/>
        </w:rPr>
      </w:pPr>
      <w:r>
        <w:rPr>
          <w:rFonts w:ascii="Times New Roman"/>
        </w:rPr>
        <w:t>——观察ECMO置管侧下肢动脉搏动情况及皮温、颜色变化；</w:t>
      </w:r>
    </w:p>
    <w:p w14:paraId="3981B3AD">
      <w:pPr>
        <w:pStyle w:val="56"/>
        <w:ind w:firstLine="420"/>
        <w:rPr>
          <w:rFonts w:ascii="Times New Roman"/>
        </w:rPr>
      </w:pPr>
      <w:r>
        <w:rPr>
          <w:rFonts w:ascii="Times New Roman"/>
        </w:rPr>
        <w:t>——观察ECMO相关仪器设备、管路、接头以及导线是否妥善固定，有无滑脱。</w:t>
      </w:r>
    </w:p>
    <w:p w14:paraId="3FD6D328">
      <w:pPr>
        <w:pStyle w:val="56"/>
        <w:ind w:firstLine="0" w:firstLineChars="0"/>
        <w:rPr>
          <w:rFonts w:ascii="Times New Roman"/>
        </w:rPr>
      </w:pPr>
      <w:r>
        <w:rPr>
          <w:rFonts w:ascii="Times New Roman"/>
        </w:rPr>
        <w:t>7.4 患者病情变化或面临紧急突发事件立即配合医生现场处理，必要时转入沿途就近的医院进行救治。</w:t>
      </w:r>
    </w:p>
    <w:p w14:paraId="2F6F812B">
      <w:pPr>
        <w:pStyle w:val="56"/>
        <w:ind w:firstLine="0" w:firstLineChars="0"/>
        <w:rPr>
          <w:rFonts w:ascii="Times New Roman"/>
        </w:rPr>
      </w:pPr>
      <w:r>
        <w:rPr>
          <w:rFonts w:ascii="Times New Roman"/>
        </w:rPr>
        <w:t>7.5 与交通管理部门保持有效的联系与沟通，保障途中安全畅通。</w:t>
      </w:r>
    </w:p>
    <w:p w14:paraId="63BB2E14">
      <w:pPr>
        <w:pStyle w:val="56"/>
        <w:ind w:firstLine="0" w:firstLineChars="0"/>
        <w:rPr>
          <w:rFonts w:ascii="Times New Roman"/>
        </w:rPr>
      </w:pPr>
      <w:r>
        <w:rPr>
          <w:rFonts w:ascii="Times New Roman"/>
        </w:rPr>
        <w:t>7.</w:t>
      </w:r>
      <w:r>
        <w:rPr>
          <w:rFonts w:hint="eastAsia" w:ascii="Times New Roman"/>
        </w:rPr>
        <w:t>6</w:t>
      </w:r>
      <w:r>
        <w:rPr>
          <w:rFonts w:ascii="Times New Roman"/>
        </w:rPr>
        <w:t xml:space="preserve"> 全面、客观、及时、准确填写</w:t>
      </w:r>
      <w:r>
        <w:rPr>
          <w:rFonts w:hint="eastAsia" w:ascii="Times New Roman"/>
        </w:rPr>
        <w:t>成人</w:t>
      </w:r>
      <w:r>
        <w:rPr>
          <w:rFonts w:ascii="Times New Roman"/>
        </w:rPr>
        <w:t>ECMO患者院际转运清单（见附录A）。</w:t>
      </w:r>
    </w:p>
    <w:p w14:paraId="1EE39ED8">
      <w:pPr>
        <w:pStyle w:val="104"/>
        <w:numPr>
          <w:ilvl w:val="0"/>
          <w:numId w:val="0"/>
        </w:numPr>
        <w:spacing w:before="312" w:after="312"/>
        <w:rPr>
          <w:rFonts w:ascii="Times New Roman"/>
        </w:rPr>
      </w:pPr>
      <w:bookmarkStart w:id="46" w:name="OLE_LINK10"/>
      <w:r>
        <w:rPr>
          <w:rFonts w:hint="eastAsia"/>
        </w:rPr>
        <w:t>8</w:t>
      </w:r>
      <w:r>
        <w:rPr>
          <w:rFonts w:ascii="Times New Roman"/>
        </w:rPr>
        <w:t xml:space="preserve">  转运后交接</w:t>
      </w:r>
    </w:p>
    <w:bookmarkEnd w:id="46"/>
    <w:p w14:paraId="1D517553">
      <w:pPr>
        <w:pStyle w:val="56"/>
        <w:ind w:firstLine="0" w:firstLineChars="0"/>
        <w:rPr>
          <w:rFonts w:ascii="Times New Roman"/>
        </w:rPr>
      </w:pPr>
      <w:r>
        <w:rPr>
          <w:rFonts w:hint="eastAsia" w:ascii="Times New Roman"/>
        </w:rPr>
        <w:t>8</w:t>
      </w:r>
      <w:r>
        <w:rPr>
          <w:rFonts w:ascii="Times New Roman"/>
        </w:rPr>
        <w:t>.1 到达转入科室后依次转接患者ECMO变温水箱、电源及气源、呼吸机回路、心电监护仪、各类药物治疗通道；固定ECMO管道及离心泵等设备；查看ECMO转速、血流量、气流量和氧浓度等。</w:t>
      </w:r>
    </w:p>
    <w:p w14:paraId="590EB51C">
      <w:pPr>
        <w:pStyle w:val="56"/>
        <w:ind w:firstLine="0" w:firstLineChars="0"/>
        <w:rPr>
          <w:rFonts w:ascii="Times New Roman"/>
        </w:rPr>
      </w:pPr>
      <w:r>
        <w:rPr>
          <w:rFonts w:hint="eastAsia" w:ascii="Times New Roman"/>
        </w:rPr>
        <w:t>8</w:t>
      </w:r>
      <w:r>
        <w:rPr>
          <w:rFonts w:ascii="Times New Roman"/>
        </w:rPr>
        <w:t>.2 登记患者信息，根据</w:t>
      </w:r>
      <w:r>
        <w:rPr>
          <w:rFonts w:hint="eastAsia" w:ascii="Times New Roman"/>
        </w:rPr>
        <w:t>成人</w:t>
      </w:r>
      <w:r>
        <w:rPr>
          <w:rFonts w:ascii="Times New Roman"/>
        </w:rPr>
        <w:t>ECMO患者院际转运交接单（见附录</w:t>
      </w:r>
      <w:r>
        <w:rPr>
          <w:rFonts w:hint="eastAsia" w:ascii="Times New Roman"/>
        </w:rPr>
        <w:t>A</w:t>
      </w:r>
      <w:r>
        <w:rPr>
          <w:rFonts w:ascii="Times New Roman"/>
        </w:rPr>
        <w:t>）做好交接。</w:t>
      </w:r>
    </w:p>
    <w:p w14:paraId="2446E9B6">
      <w:pPr>
        <w:pStyle w:val="56"/>
        <w:ind w:firstLine="0" w:firstLineChars="0"/>
        <w:rPr>
          <w:rFonts w:ascii="Times New Roman"/>
        </w:rPr>
      </w:pPr>
      <w:r>
        <w:rPr>
          <w:rFonts w:hint="eastAsia" w:ascii="Times New Roman"/>
        </w:rPr>
        <w:t>8</w:t>
      </w:r>
      <w:r>
        <w:rPr>
          <w:rFonts w:ascii="Times New Roman"/>
        </w:rPr>
        <w:t>.3 转运结束后补充ECMO相关物品，确保其处于完备状态。</w:t>
      </w:r>
    </w:p>
    <w:p w14:paraId="4F80AC3B">
      <w:pPr>
        <w:pStyle w:val="104"/>
        <w:numPr>
          <w:ilvl w:val="0"/>
          <w:numId w:val="0"/>
        </w:numPr>
        <w:spacing w:before="312" w:after="312"/>
      </w:pPr>
      <w:r>
        <w:rPr>
          <w:rFonts w:hint="eastAsia"/>
        </w:rPr>
        <w:t>9  评价与改进</w:t>
      </w:r>
    </w:p>
    <w:p w14:paraId="165C275B">
      <w:pPr>
        <w:pStyle w:val="56"/>
        <w:ind w:firstLine="0" w:firstLineChars="0"/>
        <w:rPr>
          <w:rFonts w:ascii="Times New Roman"/>
        </w:rPr>
      </w:pPr>
      <w:r>
        <w:rPr>
          <w:rFonts w:hint="eastAsia" w:ascii="Times New Roman"/>
        </w:rPr>
        <w:t>9</w:t>
      </w:r>
      <w:r>
        <w:rPr>
          <w:rFonts w:ascii="Times New Roman"/>
        </w:rPr>
        <w:t>.1 定期对ECMO团队人员进行考核评价，建立退出机制。考核内容可包含技术能力、转运能力、风险应急能力等。</w:t>
      </w:r>
    </w:p>
    <w:p w14:paraId="685E9251">
      <w:pPr>
        <w:pStyle w:val="56"/>
        <w:ind w:firstLine="0" w:firstLineChars="0"/>
        <w:rPr>
          <w:rFonts w:ascii="Times New Roman"/>
        </w:rPr>
      </w:pPr>
      <w:r>
        <w:rPr>
          <w:rFonts w:hint="eastAsia" w:ascii="Times New Roman"/>
        </w:rPr>
        <w:t>9</w:t>
      </w:r>
      <w:r>
        <w:rPr>
          <w:rFonts w:ascii="Times New Roman"/>
        </w:rPr>
        <w:t>.2</w:t>
      </w:r>
      <w:r>
        <w:rPr>
          <w:rFonts w:hint="eastAsia" w:ascii="Times New Roman"/>
        </w:rPr>
        <w:t xml:space="preserve"> </w:t>
      </w:r>
      <w:r>
        <w:rPr>
          <w:rFonts w:ascii="Times New Roman"/>
        </w:rPr>
        <w:t>定期收集ECMO转运团</w:t>
      </w:r>
      <w:r>
        <w:rPr>
          <w:rFonts w:hint="eastAsia" w:ascii="Times New Roman"/>
          <w:lang w:val="en-US" w:eastAsia="zh-CN"/>
        </w:rPr>
        <w:t>队</w:t>
      </w:r>
      <w:r>
        <w:rPr>
          <w:rFonts w:ascii="Times New Roman"/>
        </w:rPr>
        <w:t>成员反馈的优质护理意见和建议并整改。</w:t>
      </w:r>
    </w:p>
    <w:p w14:paraId="0F20197A">
      <w:pPr>
        <w:pStyle w:val="56"/>
        <w:ind w:firstLine="0" w:firstLineChars="0"/>
        <w:rPr>
          <w:rFonts w:ascii="Times New Roman"/>
        </w:rPr>
      </w:pPr>
      <w:r>
        <w:rPr>
          <w:rFonts w:hint="eastAsia" w:ascii="Times New Roman"/>
        </w:rPr>
        <w:t>9</w:t>
      </w:r>
      <w:r>
        <w:rPr>
          <w:rFonts w:ascii="Times New Roman"/>
        </w:rPr>
        <w:t>.3</w:t>
      </w:r>
      <w:r>
        <w:rPr>
          <w:rFonts w:hint="eastAsia" w:ascii="Times New Roman"/>
        </w:rPr>
        <w:t xml:space="preserve"> </w:t>
      </w:r>
      <w:r>
        <w:rPr>
          <w:rFonts w:ascii="Times New Roman"/>
        </w:rPr>
        <w:t>组织专家团队，针对转运过程中存在的问题进行原因分析，制定整改措施并跟踪整改措施的落实，持续提升院际转运护理质量。</w:t>
      </w:r>
    </w:p>
    <w:p w14:paraId="5D7E0DF3">
      <w:pPr>
        <w:pStyle w:val="56"/>
        <w:ind w:firstLine="0" w:firstLineChars="0"/>
      </w:pPr>
    </w:p>
    <w:p w14:paraId="3C9EAD9E">
      <w:pPr>
        <w:pStyle w:val="56"/>
        <w:ind w:firstLine="0" w:firstLineChars="0"/>
        <w:sectPr>
          <w:pgSz w:w="11906" w:h="16838"/>
          <w:pgMar w:top="1928" w:right="1134" w:bottom="1134" w:left="1134" w:header="1418" w:footer="1134" w:gutter="284"/>
          <w:pgNumType w:start="1"/>
          <w:cols w:space="425" w:num="1"/>
          <w:formProt w:val="0"/>
          <w:docGrid w:type="lines" w:linePitch="312" w:charSpace="0"/>
        </w:sectPr>
      </w:pPr>
    </w:p>
    <w:bookmarkEnd w:id="23"/>
    <w:p w14:paraId="75F6A133">
      <w:pPr>
        <w:pStyle w:val="198"/>
        <w:rPr>
          <w:rFonts w:hint="eastAsia"/>
          <w:vanish w:val="0"/>
        </w:rPr>
      </w:pPr>
      <w:bookmarkStart w:id="47" w:name="BookMark5"/>
    </w:p>
    <w:p w14:paraId="119307E2">
      <w:pPr>
        <w:pStyle w:val="199"/>
        <w:rPr>
          <w:vanish w:val="0"/>
        </w:rPr>
      </w:pPr>
    </w:p>
    <w:p w14:paraId="50A2215F">
      <w:pPr>
        <w:pStyle w:val="76"/>
        <w:spacing w:after="156"/>
        <w:rPr>
          <w:rFonts w:ascii="Times New Roman"/>
        </w:rPr>
      </w:pPr>
      <w:r>
        <w:rPr>
          <w:rFonts w:ascii="Times New Roman"/>
        </w:rPr>
        <w:br w:type="textWrapping"/>
      </w:r>
      <w:r>
        <w:rPr>
          <w:rFonts w:ascii="Times New Roman"/>
        </w:rPr>
        <w:t>（资料性）</w:t>
      </w:r>
      <w:r>
        <w:rPr>
          <w:rFonts w:ascii="Times New Roman"/>
        </w:rPr>
        <w:br w:type="textWrapping"/>
      </w:r>
      <w:r>
        <w:rPr>
          <w:rFonts w:ascii="Times New Roman"/>
        </w:rPr>
        <w:t>成人ECMO患者院际转运清单</w:t>
      </w:r>
    </w:p>
    <w:p w14:paraId="76E72328">
      <w:pPr>
        <w:pStyle w:val="83"/>
        <w:numPr>
          <w:ilvl w:val="0"/>
          <w:numId w:val="0"/>
        </w:numPr>
        <w:spacing w:before="156" w:after="156"/>
        <w:rPr>
          <w:rFonts w:hint="eastAsia" w:eastAsia="黑体"/>
          <w:lang w:eastAsia="zh-CN"/>
        </w:rPr>
      </w:pPr>
      <w:r>
        <w:rPr>
          <w:rFonts w:hint="eastAsia" w:eastAsia="黑体"/>
          <w:lang w:eastAsia="zh-CN"/>
        </w:rPr>
        <w:drawing>
          <wp:inline distT="0" distB="0" distL="114300" distR="114300">
            <wp:extent cx="5553075" cy="7369175"/>
            <wp:effectExtent l="0" t="0" r="9525" b="22225"/>
            <wp:docPr id="1" name="图片 1" descr="附录：三合一-ECMO院际转运清单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附录：三合一-ECMO院际转运清单_00"/>
                    <pic:cNvPicPr>
                      <a:picLocks noChangeAspect="1"/>
                    </pic:cNvPicPr>
                  </pic:nvPicPr>
                  <pic:blipFill>
                    <a:blip r:embed="rId16"/>
                    <a:srcRect l="4531" t="8470" r="4002" b="5694"/>
                    <a:stretch>
                      <a:fillRect/>
                    </a:stretch>
                  </pic:blipFill>
                  <pic:spPr>
                    <a:xfrm>
                      <a:off x="0" y="0"/>
                      <a:ext cx="5553075" cy="7369175"/>
                    </a:xfrm>
                    <a:prstGeom prst="rect">
                      <a:avLst/>
                    </a:prstGeom>
                  </pic:spPr>
                </pic:pic>
              </a:graphicData>
            </a:graphic>
          </wp:inline>
        </w:drawing>
      </w:r>
    </w:p>
    <w:bookmarkEnd w:id="47"/>
    <w:p w14:paraId="568EEB0B">
      <w:pPr>
        <w:pStyle w:val="56"/>
        <w:ind w:firstLine="0" w:firstLineChars="0"/>
        <w:sectPr>
          <w:pgSz w:w="11906" w:h="16838"/>
          <w:pgMar w:top="1928" w:right="1134" w:bottom="1134" w:left="1134" w:header="1418" w:footer="1134" w:gutter="284"/>
          <w:cols w:space="425" w:num="1"/>
          <w:formProt w:val="0"/>
          <w:docGrid w:type="lines" w:linePitch="312" w:charSpace="0"/>
        </w:sectPr>
      </w:pPr>
      <w:bookmarkStart w:id="48" w:name="BookMark6"/>
    </w:p>
    <w:p w14:paraId="60BB778B">
      <w:pPr>
        <w:pStyle w:val="63"/>
        <w:spacing w:after="156"/>
        <w:rPr>
          <w:color w:val="000000" w:themeColor="text1"/>
          <w14:textFill>
            <w14:solidFill>
              <w14:schemeClr w14:val="tx1"/>
            </w14:solidFill>
          </w14:textFill>
        </w:rPr>
      </w:pPr>
      <w:r>
        <w:rPr>
          <w:rFonts w:hint="eastAsia"/>
          <w:color w:val="000000" w:themeColor="text1"/>
          <w:spacing w:val="105"/>
          <w14:textFill>
            <w14:solidFill>
              <w14:schemeClr w14:val="tx1"/>
            </w14:solidFill>
          </w14:textFill>
        </w:rPr>
        <w:t>参考文</w:t>
      </w:r>
      <w:r>
        <w:rPr>
          <w:rFonts w:hint="eastAsia"/>
          <w:color w:val="000000" w:themeColor="text1"/>
          <w14:textFill>
            <w14:solidFill>
              <w14:schemeClr w14:val="tx1"/>
            </w14:solidFill>
          </w14:textFill>
        </w:rPr>
        <w:t>献</w:t>
      </w:r>
    </w:p>
    <w:p w14:paraId="12E5E704">
      <w:pPr>
        <w:widowControl/>
        <w:spacing w:line="360" w:lineRule="auto"/>
        <w:ind w:firstLine="420" w:firstLineChars="200"/>
        <w:jc w:val="left"/>
        <w:rPr>
          <w:rFonts w:ascii="Times New Roman" w:hAnsi="Times New Roman"/>
          <w:color w:val="000000" w:themeColor="text1"/>
          <w:kern w:val="0"/>
          <w:szCs w:val="20"/>
          <w14:textFill>
            <w14:solidFill>
              <w14:schemeClr w14:val="tx1"/>
            </w14:solidFill>
          </w14:textFill>
        </w:rPr>
      </w:pPr>
      <w:r>
        <w:rPr>
          <w:rFonts w:hint="eastAsia" w:ascii="Times New Roman" w:hAnsi="Times New Roman"/>
          <w:color w:val="000000" w:themeColor="text1"/>
          <w:kern w:val="0"/>
          <w:szCs w:val="20"/>
          <w14:textFill>
            <w14:solidFill>
              <w14:schemeClr w14:val="tx1"/>
            </w14:solidFill>
          </w14:textFill>
        </w:rPr>
        <w:t>[1]《电子病历应用管理规范》（试行）（国卫办医发〔2017〕8号）</w:t>
      </w:r>
    </w:p>
    <w:p w14:paraId="18DC3DED">
      <w:pPr>
        <w:widowControl/>
        <w:spacing w:line="360" w:lineRule="auto"/>
        <w:ind w:firstLine="420" w:firstLineChars="200"/>
        <w:jc w:val="left"/>
        <w:rPr>
          <w:rFonts w:ascii="Times New Roman" w:hAnsi="Times New Roman"/>
          <w:color w:val="000000" w:themeColor="text1"/>
          <w:kern w:val="0"/>
          <w:szCs w:val="20"/>
          <w14:textFill>
            <w14:solidFill>
              <w14:schemeClr w14:val="tx1"/>
            </w14:solidFill>
          </w14:textFill>
        </w:rPr>
      </w:pPr>
      <w:r>
        <w:rPr>
          <w:rFonts w:hint="eastAsia" w:ascii="Times New Roman" w:hAnsi="Times New Roman"/>
          <w:color w:val="000000" w:themeColor="text1"/>
          <w:kern w:val="0"/>
          <w:szCs w:val="20"/>
          <w14:textFill>
            <w14:solidFill>
              <w14:schemeClr w14:val="tx1"/>
            </w14:solidFill>
          </w14:textFill>
        </w:rPr>
        <w:t>[2] T/CRHA 034-2024 成人体外膜肺氧合（ECMO）护理规范</w:t>
      </w:r>
    </w:p>
    <w:p w14:paraId="54406CC9">
      <w:pPr>
        <w:widowControl/>
        <w:spacing w:line="360" w:lineRule="auto"/>
        <w:ind w:firstLine="420" w:firstLineChars="200"/>
        <w:jc w:val="left"/>
        <w:rPr>
          <w:rFonts w:ascii="Times New Roman" w:hAnsi="Times New Roman"/>
          <w:color w:val="000000" w:themeColor="text1"/>
          <w:kern w:val="0"/>
          <w:szCs w:val="20"/>
          <w14:textFill>
            <w14:solidFill>
              <w14:schemeClr w14:val="tx1"/>
            </w14:solidFill>
          </w14:textFill>
        </w:rPr>
      </w:pPr>
      <w:r>
        <w:rPr>
          <w:rFonts w:hint="eastAsia" w:ascii="Times New Roman" w:hAnsi="Times New Roman"/>
          <w:color w:val="000000" w:themeColor="text1"/>
          <w:kern w:val="0"/>
          <w:szCs w:val="20"/>
          <w14:textFill>
            <w14:solidFill>
              <w14:schemeClr w14:val="tx1"/>
            </w14:solidFill>
          </w14:textFill>
        </w:rPr>
        <w:t>[3]《国家卫生健康委办公厅关于印发成</w:t>
      </w:r>
      <w:bookmarkStart w:id="49" w:name="_GoBack"/>
      <w:bookmarkEnd w:id="49"/>
      <w:r>
        <w:rPr>
          <w:rFonts w:hint="eastAsia" w:ascii="Times New Roman" w:hAnsi="Times New Roman"/>
          <w:color w:val="000000" w:themeColor="text1"/>
          <w:kern w:val="0"/>
          <w:szCs w:val="20"/>
          <w14:textFill>
            <w14:solidFill>
              <w14:schemeClr w14:val="tx1"/>
            </w14:solidFill>
          </w14:textFill>
        </w:rPr>
        <w:t>人体外膜肺氧合技术操作规范（2024年版）的通知》</w:t>
      </w:r>
      <w:r>
        <w:rPr>
          <w:rFonts w:ascii="Times New Roman" w:hAnsi="Times New Roman"/>
          <w:color w:val="000000" w:themeColor="text1"/>
          <w:kern w:val="0"/>
          <w:szCs w:val="20"/>
          <w14:textFill>
            <w14:solidFill>
              <w14:schemeClr w14:val="tx1"/>
            </w14:solidFill>
          </w14:textFill>
        </w:rPr>
        <w:t>（国卫办医函〔202</w:t>
      </w:r>
      <w:r>
        <w:rPr>
          <w:rFonts w:hint="eastAsia" w:ascii="Times New Roman" w:hAnsi="Times New Roman"/>
          <w:color w:val="000000" w:themeColor="text1"/>
          <w:kern w:val="0"/>
          <w:szCs w:val="20"/>
          <w14:textFill>
            <w14:solidFill>
              <w14:schemeClr w14:val="tx1"/>
            </w14:solidFill>
          </w14:textFill>
        </w:rPr>
        <w:t>4</w:t>
      </w:r>
      <w:r>
        <w:rPr>
          <w:rFonts w:ascii="Times New Roman" w:hAnsi="Times New Roman"/>
          <w:color w:val="000000" w:themeColor="text1"/>
          <w:kern w:val="0"/>
          <w:szCs w:val="20"/>
          <w14:textFill>
            <w14:solidFill>
              <w14:schemeClr w14:val="tx1"/>
            </w14:solidFill>
          </w14:textFill>
        </w:rPr>
        <w:t>〕</w:t>
      </w:r>
      <w:r>
        <w:rPr>
          <w:rFonts w:hint="eastAsia" w:ascii="Times New Roman" w:hAnsi="Times New Roman"/>
          <w:color w:val="000000" w:themeColor="text1"/>
          <w:kern w:val="0"/>
          <w:szCs w:val="20"/>
          <w14:textFill>
            <w14:solidFill>
              <w14:schemeClr w14:val="tx1"/>
            </w14:solidFill>
          </w14:textFill>
        </w:rPr>
        <w:t>427</w:t>
      </w:r>
      <w:r>
        <w:rPr>
          <w:rFonts w:ascii="Times New Roman" w:hAnsi="Times New Roman"/>
          <w:color w:val="000000" w:themeColor="text1"/>
          <w:kern w:val="0"/>
          <w:szCs w:val="20"/>
          <w14:textFill>
            <w14:solidFill>
              <w14:schemeClr w14:val="tx1"/>
            </w14:solidFill>
          </w14:textFill>
        </w:rPr>
        <w:t>号）</w:t>
      </w:r>
    </w:p>
    <w:p w14:paraId="469A43FE">
      <w:pPr>
        <w:widowControl/>
        <w:spacing w:line="360" w:lineRule="auto"/>
        <w:ind w:firstLine="420" w:firstLineChars="200"/>
        <w:jc w:val="left"/>
        <w:rPr>
          <w:rFonts w:ascii="Times New Roman" w:hAnsi="Times New Roman"/>
          <w:color w:val="000000" w:themeColor="text1"/>
          <w:kern w:val="0"/>
          <w:szCs w:val="20"/>
          <w14:textFill>
            <w14:solidFill>
              <w14:schemeClr w14:val="tx1"/>
            </w14:solidFill>
          </w14:textFill>
        </w:rPr>
      </w:pPr>
      <w:r>
        <w:rPr>
          <w:rFonts w:hint="eastAsia" w:ascii="Times New Roman" w:hAnsi="Times New Roman"/>
          <w:color w:val="000000" w:themeColor="text1"/>
          <w:kern w:val="0"/>
          <w:szCs w:val="20"/>
          <w14:textFill>
            <w14:solidFill>
              <w14:schemeClr w14:val="tx1"/>
            </w14:solidFill>
          </w14:textFill>
        </w:rPr>
        <w:t>[4]成人体外膜肺氧合患者院际转运护理专家共识（2020年）</w:t>
      </w:r>
    </w:p>
    <w:p w14:paraId="272F5379">
      <w:pPr>
        <w:pStyle w:val="56"/>
        <w:ind w:firstLine="420"/>
      </w:pPr>
    </w:p>
    <w:p w14:paraId="5DA20785">
      <w:pPr>
        <w:pStyle w:val="56"/>
        <w:ind w:firstLine="420"/>
      </w:pPr>
    </w:p>
    <w:p w14:paraId="2C076CDB">
      <w:pPr>
        <w:pStyle w:val="56"/>
        <w:ind w:firstLine="420"/>
      </w:pPr>
    </w:p>
    <w:p w14:paraId="33E7EAD8">
      <w:pPr>
        <w:pStyle w:val="56"/>
        <w:ind w:firstLine="420"/>
      </w:pPr>
    </w:p>
    <w:bookmarkEnd w:id="48"/>
    <w:p w14:paraId="63293FC7">
      <w:pPr>
        <w:pStyle w:val="56"/>
        <w:ind w:firstLine="42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E98C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5FFD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6212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9344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9B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2DBC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0C9E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78905">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71DB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142"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1"/>
  <w:bordersDoNotSurroundFooter w:val="1"/>
  <w:documentProtection w:edit="forms" w:enforcement="1" w:cryptProviderType="rsaAES" w:cryptAlgorithmClass="hash" w:cryptAlgorithmType="typeAny" w:cryptAlgorithmSid="14" w:cryptSpinCount="100000" w:hash="JgSKEC/2Nk4Zuubst83gUO5e3XKN0CYcDNLFrTUjotcykenVGXSjLKndQtcabL7ziesvanH+naNYJVCLTksIgQ==" w:salt="bGNm1uNlfUHk1n/Z7fahg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1YjE4NmI2YTVhZGI3NzJlN2E5ZWNjY2VhOWI2YWYifQ=="/>
  </w:docVars>
  <w:rsids>
    <w:rsidRoot w:val="00A810E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DE5"/>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5ECE"/>
    <w:rsid w:val="00296193"/>
    <w:rsid w:val="00296C66"/>
    <w:rsid w:val="00296EBE"/>
    <w:rsid w:val="002974E3"/>
    <w:rsid w:val="002A084B"/>
    <w:rsid w:val="002A1260"/>
    <w:rsid w:val="002A1491"/>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95A"/>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2E0"/>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5FBB"/>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1B2"/>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005"/>
    <w:rsid w:val="005E34CA"/>
    <w:rsid w:val="005E3C18"/>
    <w:rsid w:val="005E6812"/>
    <w:rsid w:val="005E7881"/>
    <w:rsid w:val="005E78E0"/>
    <w:rsid w:val="005F0D9C"/>
    <w:rsid w:val="005F284E"/>
    <w:rsid w:val="005F4712"/>
    <w:rsid w:val="006015CE"/>
    <w:rsid w:val="00604784"/>
    <w:rsid w:val="00606419"/>
    <w:rsid w:val="00607D29"/>
    <w:rsid w:val="00612952"/>
    <w:rsid w:val="00614C9A"/>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AC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5F7A"/>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2D9"/>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90"/>
    <w:rsid w:val="009C4CFA"/>
    <w:rsid w:val="009C5070"/>
    <w:rsid w:val="009D112C"/>
    <w:rsid w:val="009D47FA"/>
    <w:rsid w:val="009D4C5B"/>
    <w:rsid w:val="009D50D2"/>
    <w:rsid w:val="009D6BCA"/>
    <w:rsid w:val="009E0F62"/>
    <w:rsid w:val="009E4A58"/>
    <w:rsid w:val="009E5A2D"/>
    <w:rsid w:val="009E5AB2"/>
    <w:rsid w:val="009E6219"/>
    <w:rsid w:val="009F03B3"/>
    <w:rsid w:val="009F751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0ED"/>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328"/>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833"/>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A7E"/>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C4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9B"/>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2DB0"/>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BE5FB8"/>
    <w:rsid w:val="210B3EDB"/>
    <w:rsid w:val="22843004"/>
    <w:rsid w:val="2444707B"/>
    <w:rsid w:val="2C025EDA"/>
    <w:rsid w:val="2F4653CD"/>
    <w:rsid w:val="32F82689"/>
    <w:rsid w:val="35946825"/>
    <w:rsid w:val="40CF23D7"/>
    <w:rsid w:val="4BB27D05"/>
    <w:rsid w:val="4D0516A7"/>
    <w:rsid w:val="5D480819"/>
    <w:rsid w:val="5FFF74B8"/>
    <w:rsid w:val="786D7434"/>
    <w:rsid w:val="7D3B3A54"/>
    <w:rsid w:val="7EA06B86"/>
    <w:rsid w:val="CDFFB6B6"/>
    <w:rsid w:val="D6FD2F7C"/>
    <w:rsid w:val="DE1BA7FB"/>
    <w:rsid w:val="F6F3F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8A2D1044DBB410387CCA3082E62B910"/>
        <w:style w:val=""/>
        <w:category>
          <w:name w:val="常规"/>
          <w:gallery w:val="placeholder"/>
        </w:category>
        <w:types>
          <w:type w:val="bbPlcHdr"/>
        </w:types>
        <w:behaviors>
          <w:behavior w:val="content"/>
        </w:behaviors>
        <w:description w:val=""/>
        <w:guid w:val="{41572F14-6111-4A2B-9200-484A89ABAA33}"/>
      </w:docPartPr>
      <w:docPartBody>
        <w:p w14:paraId="461B64D5">
          <w:pPr>
            <w:pStyle w:val="5"/>
            <w:rPr>
              <w:rFonts w:hint="eastAsia"/>
            </w:rPr>
          </w:pPr>
          <w:r>
            <w:rPr>
              <w:rStyle w:val="4"/>
              <w:rFonts w:hint="eastAsia"/>
            </w:rPr>
            <w:t>单击或点击此处输入文字。</w:t>
          </w:r>
        </w:p>
      </w:docPartBody>
    </w:docPart>
    <w:docPart>
      <w:docPartPr>
        <w:name w:val="9B7B102A6D234C42839794403AE22630"/>
        <w:style w:val=""/>
        <w:category>
          <w:name w:val="常规"/>
          <w:gallery w:val="placeholder"/>
        </w:category>
        <w:types>
          <w:type w:val="bbPlcHdr"/>
        </w:types>
        <w:behaviors>
          <w:behavior w:val="content"/>
        </w:behaviors>
        <w:description w:val=""/>
        <w:guid w:val="{BEAC40B6-C938-4170-B1E2-C7ACB8008AF4}"/>
      </w:docPartPr>
      <w:docPartBody>
        <w:p w14:paraId="45AA12D9">
          <w:pPr>
            <w:pStyle w:val="6"/>
            <w:rPr>
              <w:rFonts w:hint="eastAsia"/>
            </w:rPr>
          </w:pPr>
          <w:r>
            <w:rPr>
              <w:rStyle w:val="4"/>
              <w:rFonts w:hint="eastAsia"/>
            </w:rPr>
            <w:t>选择一项。</w:t>
          </w:r>
        </w:p>
      </w:docPartBody>
    </w:docPart>
    <w:docPart>
      <w:docPartPr>
        <w:name w:val="C6AA029BB4434148A85FF0E0DC4F8A0E"/>
        <w:style w:val=""/>
        <w:category>
          <w:name w:val="常规"/>
          <w:gallery w:val="placeholder"/>
        </w:category>
        <w:types>
          <w:type w:val="bbPlcHdr"/>
        </w:types>
        <w:behaviors>
          <w:behavior w:val="content"/>
        </w:behaviors>
        <w:description w:val=""/>
        <w:guid w:val="{33705D72-43BA-4E2B-A795-D15EE6306342}"/>
      </w:docPartPr>
      <w:docPartBody>
        <w:p w14:paraId="7B844F1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13D"/>
    <w:rsid w:val="0004013D"/>
    <w:rsid w:val="005B3570"/>
    <w:rsid w:val="006007A3"/>
    <w:rsid w:val="00665881"/>
    <w:rsid w:val="007F6AC5"/>
    <w:rsid w:val="009457BA"/>
    <w:rsid w:val="009F751B"/>
    <w:rsid w:val="00BE6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8A2D1044DBB410387CCA3082E62B91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7B102A6D234C42839794403AE2263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C6AA029BB4434148A85FF0E0DC4F8A0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501</Words>
  <Characters>2856</Characters>
  <Lines>23</Lines>
  <Paragraphs>6</Paragraphs>
  <TotalTime>16</TotalTime>
  <ScaleCrop>false</ScaleCrop>
  <LinksUpToDate>false</LinksUpToDate>
  <CharactersWithSpaces>3351</CharactersWithSpaces>
  <Application>WPS Office_6.12.1.8902_F1E327BC-269C-435d-A152-05C5408002CA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2024-12-01T11:26:00Z</dcterms:created>
  <dc:creator>86151</dc:creator>
  <dc:description>&lt;config cover="true" show_menu="true" version="1.0.0" doctype="SDKXY"&gt;_x000d_
&lt;/config&gt;</dc:description>
  <cp:lastModifiedBy> </cp:lastModifiedBy>
  <cp:lastPrinted>2020-08-31T02:00:00Z</cp:lastPrinted>
  <dcterms:modified xsi:type="dcterms:W3CDTF">2025-01-15T08:53:20Z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2052-6.12.1.8902</vt:lpwstr>
  </property>
  <property fmtid="{D5CDD505-2E9C-101B-9397-08002B2CF9AE}" pid="15" name="ICV">
    <vt:lpwstr>77D598887320E98ABC048767C150BFE2_43</vt:lpwstr>
  </property>
</Properties>
</file>