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shd w:val="clear" w:color="FFFFFF" w:fill="FFFFFF"/>
        <w:tabs>
          <w:tab w:val="left" w:pos="6406"/>
        </w:tabs>
        <w:kinsoku/>
        <w:wordWrap/>
        <w:overflowPunct/>
        <w:topLinePunct w:val="0"/>
        <w:autoSpaceDE/>
        <w:autoSpaceDN/>
        <w:bidi w:val="0"/>
        <w:adjustRightInd/>
        <w:snapToGrid/>
        <w:spacing w:line="360" w:lineRule="auto"/>
        <w:ind w:leftChars="0"/>
        <w:jc w:val="center"/>
        <w:textAlignment w:val="auto"/>
        <w:outlineLvl w:val="0"/>
        <w:rPr>
          <w:rFonts w:ascii="黑体" w:hAnsi="Times New Roman" w:eastAsia="黑体" w:cs="Times New Roman"/>
          <w:b w:val="0"/>
          <w:bCs w:val="0"/>
          <w:kern w:val="0"/>
          <w:sz w:val="32"/>
          <w:szCs w:val="32"/>
          <w:lang w:val="en-US" w:eastAsia="zh-CN" w:bidi="ar-SA"/>
        </w:rPr>
      </w:pPr>
      <w:r>
        <w:rPr>
          <w:rFonts w:hint="eastAsia" w:ascii="黑体" w:hAnsi="Times New Roman" w:eastAsia="黑体" w:cs="Times New Roman"/>
          <w:b w:val="0"/>
          <w:bCs w:val="0"/>
          <w:kern w:val="0"/>
          <w:sz w:val="32"/>
          <w:szCs w:val="32"/>
          <w:lang w:val="en-US" w:eastAsia="zh-CN" w:bidi="ar-SA"/>
        </w:rPr>
        <w:t>《互联网医院服务评价规范》编制说明</w:t>
      </w:r>
    </w:p>
    <w:tbl>
      <w:tblPr>
        <w:tblStyle w:val="6"/>
        <w:tblW w:w="96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997"/>
        <w:gridCol w:w="3668"/>
        <w:gridCol w:w="2441"/>
        <w:gridCol w:w="1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99" w:type="dxa"/>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标准名称</w:t>
            </w:r>
          </w:p>
        </w:tc>
        <w:tc>
          <w:tcPr>
            <w:tcW w:w="7984" w:type="dxa"/>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1920" w:firstLineChars="8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w:t>
            </w:r>
            <w:bookmarkStart w:id="0" w:name="OLE_LINK3"/>
            <w:r>
              <w:rPr>
                <w:rFonts w:hint="eastAsia" w:ascii="Times New Roman" w:hAnsi="Times New Roman" w:eastAsia="宋体" w:cs="Times New Roman"/>
                <w:kern w:val="0"/>
                <w:sz w:val="24"/>
                <w:szCs w:val="21"/>
                <w:lang w:val="en-US" w:eastAsia="zh-CN" w:bidi="ar-SA"/>
              </w:rPr>
              <w:t>互联网医院服务评价规范</w:t>
            </w:r>
            <w:bookmarkEnd w:id="0"/>
            <w:r>
              <w:rPr>
                <w:rFonts w:hint="eastAsia" w:ascii="Times New Roman" w:hAnsi="Times New Roman" w:eastAsia="宋体" w:cs="Times New Roman"/>
                <w:kern w:val="0"/>
                <w:sz w:val="24"/>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99" w:type="dxa"/>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任务来源</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（项目计划号）</w:t>
            </w:r>
          </w:p>
        </w:tc>
        <w:tc>
          <w:tcPr>
            <w:tcW w:w="7984" w:type="dxa"/>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安徽省市场监督管理局关于下达202</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4</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年第</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三</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批安徽省地方标准制修订计划</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项目</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的</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通知</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》(皖市监函〔202</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4</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377</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号)</w:t>
            </w:r>
            <w:r>
              <w:rPr>
                <w:rFonts w:hint="eastAsia" w:ascii="Times New Roman" w:hAnsi="Times New Roman" w:eastAsia="宋体" w:cs="宋体"/>
                <w:b w:val="0"/>
                <w:bCs w:val="0"/>
                <w:color w:val="000000" w:themeColor="text1"/>
                <w:spacing w:val="7"/>
                <w:sz w:val="24"/>
                <w:szCs w:val="24"/>
                <w:highlight w:val="none"/>
                <w:lang w:eastAsia="zh-CN"/>
                <w14:textFill>
                  <w14:solidFill>
                    <w14:schemeClr w14:val="tx1"/>
                  </w14:solidFill>
                </w14:textFill>
              </w:rPr>
              <w:t>，</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计划项目号：</w:t>
            </w:r>
            <w:r>
              <w:rPr>
                <w:rFonts w:ascii="宋体" w:hAnsi="宋体" w:eastAsia="宋体" w:cs="宋体"/>
                <w:sz w:val="24"/>
                <w:szCs w:val="24"/>
              </w:rPr>
              <w:t>2024-3-207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99" w:type="dxa"/>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第一起草单位</w:t>
            </w:r>
          </w:p>
        </w:tc>
        <w:tc>
          <w:tcPr>
            <w:tcW w:w="7984" w:type="dxa"/>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960" w:firstLineChars="4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中国科学技术大学附属第一医院（安徽省立医院）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99" w:type="dxa"/>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单位地址</w:t>
            </w:r>
          </w:p>
        </w:tc>
        <w:tc>
          <w:tcPr>
            <w:tcW w:w="7984" w:type="dxa"/>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1440" w:firstLineChars="6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安徽省合肥市庐阳区庐江路17号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99" w:type="dxa"/>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参与起草单位</w:t>
            </w:r>
          </w:p>
        </w:tc>
        <w:tc>
          <w:tcPr>
            <w:tcW w:w="7984" w:type="dxa"/>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left"/>
              <w:textAlignment w:val="auto"/>
              <w:rPr>
                <w:rFonts w:hint="default" w:ascii="Times New Roman" w:hAnsi="Times New Roman" w:eastAsia="宋体" w:cs="Times New Roman"/>
                <w:kern w:val="0"/>
                <w:sz w:val="24"/>
                <w:szCs w:val="21"/>
                <w:lang w:val="en-US" w:eastAsia="zh-CN" w:bidi="ar-SA"/>
              </w:rPr>
            </w:pPr>
            <w:bookmarkStart w:id="1" w:name="OLE_LINK2"/>
            <w:r>
              <w:rPr>
                <w:rFonts w:hint="eastAsia" w:ascii="Times New Roman" w:hAnsi="Times New Roman" w:eastAsia="宋体" w:cs="Times New Roman"/>
                <w:color w:val="000000" w:themeColor="text1"/>
                <w:sz w:val="24"/>
                <w:szCs w:val="21"/>
                <w:lang w:val="en-US" w:eastAsia="zh-CN"/>
                <w14:textFill>
                  <w14:solidFill>
                    <w14:schemeClr w14:val="tx1"/>
                  </w14:solidFill>
                </w14:textFill>
              </w:rPr>
              <w:t>安徽省卫生健康委员会医政处、安徽省卫生健康委员会信息中心、安徽医科大学第一附属医院、安庆市第一人民医院、太和县人民医院、</w:t>
            </w:r>
            <w:bookmarkStart w:id="2" w:name="OLE_LINK1"/>
            <w:r>
              <w:rPr>
                <w:rFonts w:hint="eastAsia" w:ascii="Times New Roman" w:hAnsi="Times New Roman" w:eastAsia="宋体" w:cs="Times New Roman"/>
                <w:color w:val="000000" w:themeColor="text1"/>
                <w:sz w:val="24"/>
                <w:szCs w:val="21"/>
                <w:lang w:val="en-US" w:eastAsia="zh-CN"/>
                <w14:textFill>
                  <w14:solidFill>
                    <w14:schemeClr w14:val="tx1"/>
                  </w14:solidFill>
                </w14:textFill>
              </w:rPr>
              <w:t>安徽医科大学第二附属医院</w:t>
            </w:r>
            <w:bookmarkEnd w:id="2"/>
            <w:r>
              <w:rPr>
                <w:rFonts w:hint="eastAsia" w:ascii="Times New Roman" w:hAnsi="Times New Roman" w:eastAsia="宋体" w:cs="Times New Roman"/>
                <w:color w:val="000000" w:themeColor="text1"/>
                <w:sz w:val="24"/>
                <w:szCs w:val="21"/>
                <w:lang w:val="en-US" w:eastAsia="zh-CN"/>
                <w14:textFill>
                  <w14:solidFill>
                    <w14:schemeClr w14:val="tx1"/>
                  </w14:solidFill>
                </w14:textFill>
              </w:rPr>
              <w:t>、淮北市人民医院、</w:t>
            </w:r>
            <w:r>
              <w:rPr>
                <w:rFonts w:hint="eastAsia"/>
                <w:sz w:val="24"/>
                <w:szCs w:val="24"/>
                <w:lang w:val="en-US" w:eastAsia="zh-CN"/>
              </w:rPr>
              <w:t>蚌埠医科大学第二附属医院</w:t>
            </w:r>
            <w:bookmarkEnd w:id="1"/>
            <w:r>
              <w:rPr>
                <w:rFonts w:hint="eastAsia" w:ascii="Times New Roman" w:hAnsi="Times New Roman" w:eastAsia="宋体" w:cs="Times New Roman"/>
                <w:color w:val="000000" w:themeColor="text1"/>
                <w:sz w:val="24"/>
                <w:szCs w:val="21"/>
                <w:lang w:val="en-US" w:eastAsia="zh-CN"/>
                <w14:textFill>
                  <w14:solidFill>
                    <w14:schemeClr w14:val="tx1"/>
                  </w14:solidFill>
                </w14:textFill>
              </w:rPr>
              <w:t>、北京蓝卫通科技有限公司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标准起草人</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（全部起草人，应与标准文本前言中起草人排序一致）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序号</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姓名</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单位</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职务</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w:t>
            </w:r>
          </w:p>
        </w:tc>
        <w:tc>
          <w:tcPr>
            <w:tcW w:w="997" w:type="dxa"/>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徐宁</w:t>
            </w:r>
          </w:p>
        </w:tc>
        <w:tc>
          <w:tcPr>
            <w:tcW w:w="3668" w:type="dxa"/>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中国科学技术大学附属第一医院  （安徽省立医院）</w:t>
            </w:r>
          </w:p>
        </w:tc>
        <w:tc>
          <w:tcPr>
            <w:tcW w:w="2441" w:type="dxa"/>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信息中心副主任</w:t>
            </w:r>
          </w:p>
        </w:tc>
        <w:tc>
          <w:tcPr>
            <w:tcW w:w="1875" w:type="dxa"/>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仿宋_GB2312" w:eastAsia="仿宋_GB2312"/>
                <w:szCs w:val="21"/>
                <w:lang w:val="en-US" w:eastAsia="zh-CN"/>
              </w:rPr>
              <w:t>18955158629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张国良</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kern w:val="0"/>
                <w:sz w:val="21"/>
                <w:szCs w:val="21"/>
                <w:lang w:val="en-US" w:eastAsia="zh-CN" w:bidi="ar-SA"/>
              </w:rPr>
              <w:t>中国科学技术大学附属第一医院  （安徽省立医院）</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医务科科长</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仿宋_GB2312" w:eastAsia="仿宋_GB2312"/>
                <w:szCs w:val="21"/>
                <w:lang w:val="en-US" w:eastAsia="zh-CN"/>
              </w:rPr>
              <w:t>15055181007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3</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盛敏玲</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中国科学技术大学附属第一医院  （安徽省立医院）</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门诊部副主任</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仿宋_GB2312" w:eastAsia="仿宋_GB2312"/>
                <w:szCs w:val="21"/>
                <w:lang w:val="en-US" w:eastAsia="zh-CN"/>
              </w:rPr>
              <w:t>18963789110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4</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张旸</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kern w:val="0"/>
                <w:sz w:val="21"/>
                <w:szCs w:val="21"/>
                <w:lang w:val="en-US" w:eastAsia="zh-CN" w:bidi="ar-SA"/>
              </w:rPr>
              <w:t>安庆市第一人民医院</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信息中心主任</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13905567634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5</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郭伟</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太和县人民医院</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副院长</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18955861039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6</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李麟</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安徽省卫生健康委员会统计信息中心</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副主任</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13965088025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7</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left"/>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朱德刚</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安徽医科大学第一附属医院</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信息中心副主任</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1"/>
                <w:szCs w:val="21"/>
                <w:lang w:val="en-US" w:eastAsia="zh-CN" w:bidi="ar-SA"/>
              </w:rPr>
            </w:pPr>
            <w:r>
              <w:rPr>
                <w:rFonts w:hint="eastAsia" w:ascii="仿宋_GB2312" w:eastAsia="仿宋_GB2312"/>
                <w:szCs w:val="21"/>
                <w:lang w:val="en-US" w:eastAsia="zh-CN"/>
              </w:rPr>
              <w:t>18225692660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5</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金龙</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中国科学技术大学附属第一医院  （安徽省立医院）</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八级职员</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13395515745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6</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虞德才</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中国科学技术大学附属第一医院  （安徽省立医院）</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副院长</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仿宋_GB2312" w:eastAsia="仿宋_GB2312"/>
                <w:szCs w:val="21"/>
                <w:lang w:val="en-US" w:eastAsia="zh-CN"/>
              </w:rPr>
              <w:t>18963782918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7</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王慧姮</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安徽医科大学第二附属医院</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信息中心主任</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13966776266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8</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left"/>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兰峰</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北京蓝卫通科技有限公司</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总经理</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 xml:space="preserve"> 13801102729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9</w:t>
            </w:r>
          </w:p>
        </w:tc>
        <w:tc>
          <w:tcPr>
            <w:tcW w:w="997" w:type="dxa"/>
            <w:vAlign w:val="top"/>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王玉凯</w:t>
            </w:r>
          </w:p>
        </w:tc>
        <w:tc>
          <w:tcPr>
            <w:tcW w:w="3668" w:type="dxa"/>
            <w:vAlign w:val="top"/>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淮北市人民医院</w:t>
            </w:r>
          </w:p>
        </w:tc>
        <w:tc>
          <w:tcPr>
            <w:tcW w:w="2441" w:type="dxa"/>
            <w:vAlign w:val="top"/>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副院长</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18956190123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10</w:t>
            </w:r>
          </w:p>
        </w:tc>
        <w:tc>
          <w:tcPr>
            <w:tcW w:w="997" w:type="dxa"/>
            <w:vAlign w:val="top"/>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杨静</w:t>
            </w:r>
          </w:p>
        </w:tc>
        <w:tc>
          <w:tcPr>
            <w:tcW w:w="3668" w:type="dxa"/>
            <w:vAlign w:val="top"/>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淮北市人民医院</w:t>
            </w:r>
          </w:p>
        </w:tc>
        <w:tc>
          <w:tcPr>
            <w:tcW w:w="2441" w:type="dxa"/>
            <w:vAlign w:val="top"/>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质管办主任</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15856138228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11</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lef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王磊</w:t>
            </w: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蚌埠医科大学第二附属医院</w:t>
            </w: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信息科科长</w:t>
            </w: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13855221364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702"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12</w:t>
            </w:r>
          </w:p>
        </w:tc>
        <w:tc>
          <w:tcPr>
            <w:tcW w:w="997"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1"/>
                <w:szCs w:val="21"/>
                <w:lang w:val="en-US" w:eastAsia="zh-CN" w:bidi="ar-SA"/>
              </w:rPr>
            </w:pPr>
          </w:p>
        </w:tc>
        <w:tc>
          <w:tcPr>
            <w:tcW w:w="3668"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2441"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p>
        </w:tc>
        <w:tc>
          <w:tcPr>
            <w:tcW w:w="1875" w:type="dxa"/>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bCs/>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b/>
                <w:bCs/>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hint="eastAsia"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（1）成立标准起草工作组</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2024年9月2日，收到《安徽省市场监督管理局关于下达2024年第三批安徽省地方标准制修订计划的通知》后，中科大附一院（安徽省立医院）牵头成立标准起草工作组（以下简称工作组），确定主要负责人，明确起草组人员和相关职责。工作组讨论了标准制定的总体思路，制定了工作方案，明确了内部分工及进度要求，开始标准的起草准备工作。</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hint="eastAsia"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（2）形成草案</w:t>
            </w:r>
          </w:p>
          <w:p>
            <w:pPr>
              <w:pStyle w:val="12"/>
              <w:adjustRightInd w:val="0"/>
              <w:spacing w:line="360" w:lineRule="auto"/>
              <w:contextualSpacing/>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2024年9-1</w:t>
            </w:r>
            <w:r>
              <w:rPr>
                <w:rFonts w:hint="eastAsia" w:ascii="Times New Roman" w:cs="Times New Roman"/>
                <w:kern w:val="0"/>
                <w:sz w:val="24"/>
                <w:szCs w:val="21"/>
                <w:lang w:val="en-US" w:eastAsia="zh-CN" w:bidi="ar-SA"/>
              </w:rPr>
              <w:t>2</w:t>
            </w:r>
            <w:r>
              <w:rPr>
                <w:rFonts w:hint="eastAsia" w:ascii="Times New Roman" w:hAnsi="Times New Roman" w:eastAsia="宋体" w:cs="Times New Roman"/>
                <w:kern w:val="0"/>
                <w:sz w:val="24"/>
                <w:szCs w:val="21"/>
                <w:lang w:val="en-US" w:eastAsia="zh-CN" w:bidi="ar-SA"/>
              </w:rPr>
              <w:t>月，工作组收集并整理国家、行业、地方、团体标准及相关文件资料，认真归类分析相关材料内容。同时，</w:t>
            </w:r>
            <w:r>
              <w:rPr>
                <w:rFonts w:hint="eastAsia" w:ascii="Times New Roman" w:cs="Times New Roman"/>
                <w:kern w:val="0"/>
                <w:sz w:val="24"/>
                <w:szCs w:val="21"/>
                <w:lang w:val="en-US" w:eastAsia="zh-CN" w:bidi="ar-SA"/>
              </w:rPr>
              <w:t>通过督查反馈、会议、安徽省互联网诊疗服务监管平台数据统计等渠道</w:t>
            </w:r>
            <w:r>
              <w:rPr>
                <w:rFonts w:hint="eastAsia" w:ascii="Times New Roman" w:hAnsi="Times New Roman" w:eastAsia="宋体" w:cs="Times New Roman"/>
                <w:kern w:val="0"/>
                <w:sz w:val="24"/>
                <w:szCs w:val="21"/>
                <w:lang w:val="en-US" w:eastAsia="zh-CN" w:bidi="ar-SA"/>
              </w:rPr>
              <w:t>开展实地调研</w:t>
            </w:r>
            <w:r>
              <w:rPr>
                <w:rFonts w:hint="eastAsia" w:ascii="Times New Roman" w:cs="Times New Roman"/>
                <w:kern w:val="0"/>
                <w:sz w:val="24"/>
                <w:szCs w:val="21"/>
                <w:lang w:val="en-US" w:eastAsia="zh-CN" w:bidi="ar-SA"/>
              </w:rPr>
              <w:t>、讨论，并通过数据分析</w:t>
            </w:r>
            <w:r>
              <w:rPr>
                <w:rFonts w:hint="eastAsia" w:ascii="Times New Roman" w:hAnsi="Times New Roman" w:eastAsia="宋体" w:cs="Times New Roman"/>
                <w:kern w:val="0"/>
                <w:sz w:val="24"/>
                <w:szCs w:val="21"/>
                <w:lang w:val="en-US" w:eastAsia="zh-CN" w:bidi="ar-SA"/>
              </w:rPr>
              <w:t>，</w:t>
            </w:r>
            <w:r>
              <w:rPr>
                <w:rFonts w:hint="eastAsia" w:ascii="Times New Roman" w:cs="Times New Roman"/>
                <w:kern w:val="0"/>
                <w:sz w:val="24"/>
                <w:szCs w:val="21"/>
                <w:lang w:val="en-US" w:eastAsia="zh-CN" w:bidi="ar-SA"/>
              </w:rPr>
              <w:t>对评价标准的指标、分值分布等进行了综合考虑，</w:t>
            </w:r>
            <w:r>
              <w:rPr>
                <w:rFonts w:hint="eastAsia" w:ascii="Times New Roman" w:hAnsi="Times New Roman" w:eastAsia="宋体" w:cs="Times New Roman"/>
                <w:kern w:val="0"/>
                <w:sz w:val="24"/>
                <w:szCs w:val="21"/>
                <w:lang w:val="en-US" w:eastAsia="zh-CN" w:bidi="ar-SA"/>
              </w:rPr>
              <w:t>通过</w:t>
            </w:r>
            <w:r>
              <w:rPr>
                <w:rFonts w:hint="eastAsia" w:ascii="Times New Roman" w:cs="Times New Roman"/>
                <w:kern w:val="0"/>
                <w:sz w:val="24"/>
                <w:szCs w:val="21"/>
                <w:lang w:val="en-US" w:eastAsia="zh-CN" w:bidi="ar-SA"/>
              </w:rPr>
              <w:t>向安徽省、市互联网诊疗管理质控中心各位专家咨询</w:t>
            </w:r>
            <w:r>
              <w:rPr>
                <w:rFonts w:hint="eastAsia" w:ascii="Times New Roman" w:hAnsi="Times New Roman" w:eastAsia="宋体" w:cs="Times New Roman"/>
                <w:kern w:val="0"/>
                <w:sz w:val="24"/>
                <w:szCs w:val="21"/>
                <w:lang w:val="en-US" w:eastAsia="zh-CN" w:bidi="ar-SA"/>
              </w:rPr>
              <w:t>评价内容及意见。基于我省</w:t>
            </w:r>
            <w:r>
              <w:rPr>
                <w:rFonts w:hint="eastAsia" w:ascii="Times New Roman" w:cs="Times New Roman"/>
                <w:kern w:val="0"/>
                <w:sz w:val="24"/>
                <w:szCs w:val="21"/>
                <w:lang w:val="en-US" w:eastAsia="zh-CN" w:bidi="ar-SA"/>
              </w:rPr>
              <w:t>互联网医院开展服务的</w:t>
            </w:r>
            <w:r>
              <w:rPr>
                <w:rFonts w:hint="eastAsia" w:ascii="Times New Roman" w:hAnsi="Times New Roman" w:eastAsia="宋体" w:cs="Times New Roman"/>
                <w:kern w:val="0"/>
                <w:sz w:val="24"/>
                <w:szCs w:val="21"/>
                <w:lang w:val="en-US" w:eastAsia="zh-CN" w:bidi="ar-SA"/>
              </w:rPr>
              <w:t>实际现状，结合收集材料和调研的结果，制定《互联网医院服务评价规范》框架，开展标准起草工作。工作组先后多次召开讨论会，并邀请部分专家参与讨论、指导，经工作组多轮讨论、修改，形成草案初稿。</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hint="eastAsia"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（3）形成征求意见稿</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2024年9月2日安徽省市场监督管理局下达2024年第三批安徽省地方标准制修订计划，工作组多次组织召开《互联网医院服务评价规范》内部论证会，就标准框架、内容等方面进行了进一步修改，形成标准征求意见稿</w:t>
            </w:r>
            <w:r>
              <w:rPr>
                <w:rFonts w:hint="eastAsia" w:ascii="Times New Roman" w:hAnsi="Times New Roman" w:eastAsia="宋体" w:cs="Times New Roman"/>
                <w:color w:val="0000FF"/>
                <w:kern w:val="0"/>
                <w:sz w:val="24"/>
                <w:szCs w:val="21"/>
                <w:lang w:val="en-US" w:eastAsia="zh-CN" w:bidi="ar-SA"/>
              </w:rPr>
              <w:t>。</w:t>
            </w:r>
            <w:r>
              <w:rPr>
                <w:rFonts w:hint="eastAsia" w:ascii="Times New Roman" w:hAnsi="Times New Roman" w:eastAsia="宋体" w:cs="Times New Roman"/>
                <w:color w:val="auto"/>
                <w:kern w:val="0"/>
                <w:sz w:val="24"/>
                <w:szCs w:val="21"/>
                <w:lang w:val="en-US" w:eastAsia="zh-CN" w:bidi="ar-SA"/>
              </w:rPr>
              <w:t>2025年1月13日安徽省卫生健康委员会正式出具了申请《互联网医院服务评价规范》地方标准征求意见稿网上公示函，批准向社会公开征求意见。</w:t>
            </w:r>
            <w:bookmarkStart w:id="34" w:name="_GoBack"/>
            <w:bookmark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eastAsia" w:ascii="Times New Roman" w:hAnsi="Times New Roman" w:eastAsia="宋体" w:cs="Times New Roman"/>
                <w:b w:val="0"/>
                <w:bCs/>
                <w:kern w:val="0"/>
                <w:sz w:val="24"/>
                <w:szCs w:val="21"/>
                <w:highlight w:val="none"/>
                <w:lang w:val="en-US" w:eastAsia="zh-CN" w:bidi="ar-SA"/>
              </w:rPr>
            </w:pPr>
            <w:r>
              <w:rPr>
                <w:rFonts w:hint="eastAsia" w:ascii="Times New Roman" w:hAnsi="Times New Roman" w:eastAsia="宋体" w:cs="Times New Roman"/>
                <w:b w:val="0"/>
                <w:bCs/>
                <w:kern w:val="0"/>
                <w:sz w:val="24"/>
                <w:szCs w:val="21"/>
                <w:highlight w:val="none"/>
                <w:lang w:val="en-US" w:eastAsia="zh-CN" w:bidi="ar-SA"/>
              </w:rPr>
              <w:t>（一）本标准制定必要性</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随着互联网医院在医疗领域的业务范围的扩大，国家卫健委对互联网诊疗的重视程度也在不断增加，仅在2022年度就发布了《“十四五”全民健康信息化规划》、《关于进一步推进医养结合发展的指导意见》、《全国护理事业发展规划（2021-2025年）》、 《医疗卫生机构网络安全管理办法》等文件均提到了加强互联网诊疗工作。</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在大力发展互联网医院的同时，</w:t>
            </w:r>
            <w:r>
              <w:rPr>
                <w:rFonts w:hint="default" w:ascii="Times New Roman" w:hAnsi="Times New Roman" w:eastAsia="宋体" w:cs="Times New Roman"/>
                <w:kern w:val="0"/>
                <w:sz w:val="24"/>
                <w:szCs w:val="21"/>
                <w:lang w:val="en-US" w:eastAsia="zh-CN" w:bidi="ar-SA"/>
              </w:rPr>
              <w:t>对于医院互联网</w:t>
            </w:r>
            <w:r>
              <w:rPr>
                <w:rFonts w:hint="eastAsia" w:ascii="Times New Roman" w:hAnsi="Times New Roman" w:eastAsia="宋体" w:cs="Times New Roman"/>
                <w:kern w:val="0"/>
                <w:sz w:val="24"/>
                <w:szCs w:val="21"/>
                <w:lang w:val="en-US" w:eastAsia="zh-CN" w:bidi="ar-SA"/>
              </w:rPr>
              <w:t>医院</w:t>
            </w:r>
            <w:r>
              <w:rPr>
                <w:rFonts w:hint="default" w:ascii="Times New Roman" w:hAnsi="Times New Roman" w:eastAsia="宋体" w:cs="Times New Roman"/>
                <w:kern w:val="0"/>
                <w:sz w:val="24"/>
                <w:szCs w:val="21"/>
                <w:lang w:val="en-US" w:eastAsia="zh-CN" w:bidi="ar-SA"/>
              </w:rPr>
              <w:t>服务质量评估和管理方面的研究相对匮乏，服务质量仍有待提高。</w:t>
            </w:r>
            <w:r>
              <w:rPr>
                <w:rFonts w:hint="eastAsia" w:ascii="Times New Roman" w:hAnsi="Times New Roman" w:eastAsia="宋体" w:cs="Times New Roman"/>
                <w:kern w:val="0"/>
                <w:sz w:val="24"/>
                <w:szCs w:val="21"/>
                <w:lang w:val="en-US" w:eastAsia="zh-CN" w:bidi="ar-SA"/>
              </w:rPr>
              <w:t>国家卫健委和我省卫健委虽然</w:t>
            </w:r>
            <w:r>
              <w:rPr>
                <w:rFonts w:hint="default" w:ascii="Times New Roman" w:hAnsi="Times New Roman" w:eastAsia="宋体" w:cs="Times New Roman"/>
                <w:kern w:val="0"/>
                <w:sz w:val="24"/>
                <w:szCs w:val="21"/>
                <w:lang w:val="en-US" w:eastAsia="zh-CN" w:bidi="ar-SA"/>
              </w:rPr>
              <w:t>已经开始关注这一领域，</w:t>
            </w:r>
            <w:r>
              <w:rPr>
                <w:rFonts w:hint="eastAsia" w:ascii="Times New Roman" w:hAnsi="Times New Roman" w:eastAsia="宋体" w:cs="Times New Roman"/>
                <w:kern w:val="0"/>
                <w:sz w:val="24"/>
                <w:szCs w:val="21"/>
                <w:lang w:val="en-US" w:eastAsia="zh-CN" w:bidi="ar-SA"/>
              </w:rPr>
              <w:t>并在发布的《互联网诊疗监管细则（试行）》（国卫办医发〔2022〕2号）及《关于印发安徽省互联网诊疗监管实施办法（试行）的通知（皖卫发〔2022〕11 号）》中提到：“医疗机构开展互联网诊疗活动应当遵守医疗质量、患者安全、网络安全、信息安全的有关法律法规和规定。主动加强互联网诊疗的质控工作”，</w:t>
            </w:r>
            <w:r>
              <w:rPr>
                <w:rFonts w:hint="default" w:ascii="Times New Roman" w:hAnsi="Times New Roman" w:eastAsia="宋体" w:cs="Times New Roman"/>
                <w:kern w:val="0"/>
                <w:sz w:val="24"/>
                <w:szCs w:val="21"/>
                <w:lang w:val="en-US" w:eastAsia="zh-CN" w:bidi="ar-SA"/>
              </w:rPr>
              <w:t>但尚未形成统一、完善的评价规范体系。因此，制定和实施《互联网诊疗服务评价规范》对于规范行业行为、提升服务质量、保障患者权益</w:t>
            </w:r>
            <w:r>
              <w:rPr>
                <w:rFonts w:hint="eastAsia" w:ascii="Times New Roman" w:hAnsi="Times New Roman" w:eastAsia="宋体" w:cs="Times New Roman"/>
                <w:kern w:val="0"/>
                <w:sz w:val="24"/>
                <w:szCs w:val="21"/>
                <w:lang w:val="en-US" w:eastAsia="zh-CN" w:bidi="ar-SA"/>
              </w:rPr>
              <w:t>尤为必要</w:t>
            </w:r>
            <w:r>
              <w:rPr>
                <w:rFonts w:hint="default" w:ascii="Times New Roman" w:hAnsi="Times New Roman" w:eastAsia="宋体" w:cs="Times New Roman"/>
                <w:kern w:val="0"/>
                <w:sz w:val="24"/>
                <w:szCs w:val="21"/>
                <w:lang w:val="en-US" w:eastAsia="zh-CN" w:bidi="ar-SA"/>
              </w:rPr>
              <w:t>。</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ascii="Times New Roman" w:hAnsi="Times New Roman" w:eastAsia="宋体" w:cs="Times New Roman"/>
                <w:b w:val="0"/>
                <w:bCs/>
                <w:kern w:val="0"/>
                <w:sz w:val="24"/>
                <w:szCs w:val="21"/>
                <w:highlight w:val="none"/>
                <w:lang w:val="en-US" w:eastAsia="zh-CN" w:bidi="ar-SA"/>
              </w:rPr>
            </w:pPr>
            <w:r>
              <w:rPr>
                <w:rFonts w:hint="eastAsia" w:ascii="Times New Roman" w:hAnsi="Times New Roman" w:eastAsia="宋体" w:cs="Times New Roman"/>
                <w:b w:val="0"/>
                <w:bCs/>
                <w:kern w:val="0"/>
                <w:sz w:val="24"/>
                <w:szCs w:val="21"/>
                <w:highlight w:val="none"/>
                <w:lang w:val="en-US" w:eastAsia="zh-CN" w:bidi="ar-SA"/>
              </w:rPr>
              <w:t>（二）本标准制定意义</w:t>
            </w:r>
          </w:p>
          <w:p>
            <w:pPr>
              <w:spacing w:line="360" w:lineRule="auto"/>
              <w:ind w:firstLine="480" w:firstLineChars="200"/>
              <w:jc w:val="left"/>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（1）保障患者权益：维护患者的知情权、选择权和隐私权等合法权益。</w:t>
            </w:r>
          </w:p>
          <w:p>
            <w:pPr>
              <w:spacing w:line="360" w:lineRule="auto"/>
              <w:ind w:firstLine="480" w:firstLineChars="200"/>
              <w:jc w:val="left"/>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（2）促进服务质量提升：通过建立评价体系，对互联网诊疗服务进行定期评价和监督，推动服务提供者不断提升服务质量。</w:t>
            </w:r>
          </w:p>
          <w:p>
            <w:pPr>
              <w:spacing w:line="360" w:lineRule="auto"/>
              <w:ind w:firstLine="480" w:firstLineChars="200"/>
              <w:jc w:val="left"/>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（3）加强行业监管：有助于政府部门加强对互联网诊疗服务的监管和管理，维护市场秩序和公平竞争。</w:t>
            </w:r>
          </w:p>
          <w:p>
            <w:pPr>
              <w:spacing w:line="360" w:lineRule="auto"/>
              <w:ind w:firstLine="480" w:firstLineChars="200"/>
              <w:jc w:val="left"/>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（4）推动互联网诊疗持续发展：通过制定统一的评价规范，促进互联网诊疗服务的标准化、规范化发展，推动行业的技术创新和服务模式创新。</w:t>
            </w:r>
          </w:p>
          <w:p>
            <w:pPr>
              <w:spacing w:line="360" w:lineRule="auto"/>
              <w:ind w:firstLine="480" w:firstLineChars="200"/>
              <w:jc w:val="left"/>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（5）强化医疗行业的自律机制：通过评价体系的建立和实施，医疗服务提供者将更加注重自身行为的合规性和规范性，从而提升整个行业的形象和信誉。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pStyle w:val="12"/>
              <w:numPr>
                <w:ilvl w:val="0"/>
                <w:numId w:val="0"/>
              </w:numPr>
              <w:adjustRightInd w:val="0"/>
              <w:spacing w:line="360" w:lineRule="auto"/>
              <w:ind w:leftChars="0"/>
              <w:contextualSpacing/>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（一）制定标准的原则</w:t>
            </w:r>
          </w:p>
          <w:p>
            <w:pPr>
              <w:pStyle w:val="12"/>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本标准的制定工作遵循“</w:t>
            </w:r>
            <w:r>
              <w:rPr>
                <w:rFonts w:hint="eastAsia" w:ascii="Times New Roman" w:hAnsi="Times New Roman" w:eastAsia="宋体"/>
                <w:color w:val="000000" w:themeColor="text1"/>
                <w:sz w:val="24"/>
                <w:szCs w:val="24"/>
                <w:highlight w:val="none"/>
                <w14:textFill>
                  <w14:solidFill>
                    <w14:schemeClr w14:val="tx1"/>
                  </w14:solidFill>
                </w14:textFill>
              </w:rPr>
              <w:t>统一</w:t>
            </w:r>
            <w:r>
              <w:rPr>
                <w:rFonts w:hint="eastAsia" w:ascii="Times New Roman" w:hAnsi="Times New Roman" w:eastAsia="宋体"/>
                <w:color w:val="000000" w:themeColor="text1"/>
                <w:sz w:val="24"/>
                <w:szCs w:val="24"/>
                <w:highlight w:val="none"/>
                <w:lang w:eastAsia="zh-CN"/>
                <w14:textFill>
                  <w14:solidFill>
                    <w14:schemeClr w14:val="tx1"/>
                  </w14:solidFill>
                </w14:textFill>
              </w:rPr>
              <w:t>、</w:t>
            </w:r>
            <w:r>
              <w:rPr>
                <w:rFonts w:hint="eastAsia" w:ascii="Times New Roman" w:hAnsi="Times New Roman" w:eastAsia="宋体"/>
                <w:color w:val="000000" w:themeColor="text1"/>
                <w:sz w:val="24"/>
                <w:szCs w:val="24"/>
                <w:highlight w:val="none"/>
                <w14:textFill>
                  <w14:solidFill>
                    <w14:schemeClr w14:val="tx1"/>
                  </w14:solidFill>
                </w14:textFill>
              </w:rPr>
              <w:t>协调</w:t>
            </w:r>
            <w:r>
              <w:rPr>
                <w:rFonts w:hint="eastAsia" w:ascii="Times New Roman" w:hAnsi="Times New Roman" w:eastAsia="宋体"/>
                <w:color w:val="000000" w:themeColor="text1"/>
                <w:sz w:val="24"/>
                <w:szCs w:val="24"/>
                <w:highlight w:val="none"/>
                <w:lang w:eastAsia="zh-CN"/>
                <w14:textFill>
                  <w14:solidFill>
                    <w14:schemeClr w14:val="tx1"/>
                  </w14:solidFill>
                </w14:textFill>
              </w:rPr>
              <w:t>、</w:t>
            </w:r>
            <w:r>
              <w:rPr>
                <w:rFonts w:hint="eastAsia" w:ascii="Times New Roman" w:hAnsi="Times New Roman" w:eastAsia="宋体"/>
                <w:color w:val="000000" w:themeColor="text1"/>
                <w:sz w:val="24"/>
                <w:szCs w:val="24"/>
                <w:highlight w:val="none"/>
                <w14:textFill>
                  <w14:solidFill>
                    <w14:schemeClr w14:val="tx1"/>
                  </w14:solidFill>
                </w14:textFill>
              </w:rPr>
              <w:t>优化</w:t>
            </w:r>
            <w:r>
              <w:rPr>
                <w:rFonts w:hint="eastAsia" w:ascii="宋体" w:hAnsi="宋体" w:cs="宋体" w:eastAsiaTheme="minorEastAsia"/>
                <w:color w:val="000000"/>
                <w:kern w:val="2"/>
                <w:sz w:val="24"/>
                <w:szCs w:val="24"/>
                <w:lang w:val="en-US" w:eastAsia="zh-CN" w:bidi="ar-SA"/>
              </w:rPr>
              <w:t>”的原则，本着遵循先进性、科学性、合理性和可操作性的原则，按照GB/T 1.1-2020《标准化工作导则 第1部分：标准化文件的结构和起草规则》编写。</w:t>
            </w:r>
          </w:p>
          <w:p>
            <w:pPr>
              <w:pStyle w:val="12"/>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（1）本标准符合国家政策，贯彻国家法律法规；</w:t>
            </w:r>
          </w:p>
          <w:p>
            <w:pPr>
              <w:pStyle w:val="12"/>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（2）充分考虑使用要求，标准实施具有可操作性；</w:t>
            </w:r>
          </w:p>
          <w:p>
            <w:pPr>
              <w:pStyle w:val="12"/>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（3）实现</w:t>
            </w:r>
            <w:r>
              <w:rPr>
                <w:rFonts w:hint="eastAsia" w:hAnsi="宋体" w:cs="宋体" w:eastAsiaTheme="minorEastAsia"/>
                <w:color w:val="000000"/>
                <w:kern w:val="2"/>
                <w:sz w:val="24"/>
                <w:szCs w:val="24"/>
                <w:lang w:val="en-US" w:eastAsia="zh-CN" w:bidi="ar-SA"/>
              </w:rPr>
              <w:t>互联网医院服务评价</w:t>
            </w:r>
            <w:r>
              <w:rPr>
                <w:rFonts w:hint="eastAsia" w:ascii="宋体" w:hAnsi="宋体" w:cs="宋体" w:eastAsiaTheme="minorEastAsia"/>
                <w:color w:val="000000"/>
                <w:kern w:val="2"/>
                <w:sz w:val="24"/>
                <w:szCs w:val="24"/>
                <w:lang w:val="en-US" w:eastAsia="zh-CN" w:bidi="ar-SA"/>
              </w:rPr>
              <w:t>工作的标准化、规范化、同质化，增强医院重视度，提高公众透明度</w:t>
            </w:r>
            <w:r>
              <w:rPr>
                <w:rFonts w:hint="eastAsia" w:hAnsi="宋体" w:cs="宋体" w:eastAsiaTheme="minorEastAsia"/>
                <w:color w:val="000000"/>
                <w:kern w:val="2"/>
                <w:sz w:val="24"/>
                <w:szCs w:val="24"/>
                <w:lang w:val="en-US" w:eastAsia="zh-CN" w:bidi="ar-SA"/>
              </w:rPr>
              <w:t>；</w:t>
            </w:r>
            <w:r>
              <w:rPr>
                <w:rFonts w:hint="eastAsia" w:ascii="宋体" w:hAnsi="宋体" w:cs="宋体" w:eastAsiaTheme="minorEastAsia"/>
                <w:color w:val="000000"/>
                <w:kern w:val="2"/>
                <w:sz w:val="24"/>
                <w:szCs w:val="24"/>
                <w:lang w:val="en-US" w:eastAsia="zh-CN" w:bidi="ar-SA"/>
              </w:rPr>
              <w:t>助力我省互联网医院运营向规范化方向发展。</w:t>
            </w:r>
          </w:p>
          <w:p>
            <w:pPr>
              <w:pStyle w:val="12"/>
              <w:adjustRightInd w:val="0"/>
              <w:spacing w:line="360" w:lineRule="auto"/>
              <w:ind w:left="0" w:leftChars="0" w:firstLine="0" w:firstLineChars="0"/>
              <w:contextualSpacing/>
              <w:rPr>
                <w:rFonts w:hint="default"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（二）制定依据</w:t>
            </w:r>
          </w:p>
          <w:p>
            <w:pPr>
              <w:pStyle w:val="12"/>
              <w:adjustRightInd w:val="0"/>
              <w:spacing w:line="360" w:lineRule="auto"/>
              <w:contextualSpacing/>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本标准基于《互联网诊疗监管细则（试行）》（国卫办医发（2022）2号）、《关于印发安徽省互联网诊疗监管实施办法 (试行) 的通知》（皖卫发〔2022〕11 号 ）</w:t>
            </w:r>
            <w:r>
              <w:rPr>
                <w:rFonts w:hint="eastAsia" w:hAnsi="宋体" w:cs="宋体" w:eastAsiaTheme="minorEastAsia"/>
                <w:color w:val="000000"/>
                <w:kern w:val="2"/>
                <w:sz w:val="24"/>
                <w:szCs w:val="24"/>
                <w:lang w:val="en-US" w:eastAsia="zh-CN" w:bidi="ar-SA"/>
              </w:rPr>
              <w:t>、《</w:t>
            </w:r>
            <w:r>
              <w:rPr>
                <w:rFonts w:ascii="宋体" w:hAnsi="宋体" w:eastAsia="宋体" w:cs="宋体"/>
                <w:sz w:val="24"/>
                <w:szCs w:val="24"/>
              </w:rPr>
              <w:t>关于印发安徽省互联网医院管理办法（试行）的通知</w:t>
            </w:r>
            <w:r>
              <w:rPr>
                <w:rFonts w:hint="eastAsia" w:ascii="宋体" w:hAnsi="宋体" w:eastAsia="宋体" w:cs="宋体"/>
                <w:sz w:val="24"/>
                <w:szCs w:val="24"/>
                <w:lang w:eastAsia="zh-CN"/>
              </w:rPr>
              <w:t>》（</w:t>
            </w:r>
            <w:r>
              <w:rPr>
                <w:rFonts w:ascii="宋体" w:hAnsi="宋体" w:eastAsia="宋体" w:cs="宋体"/>
                <w:sz w:val="24"/>
                <w:szCs w:val="24"/>
              </w:rPr>
              <w:t>皖卫医〔2019〕19 号</w:t>
            </w:r>
            <w:r>
              <w:rPr>
                <w:rFonts w:hint="eastAsia" w:ascii="宋体" w:hAnsi="宋体" w:eastAsia="宋体" w:cs="宋体"/>
                <w:sz w:val="24"/>
                <w:szCs w:val="24"/>
                <w:lang w:eastAsia="zh-CN"/>
              </w:rPr>
              <w:t>）</w:t>
            </w:r>
            <w:r>
              <w:rPr>
                <w:rFonts w:hint="eastAsia" w:ascii="宋体" w:hAnsi="宋体" w:cs="宋体" w:eastAsiaTheme="minorEastAsia"/>
                <w:color w:val="000000"/>
                <w:kern w:val="2"/>
                <w:sz w:val="24"/>
                <w:szCs w:val="24"/>
                <w:lang w:val="en-US" w:eastAsia="zh-CN" w:bidi="ar-SA"/>
              </w:rPr>
              <w:t>等文件，结合 DB 34/T 4790-2024《</w:t>
            </w:r>
            <w:r>
              <w:rPr>
                <w:rFonts w:ascii="宋体" w:hAnsi="宋体" w:eastAsia="宋体" w:cs="宋体"/>
                <w:sz w:val="24"/>
                <w:szCs w:val="24"/>
              </w:rPr>
              <w:t>医疗机构互联网医院建设规范</w:t>
            </w:r>
            <w:r>
              <w:rPr>
                <w:rFonts w:hint="eastAsia" w:ascii="宋体" w:hAnsi="宋体" w:eastAsia="宋体" w:cs="宋体"/>
                <w:color w:val="0C0C0C"/>
                <w:kern w:val="0"/>
                <w:sz w:val="24"/>
                <w:szCs w:val="24"/>
                <w:lang w:val="en-US" w:eastAsia="zh-CN" w:bidi="ar"/>
              </w:rPr>
              <w:t>》中相关</w:t>
            </w:r>
            <w:r>
              <w:rPr>
                <w:rFonts w:hint="eastAsia" w:hAnsi="宋体" w:cs="宋体"/>
                <w:color w:val="0C0C0C"/>
                <w:kern w:val="0"/>
                <w:sz w:val="24"/>
                <w:szCs w:val="24"/>
                <w:lang w:val="en-US" w:eastAsia="zh-CN" w:bidi="ar"/>
              </w:rPr>
              <w:t>内容</w:t>
            </w:r>
            <w:r>
              <w:rPr>
                <w:rFonts w:hint="eastAsia" w:ascii="宋体" w:hAnsi="宋体" w:eastAsia="宋体" w:cs="宋体"/>
                <w:color w:val="0C0C0C"/>
                <w:kern w:val="0"/>
                <w:sz w:val="24"/>
                <w:szCs w:val="24"/>
                <w:lang w:val="en-US" w:eastAsia="zh-CN" w:bidi="ar"/>
              </w:rPr>
              <w:t>制定</w:t>
            </w:r>
            <w:r>
              <w:rPr>
                <w:rFonts w:hint="eastAsia" w:hAnsi="宋体" w:cs="宋体"/>
                <w:color w:val="0C0C0C"/>
                <w:kern w:val="0"/>
                <w:sz w:val="24"/>
                <w:szCs w:val="24"/>
                <w:lang w:val="en-US" w:eastAsia="zh-CN" w:bidi="ar"/>
              </w:rPr>
              <w:t>本评价规范</w:t>
            </w:r>
            <w:r>
              <w:rPr>
                <w:rFonts w:hint="eastAsia" w:ascii="宋体" w:hAnsi="宋体" w:eastAsia="宋体" w:cs="宋体"/>
                <w:color w:val="0C0C0C"/>
                <w:kern w:val="0"/>
                <w:sz w:val="24"/>
                <w:szCs w:val="24"/>
                <w:lang w:val="en-US" w:eastAsia="zh-CN" w:bidi="ar"/>
              </w:rPr>
              <w:t>。</w:t>
            </w:r>
          </w:p>
          <w:p>
            <w:pPr>
              <w:pStyle w:val="12"/>
              <w:adjustRightInd w:val="0"/>
              <w:spacing w:line="360" w:lineRule="auto"/>
              <w:ind w:left="0" w:leftChars="0" w:firstLine="0" w:firstLineChars="0"/>
              <w:contextualSpacing/>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（三）本标准与现行法律法规</w:t>
            </w:r>
          </w:p>
          <w:p>
            <w:pPr>
              <w:pStyle w:val="12"/>
              <w:keepNext w:val="0"/>
              <w:keepLines w:val="0"/>
              <w:pageBreakBefore w:val="0"/>
              <w:widowControl/>
              <w:wordWrap/>
              <w:overflowPunct/>
              <w:topLinePunct w:val="0"/>
              <w:autoSpaceDE w:val="0"/>
              <w:autoSpaceDN w:val="0"/>
              <w:bidi w:val="0"/>
              <w:spacing w:line="360" w:lineRule="auto"/>
              <w:ind w:left="0" w:leftChars="0" w:firstLine="720" w:firstLineChars="300"/>
              <w:jc w:val="left"/>
              <w:rPr>
                <w:rFonts w:hint="default" w:ascii="Times New Roman" w:hAnsi="Times New Roman" w:eastAsia="宋体" w:cs="Times New Roman"/>
                <w:kern w:val="0"/>
                <w:sz w:val="24"/>
                <w:szCs w:val="21"/>
                <w:lang w:val="en-US" w:eastAsia="zh-CN" w:bidi="ar-SA"/>
              </w:rPr>
            </w:pPr>
            <w:r>
              <w:rPr>
                <w:rFonts w:hint="eastAsia" w:ascii="宋体" w:hAnsi="宋体" w:cs="宋体" w:eastAsiaTheme="minorEastAsia"/>
                <w:color w:val="000000"/>
                <w:kern w:val="2"/>
                <w:sz w:val="24"/>
                <w:szCs w:val="24"/>
                <w:lang w:val="en-US" w:eastAsia="zh-CN" w:bidi="ar-SA"/>
              </w:rPr>
              <w:t>本标准遵循现行法律法规的规定，与现行法律法规、标准无冲突，符合国家相关法规和标准的有关规定。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4、主要条款的说明，主要技术指标、参数、试验验证的论述（详细说明）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pStyle w:val="12"/>
              <w:keepNext w:val="0"/>
              <w:keepLines w:val="0"/>
              <w:pageBreakBefore w:val="0"/>
              <w:widowControl/>
              <w:wordWrap/>
              <w:overflowPunct/>
              <w:topLinePunct w:val="0"/>
              <w:autoSpaceDE w:val="0"/>
              <w:autoSpaceDN w:val="0"/>
              <w:bidi w:val="0"/>
              <w:spacing w:line="360" w:lineRule="auto"/>
              <w:ind w:left="0" w:leftChars="0" w:firstLine="480" w:firstLineChars="200"/>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本标准是在</w:t>
            </w:r>
            <w:r>
              <w:rPr>
                <w:rFonts w:hint="eastAsia" w:hAnsi="宋体" w:cs="宋体" w:eastAsiaTheme="minorEastAsia"/>
                <w:color w:val="000000"/>
                <w:kern w:val="2"/>
                <w:sz w:val="24"/>
                <w:szCs w:val="24"/>
                <w:lang w:val="en-US" w:eastAsia="zh-CN" w:bidi="ar-SA"/>
              </w:rPr>
              <w:t>调研安徽省互联网医院医疗服务的</w:t>
            </w:r>
            <w:r>
              <w:rPr>
                <w:rFonts w:hint="eastAsia" w:ascii="宋体" w:hAnsi="宋体" w:cs="宋体" w:eastAsiaTheme="minorEastAsia"/>
                <w:color w:val="000000"/>
                <w:kern w:val="2"/>
                <w:sz w:val="24"/>
                <w:szCs w:val="24"/>
                <w:lang w:val="en-US" w:eastAsia="zh-CN" w:bidi="ar-SA"/>
              </w:rPr>
              <w:t>实际情况基础上，采</w:t>
            </w:r>
            <w:r>
              <w:rPr>
                <w:rFonts w:hint="eastAsia" w:hAnsi="宋体" w:cs="宋体" w:eastAsiaTheme="minorEastAsia"/>
                <w:color w:val="000000"/>
                <w:kern w:val="2"/>
                <w:sz w:val="24"/>
                <w:szCs w:val="24"/>
                <w:lang w:val="en-US" w:eastAsia="zh-CN" w:bidi="ar-SA"/>
              </w:rPr>
              <w:t>取</w:t>
            </w:r>
            <w:r>
              <w:rPr>
                <w:rFonts w:hint="eastAsia" w:ascii="Times New Roman" w:cs="Times New Roman"/>
                <w:kern w:val="0"/>
                <w:sz w:val="24"/>
                <w:szCs w:val="21"/>
                <w:lang w:val="en-US" w:eastAsia="zh-CN" w:bidi="ar-SA"/>
              </w:rPr>
              <w:t>督查、会议讨论、数据统计分析等方法对评价标准的指标、分值分布等进行了综合考虑</w:t>
            </w:r>
            <w:r>
              <w:rPr>
                <w:rFonts w:hint="eastAsia" w:ascii="宋体" w:hAnsi="宋体" w:cs="宋体" w:eastAsiaTheme="minorEastAsia"/>
                <w:color w:val="000000"/>
                <w:kern w:val="2"/>
                <w:sz w:val="24"/>
                <w:szCs w:val="24"/>
                <w:lang w:val="en-US" w:eastAsia="zh-CN" w:bidi="ar-SA"/>
              </w:rPr>
              <w:t>和分析论证</w:t>
            </w:r>
            <w:r>
              <w:rPr>
                <w:rFonts w:hint="eastAsia" w:hAnsi="宋体" w:cs="宋体" w:eastAsiaTheme="minorEastAsia"/>
                <w:color w:val="000000"/>
                <w:kern w:val="2"/>
                <w:sz w:val="24"/>
                <w:szCs w:val="24"/>
                <w:lang w:val="en-US" w:eastAsia="zh-CN" w:bidi="ar-SA"/>
              </w:rPr>
              <w:t>，从而进行</w:t>
            </w:r>
            <w:r>
              <w:rPr>
                <w:rFonts w:hint="eastAsia" w:ascii="宋体" w:hAnsi="宋体" w:cs="宋体" w:eastAsiaTheme="minorEastAsia"/>
                <w:color w:val="000000"/>
                <w:kern w:val="2"/>
                <w:sz w:val="24"/>
                <w:szCs w:val="24"/>
                <w:lang w:val="en-US" w:eastAsia="zh-CN" w:bidi="ar-SA"/>
              </w:rPr>
              <w:t>研究编制的。本标准在起草编写过程中积极听取并采纳了有关专家、学者的意见和建议。本标准在起草过程中进行多次修改，最终形成了本次文稿。具体介绍和说明如下：</w:t>
            </w:r>
          </w:p>
          <w:p>
            <w:pPr>
              <w:pStyle w:val="12"/>
              <w:keepNext w:val="0"/>
              <w:keepLines w:val="0"/>
              <w:pageBreakBefore w:val="0"/>
              <w:widowControl/>
              <w:wordWrap/>
              <w:overflowPunct/>
              <w:topLinePunct w:val="0"/>
              <w:autoSpaceDE w:val="0"/>
              <w:autoSpaceDN w:val="0"/>
              <w:bidi w:val="0"/>
              <w:spacing w:line="360" w:lineRule="auto"/>
              <w:ind w:left="0" w:leftChars="0" w:firstLine="480" w:firstLineChars="200"/>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（一）主要条款</w:t>
            </w:r>
          </w:p>
          <w:p>
            <w:pPr>
              <w:pStyle w:val="12"/>
              <w:keepNext w:val="0"/>
              <w:keepLines w:val="0"/>
              <w:pageBreakBefore w:val="0"/>
              <w:widowControl/>
              <w:wordWrap/>
              <w:overflowPunct/>
              <w:topLinePunct w:val="0"/>
              <w:autoSpaceDE w:val="0"/>
              <w:autoSpaceDN w:val="0"/>
              <w:bidi w:val="0"/>
              <w:spacing w:line="360" w:lineRule="auto"/>
              <w:jc w:val="left"/>
              <w:rPr>
                <w:rFonts w:hint="default"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本标准的章节由：范围、规范性引用文件、术语和定义、</w:t>
            </w:r>
            <w:r>
              <w:rPr>
                <w:rFonts w:hint="eastAsia" w:hAnsi="宋体" w:cs="宋体" w:eastAsiaTheme="minorEastAsia"/>
                <w:color w:val="000000"/>
                <w:kern w:val="2"/>
                <w:sz w:val="24"/>
                <w:szCs w:val="24"/>
                <w:lang w:val="en-US" w:eastAsia="zh-CN" w:bidi="ar-SA"/>
              </w:rPr>
              <w:t>服务评价等级划分</w:t>
            </w:r>
            <w:r>
              <w:rPr>
                <w:rFonts w:hint="eastAsia" w:ascii="宋体" w:hAnsi="宋体" w:cs="宋体" w:eastAsiaTheme="minorEastAsia"/>
                <w:color w:val="000000"/>
                <w:kern w:val="2"/>
                <w:sz w:val="24"/>
                <w:szCs w:val="24"/>
                <w:lang w:val="en-US" w:eastAsia="zh-CN" w:bidi="ar-SA"/>
              </w:rPr>
              <w:t>、</w:t>
            </w:r>
            <w:r>
              <w:rPr>
                <w:rFonts w:hint="eastAsia" w:hAnsi="宋体" w:cs="宋体" w:eastAsiaTheme="minorEastAsia"/>
                <w:color w:val="000000"/>
                <w:kern w:val="2"/>
                <w:sz w:val="24"/>
                <w:szCs w:val="24"/>
                <w:lang w:val="en-US" w:eastAsia="zh-CN" w:bidi="ar-SA"/>
              </w:rPr>
              <w:t>评价原则、评价要求、评价指标、</w:t>
            </w:r>
            <w:r>
              <w:rPr>
                <w:rFonts w:hint="eastAsia" w:ascii="宋体" w:hAnsi="宋体" w:cs="宋体" w:eastAsiaTheme="minorEastAsia"/>
                <w:color w:val="000000"/>
                <w:kern w:val="2"/>
                <w:sz w:val="24"/>
                <w:szCs w:val="24"/>
                <w:lang w:val="en-US" w:eastAsia="zh-CN" w:bidi="ar-SA"/>
              </w:rPr>
              <w:t>评价实施组成。其中“评价</w:t>
            </w:r>
            <w:r>
              <w:rPr>
                <w:rFonts w:hint="eastAsia" w:hAnsi="宋体" w:cs="宋体" w:eastAsiaTheme="minorEastAsia"/>
                <w:color w:val="000000"/>
                <w:kern w:val="2"/>
                <w:sz w:val="24"/>
                <w:szCs w:val="24"/>
                <w:lang w:val="en-US" w:eastAsia="zh-CN" w:bidi="ar-SA"/>
              </w:rPr>
              <w:t>要求</w:t>
            </w:r>
            <w:r>
              <w:rPr>
                <w:rFonts w:hint="eastAsia" w:ascii="宋体" w:hAnsi="宋体" w:cs="宋体" w:eastAsiaTheme="minorEastAsia"/>
                <w:color w:val="000000"/>
                <w:kern w:val="2"/>
                <w:sz w:val="24"/>
                <w:szCs w:val="24"/>
                <w:lang w:val="en-US" w:eastAsia="zh-CN" w:bidi="ar-SA"/>
              </w:rPr>
              <w:t>”和“评价</w:t>
            </w:r>
            <w:r>
              <w:rPr>
                <w:rFonts w:hint="eastAsia" w:hAnsi="宋体" w:cs="宋体" w:eastAsiaTheme="minorEastAsia"/>
                <w:color w:val="000000"/>
                <w:kern w:val="2"/>
                <w:sz w:val="24"/>
                <w:szCs w:val="24"/>
                <w:lang w:val="en-US" w:eastAsia="zh-CN" w:bidi="ar-SA"/>
              </w:rPr>
              <w:t>指标</w:t>
            </w:r>
            <w:r>
              <w:rPr>
                <w:rFonts w:hint="eastAsia" w:ascii="宋体" w:hAnsi="宋体" w:cs="宋体" w:eastAsiaTheme="minorEastAsia"/>
                <w:color w:val="000000"/>
                <w:kern w:val="2"/>
                <w:sz w:val="24"/>
                <w:szCs w:val="24"/>
                <w:lang w:val="en-US" w:eastAsia="zh-CN" w:bidi="ar-SA"/>
              </w:rPr>
              <w:t>”是本标准的关键内容。</w:t>
            </w:r>
          </w:p>
          <w:p>
            <w:pPr>
              <w:pStyle w:val="12"/>
              <w:keepNext w:val="0"/>
              <w:keepLines w:val="0"/>
              <w:pageBreakBefore w:val="0"/>
              <w:widowControl/>
              <w:wordWrap/>
              <w:overflowPunct/>
              <w:topLinePunct w:val="0"/>
              <w:autoSpaceDE w:val="0"/>
              <w:autoSpaceDN w:val="0"/>
              <w:bidi w:val="0"/>
              <w:spacing w:line="360" w:lineRule="auto"/>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（二）主要条款的说明</w:t>
            </w:r>
          </w:p>
          <w:p>
            <w:pPr>
              <w:pStyle w:val="12"/>
              <w:keepNext w:val="0"/>
              <w:keepLines w:val="0"/>
              <w:pageBreakBefore w:val="0"/>
              <w:widowControl/>
              <w:wordWrap/>
              <w:overflowPunct/>
              <w:topLinePunct w:val="0"/>
              <w:autoSpaceDE w:val="0"/>
              <w:autoSpaceDN w:val="0"/>
              <w:bidi w:val="0"/>
              <w:spacing w:line="360" w:lineRule="auto"/>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1.术语和定义：对标准的重要术语或易产生歧义的术语给出了相关定义，明确了“互联网诊疗”、“诊疗服务”内涵。</w:t>
            </w:r>
          </w:p>
          <w:p>
            <w:pPr>
              <w:pStyle w:val="12"/>
              <w:keepNext w:val="0"/>
              <w:keepLines w:val="0"/>
              <w:pageBreakBefore w:val="0"/>
              <w:widowControl/>
              <w:wordWrap/>
              <w:overflowPunct/>
              <w:topLinePunct w:val="0"/>
              <w:autoSpaceDE w:val="0"/>
              <w:autoSpaceDN w:val="0"/>
              <w:bidi w:val="0"/>
              <w:spacing w:line="360" w:lineRule="auto"/>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2.</w:t>
            </w:r>
            <w:r>
              <w:rPr>
                <w:rFonts w:hint="eastAsia" w:hAnsi="宋体" w:cs="宋体" w:eastAsiaTheme="minorEastAsia"/>
                <w:color w:val="000000"/>
                <w:kern w:val="2"/>
                <w:sz w:val="24"/>
                <w:szCs w:val="24"/>
                <w:lang w:val="en-US" w:eastAsia="zh-CN" w:bidi="ar-SA"/>
              </w:rPr>
              <w:t>服务评价等级划分</w:t>
            </w:r>
            <w:r>
              <w:rPr>
                <w:rFonts w:hint="eastAsia" w:ascii="宋体" w:hAnsi="宋体" w:cs="宋体" w:eastAsiaTheme="minorEastAsia"/>
                <w:color w:val="000000"/>
                <w:kern w:val="2"/>
                <w:sz w:val="24"/>
                <w:szCs w:val="24"/>
                <w:lang w:val="en-US" w:eastAsia="zh-CN" w:bidi="ar-SA"/>
              </w:rPr>
              <w:t>：</w:t>
            </w:r>
            <w:bookmarkStart w:id="3" w:name="OLE_LINK19"/>
            <w:r>
              <w:rPr>
                <w:rFonts w:hint="eastAsia" w:hAnsi="宋体" w:cs="宋体" w:eastAsiaTheme="minorEastAsia"/>
                <w:color w:val="000000"/>
                <w:kern w:val="2"/>
                <w:sz w:val="24"/>
                <w:szCs w:val="24"/>
                <w:lang w:val="en-US" w:eastAsia="zh-CN" w:bidi="ar-SA"/>
              </w:rPr>
              <w:t>本章节通过对互联网医院服务评价指标的综合打分，按档划分，是互联网医院服务等级划分的依据</w:t>
            </w:r>
            <w:r>
              <w:rPr>
                <w:rFonts w:hint="eastAsia" w:ascii="宋体" w:hAnsi="宋体" w:cs="宋体" w:eastAsiaTheme="minorEastAsia"/>
                <w:color w:val="000000"/>
                <w:kern w:val="2"/>
                <w:sz w:val="24"/>
                <w:szCs w:val="24"/>
                <w:lang w:val="en-US" w:eastAsia="zh-CN" w:bidi="ar-SA"/>
              </w:rPr>
              <w:t>。</w:t>
            </w:r>
          </w:p>
          <w:bookmarkEnd w:id="3"/>
          <w:p>
            <w:pPr>
              <w:pStyle w:val="12"/>
              <w:keepNext w:val="0"/>
              <w:keepLines w:val="0"/>
              <w:pageBreakBefore w:val="0"/>
              <w:widowControl/>
              <w:wordWrap/>
              <w:overflowPunct/>
              <w:topLinePunct w:val="0"/>
              <w:autoSpaceDE w:val="0"/>
              <w:autoSpaceDN w:val="0"/>
              <w:bidi w:val="0"/>
              <w:spacing w:line="360" w:lineRule="auto"/>
              <w:jc w:val="left"/>
              <w:rPr>
                <w:rFonts w:hint="default"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3.评价</w:t>
            </w:r>
            <w:r>
              <w:rPr>
                <w:rFonts w:hint="eastAsia" w:hAnsi="宋体" w:cs="宋体" w:eastAsiaTheme="minorEastAsia"/>
                <w:color w:val="000000"/>
                <w:kern w:val="2"/>
                <w:sz w:val="24"/>
                <w:szCs w:val="24"/>
                <w:lang w:val="en-US" w:eastAsia="zh-CN" w:bidi="ar-SA"/>
              </w:rPr>
              <w:t>要求</w:t>
            </w:r>
            <w:r>
              <w:rPr>
                <w:rFonts w:hint="eastAsia" w:ascii="宋体" w:hAnsi="宋体" w:cs="宋体" w:eastAsiaTheme="minorEastAsia"/>
                <w:color w:val="000000"/>
                <w:kern w:val="2"/>
                <w:sz w:val="24"/>
                <w:szCs w:val="24"/>
                <w:lang w:val="en-US" w:eastAsia="zh-CN" w:bidi="ar-SA"/>
              </w:rPr>
              <w:t>：本部分对</w:t>
            </w:r>
            <w:r>
              <w:rPr>
                <w:rFonts w:hint="eastAsia" w:hAnsi="宋体" w:cs="宋体" w:eastAsiaTheme="minorEastAsia"/>
                <w:color w:val="000000"/>
                <w:kern w:val="2"/>
                <w:sz w:val="24"/>
                <w:szCs w:val="24"/>
                <w:lang w:val="en-US" w:eastAsia="zh-CN" w:bidi="ar-SA"/>
              </w:rPr>
              <w:t>互联网医院服务评价的基本要求、评价人员、评价主体、</w:t>
            </w:r>
            <w:r>
              <w:rPr>
                <w:rFonts w:hint="eastAsia" w:ascii="宋体" w:hAnsi="宋体" w:cs="宋体" w:eastAsiaTheme="minorEastAsia"/>
                <w:color w:val="000000"/>
                <w:kern w:val="2"/>
                <w:sz w:val="24"/>
                <w:szCs w:val="24"/>
                <w:lang w:val="en-US" w:eastAsia="zh-CN" w:bidi="ar-SA"/>
              </w:rPr>
              <w:t>评价</w:t>
            </w:r>
            <w:r>
              <w:rPr>
                <w:rFonts w:hint="eastAsia" w:hAnsi="宋体" w:cs="宋体" w:eastAsiaTheme="minorEastAsia"/>
                <w:color w:val="000000"/>
                <w:kern w:val="2"/>
                <w:sz w:val="24"/>
                <w:szCs w:val="24"/>
                <w:lang w:val="en-US" w:eastAsia="zh-CN" w:bidi="ar-SA"/>
              </w:rPr>
              <w:t>方式和方法等</w:t>
            </w:r>
            <w:r>
              <w:rPr>
                <w:rFonts w:hint="eastAsia" w:ascii="宋体" w:hAnsi="宋体" w:cs="宋体" w:eastAsiaTheme="minorEastAsia"/>
                <w:color w:val="000000"/>
                <w:kern w:val="2"/>
                <w:sz w:val="24"/>
                <w:szCs w:val="24"/>
                <w:lang w:val="en-US" w:eastAsia="zh-CN" w:bidi="ar-SA"/>
              </w:rPr>
              <w:t>进行了规定。评价</w:t>
            </w:r>
            <w:r>
              <w:rPr>
                <w:rFonts w:hint="eastAsia" w:hAnsi="宋体" w:cs="宋体" w:eastAsiaTheme="minorEastAsia"/>
                <w:color w:val="000000"/>
                <w:kern w:val="2"/>
                <w:sz w:val="24"/>
                <w:szCs w:val="24"/>
                <w:lang w:val="en-US" w:eastAsia="zh-CN" w:bidi="ar-SA"/>
              </w:rPr>
              <w:t>采取</w:t>
            </w:r>
            <w:r>
              <w:rPr>
                <w:rFonts w:hint="eastAsia" w:ascii="宋体" w:hAnsi="宋体" w:cs="宋体" w:eastAsiaTheme="minorEastAsia"/>
                <w:color w:val="000000"/>
                <w:kern w:val="2"/>
                <w:sz w:val="24"/>
                <w:szCs w:val="24"/>
                <w:lang w:val="en-US" w:eastAsia="zh-CN" w:bidi="ar-SA"/>
              </w:rPr>
              <w:t>远程评价、实地查验、随机抽查等方式。</w:t>
            </w:r>
            <w:r>
              <w:rPr>
                <w:rFonts w:hint="eastAsia" w:hAnsi="宋体" w:cs="宋体" w:eastAsiaTheme="minorEastAsia"/>
                <w:color w:val="000000"/>
                <w:kern w:val="2"/>
                <w:sz w:val="24"/>
                <w:szCs w:val="24"/>
                <w:lang w:val="en-US" w:eastAsia="zh-CN" w:bidi="ar-SA"/>
              </w:rPr>
              <w:t>评价工作由省或市（地）卫生健康主管部门或其指定互联网诊疗管理质控中心具体负责实施，可与互联网医院的校验同步进行。</w:t>
            </w:r>
          </w:p>
          <w:p>
            <w:pPr>
              <w:pStyle w:val="12"/>
              <w:keepNext w:val="0"/>
              <w:keepLines w:val="0"/>
              <w:pageBreakBefore w:val="0"/>
              <w:widowControl/>
              <w:wordWrap/>
              <w:overflowPunct/>
              <w:topLinePunct w:val="0"/>
              <w:autoSpaceDE w:val="0"/>
              <w:autoSpaceDN w:val="0"/>
              <w:bidi w:val="0"/>
              <w:spacing w:line="360" w:lineRule="auto"/>
              <w:jc w:val="left"/>
              <w:rPr>
                <w:rFonts w:hint="default"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4.评价指标：</w:t>
            </w:r>
            <w:r>
              <w:rPr>
                <w:rFonts w:hint="eastAsia" w:hAnsi="宋体" w:cs="宋体" w:eastAsiaTheme="minorEastAsia"/>
                <w:color w:val="000000"/>
                <w:kern w:val="2"/>
                <w:sz w:val="24"/>
                <w:szCs w:val="24"/>
                <w:lang w:val="en-US" w:eastAsia="zh-CN" w:bidi="ar-SA"/>
              </w:rPr>
              <w:t>分为定性指标和定量指标</w:t>
            </w:r>
            <w:r>
              <w:rPr>
                <w:rFonts w:hint="eastAsia" w:ascii="宋体" w:hAnsi="宋体" w:cs="宋体" w:eastAsiaTheme="minorEastAsia"/>
                <w:color w:val="000000"/>
                <w:kern w:val="2"/>
                <w:sz w:val="24"/>
                <w:szCs w:val="24"/>
                <w:lang w:val="en-US" w:eastAsia="zh-CN" w:bidi="ar-SA"/>
              </w:rPr>
              <w:t>。</w:t>
            </w:r>
            <w:r>
              <w:rPr>
                <w:rFonts w:hint="eastAsia" w:hAnsi="宋体" w:cs="宋体" w:eastAsiaTheme="minorEastAsia"/>
                <w:color w:val="000000"/>
                <w:kern w:val="2"/>
                <w:sz w:val="24"/>
                <w:szCs w:val="24"/>
                <w:lang w:val="en-US" w:eastAsia="zh-CN" w:bidi="ar-SA"/>
              </w:rPr>
              <w:t>定性指标为互联网医院的校验内容、定量指标分别从服务内容、运营情况、质量监督、服务评价、拓展服务等方面开展。</w:t>
            </w:r>
          </w:p>
          <w:p>
            <w:pPr>
              <w:pStyle w:val="12"/>
              <w:keepNext w:val="0"/>
              <w:keepLines w:val="0"/>
              <w:pageBreakBefore w:val="0"/>
              <w:widowControl/>
              <w:wordWrap/>
              <w:overflowPunct/>
              <w:topLinePunct w:val="0"/>
              <w:autoSpaceDE w:val="0"/>
              <w:autoSpaceDN w:val="0"/>
              <w:bidi w:val="0"/>
              <w:spacing w:line="360" w:lineRule="auto"/>
              <w:ind w:left="479" w:leftChars="228" w:firstLine="0" w:firstLineChars="0"/>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5.评分计算：根据护理科普教育基地管理要求，规定了护理科普教育评价总分及细则</w:t>
            </w:r>
            <w:r>
              <w:rPr>
                <w:rFonts w:hint="eastAsia" w:hAnsi="宋体" w:cs="宋体" w:eastAsiaTheme="minorEastAsia"/>
                <w:color w:val="000000"/>
                <w:kern w:val="2"/>
                <w:sz w:val="24"/>
                <w:szCs w:val="24"/>
                <w:lang w:val="en-US" w:eastAsia="zh-CN" w:bidi="ar-SA"/>
              </w:rPr>
              <w:t>。</w:t>
            </w:r>
            <w:r>
              <w:rPr>
                <w:rFonts w:hint="eastAsia" w:ascii="宋体" w:hAnsi="宋体" w:cs="宋体" w:eastAsiaTheme="minorEastAsia"/>
                <w:color w:val="000000"/>
                <w:kern w:val="2"/>
                <w:sz w:val="24"/>
                <w:szCs w:val="24"/>
                <w:lang w:val="en-US" w:eastAsia="zh-CN" w:bidi="ar-SA"/>
              </w:rPr>
              <w:t>6.评价实施：包括</w:t>
            </w:r>
            <w:r>
              <w:rPr>
                <w:rFonts w:hint="eastAsia" w:hAnsi="宋体" w:cs="宋体" w:eastAsiaTheme="minorEastAsia"/>
                <w:color w:val="000000"/>
                <w:kern w:val="2"/>
                <w:sz w:val="24"/>
                <w:szCs w:val="24"/>
                <w:lang w:val="en-US" w:eastAsia="zh-CN" w:bidi="ar-SA"/>
              </w:rPr>
              <w:t>评价发起、等级确定</w:t>
            </w:r>
            <w:r>
              <w:rPr>
                <w:rFonts w:hint="eastAsia" w:ascii="宋体" w:hAnsi="宋体" w:cs="宋体" w:eastAsiaTheme="minorEastAsia"/>
                <w:color w:val="000000"/>
                <w:kern w:val="2"/>
                <w:sz w:val="24"/>
                <w:szCs w:val="24"/>
                <w:lang w:val="en-US" w:eastAsia="zh-CN" w:bidi="ar-SA"/>
              </w:rPr>
              <w:t>、</w:t>
            </w:r>
            <w:r>
              <w:rPr>
                <w:rFonts w:hint="eastAsia" w:hAnsi="宋体" w:cs="宋体" w:eastAsiaTheme="minorEastAsia"/>
                <w:color w:val="000000"/>
                <w:kern w:val="2"/>
                <w:sz w:val="24"/>
                <w:szCs w:val="24"/>
                <w:lang w:val="en-US" w:eastAsia="zh-CN" w:bidi="ar-SA"/>
              </w:rPr>
              <w:t>结果发布等</w:t>
            </w:r>
            <w:r>
              <w:rPr>
                <w:rFonts w:hint="eastAsia" w:ascii="宋体" w:hAnsi="宋体" w:cs="宋体" w:eastAsiaTheme="minorEastAsia"/>
                <w:color w:val="000000"/>
                <w:kern w:val="2"/>
                <w:sz w:val="24"/>
                <w:szCs w:val="24"/>
                <w:lang w:val="en-US" w:eastAsia="zh-CN" w:bidi="ar-SA"/>
              </w:rPr>
              <w:t>内容。</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t>标准内容能满足互联网医院服务及质量管理的综合评价的需求，标准内容符合安徽省地方发展需求并根据互联网医院服务监管内容进行了细化和分类，易于实践操作与运用。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4" w:name="_Toc464905613"/>
            <w:bookmarkStart w:id="5" w:name="_Toc464905809"/>
            <w:bookmarkStart w:id="6" w:name="_Toc465074266"/>
            <w:bookmarkStart w:id="7" w:name="_Toc464905557"/>
            <w:bookmarkStart w:id="8" w:name="_Toc464902852"/>
            <w:r>
              <w:rPr>
                <w:rFonts w:hint="eastAsia" w:ascii="Times New Roman" w:hAnsi="Times New Roman" w:eastAsia="宋体" w:cs="Times New Roman"/>
                <w:b/>
                <w:bCs/>
                <w:kern w:val="0"/>
                <w:sz w:val="24"/>
                <w:szCs w:val="21"/>
                <w:lang w:val="en-US" w:eastAsia="zh-CN" w:bidi="ar-SA"/>
              </w:rPr>
              <w:t>5、标准中如果涉及专利，应有明确的知识产权说明</w:t>
            </w:r>
            <w:bookmarkEnd w:id="4"/>
            <w:bookmarkEnd w:id="5"/>
            <w:bookmarkEnd w:id="6"/>
            <w:bookmarkEnd w:id="7"/>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9" w:name="_Toc465074267"/>
            <w:bookmarkStart w:id="10" w:name="_Toc464905810"/>
            <w:bookmarkStart w:id="11" w:name="_Toc464902853"/>
            <w:bookmarkStart w:id="12" w:name="_Toc464905614"/>
            <w:bookmarkStart w:id="13" w:name="_Toc464905558"/>
            <w:r>
              <w:rPr>
                <w:rFonts w:hint="eastAsia" w:ascii="Times New Roman" w:hAnsi="Times New Roman" w:eastAsia="宋体" w:cs="Times New Roman"/>
                <w:b/>
                <w:bCs/>
                <w:kern w:val="0"/>
                <w:sz w:val="24"/>
                <w:szCs w:val="21"/>
                <w:lang w:val="en-US" w:eastAsia="zh-CN" w:bidi="ar-SA"/>
              </w:rPr>
              <w:t>6、采用国际标准或国外先进标准的，说明采标程度，以及国内外同类标准水平的对比情况</w:t>
            </w:r>
            <w:bookmarkEnd w:id="9"/>
            <w:bookmarkEnd w:id="10"/>
            <w:bookmarkEnd w:id="11"/>
            <w:bookmarkEnd w:id="12"/>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14" w:name="_Toc464905811"/>
            <w:bookmarkStart w:id="15" w:name="_Toc464902854"/>
            <w:bookmarkStart w:id="16" w:name="_Toc464905559"/>
            <w:bookmarkStart w:id="17" w:name="_Toc465074268"/>
            <w:bookmarkStart w:id="18" w:name="_Toc464905615"/>
            <w:r>
              <w:rPr>
                <w:rFonts w:hint="eastAsia" w:ascii="Times New Roman" w:hAnsi="Times New Roman" w:eastAsia="宋体" w:cs="Times New Roman"/>
                <w:b/>
                <w:bCs/>
                <w:kern w:val="0"/>
                <w:sz w:val="24"/>
                <w:szCs w:val="21"/>
                <w:lang w:val="en-US" w:eastAsia="zh-CN" w:bidi="ar-SA"/>
              </w:rPr>
              <w:t>7、重大分歧意见的处理经过和依据</w:t>
            </w:r>
            <w:bookmarkEnd w:id="14"/>
            <w:bookmarkEnd w:id="15"/>
            <w:bookmarkEnd w:id="16"/>
            <w:bookmarkEnd w:id="17"/>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19" w:name="_Toc464905560"/>
            <w:bookmarkStart w:id="20" w:name="_Toc464902855"/>
            <w:bookmarkStart w:id="21" w:name="_Toc464905812"/>
            <w:bookmarkStart w:id="22" w:name="_Toc465074269"/>
            <w:bookmarkStart w:id="23" w:name="_Toc464905616"/>
            <w:r>
              <w:rPr>
                <w:rFonts w:hint="eastAsia" w:ascii="Times New Roman" w:hAnsi="Times New Roman" w:eastAsia="宋体" w:cs="Times New Roman"/>
                <w:b/>
                <w:bCs/>
                <w:kern w:val="0"/>
                <w:sz w:val="24"/>
                <w:szCs w:val="21"/>
                <w:lang w:val="en-US" w:eastAsia="zh-CN" w:bidi="ar-SA"/>
              </w:rPr>
              <w:t>8、贯彻标准的要求和措施建议（包括组织措施、技术措施、过渡办法、实施日期等）</w:t>
            </w:r>
            <w:bookmarkEnd w:id="19"/>
            <w:bookmarkEnd w:id="20"/>
            <w:bookmarkEnd w:id="21"/>
            <w:bookmarkEnd w:id="22"/>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spacing w:line="360" w:lineRule="auto"/>
              <w:rPr>
                <w:rFonts w:ascii="宋体"/>
                <w:b w:val="0"/>
                <w:bCs w:val="0"/>
                <w:color w:val="000000" w:themeColor="text1"/>
                <w:sz w:val="24"/>
                <w:szCs w:val="24"/>
                <w14:textFill>
                  <w14:solidFill>
                    <w14:schemeClr w14:val="tx1"/>
                  </w14:solidFill>
                </w14:textFill>
              </w:rPr>
            </w:pP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lang w:val="en-US" w:eastAsia="zh-CN"/>
                <w14:textFill>
                  <w14:solidFill>
                    <w14:schemeClr w14:val="tx1"/>
                  </w14:solidFill>
                </w14:textFill>
              </w:rPr>
              <w:t>一</w:t>
            </w: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14:textFill>
                  <w14:solidFill>
                    <w14:schemeClr w14:val="tx1"/>
                  </w14:solidFill>
                </w14:textFill>
              </w:rPr>
              <w:t>组织措施</w:t>
            </w:r>
          </w:p>
          <w:p>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本标准一经发布，标准起草单位将在安徽</w:t>
            </w:r>
            <w:r>
              <w:rPr>
                <w:rFonts w:hint="eastAsia" w:ascii="宋体"/>
                <w:color w:val="000000" w:themeColor="text1"/>
                <w:sz w:val="24"/>
                <w:szCs w:val="24"/>
                <w:highlight w:val="none"/>
                <w14:textFill>
                  <w14:solidFill>
                    <w14:schemeClr w14:val="tx1"/>
                  </w14:solidFill>
                </w14:textFill>
              </w:rPr>
              <w:t>省卫生健康委员会、安徽省市场监督管理局的协调推进下，配合开展《</w:t>
            </w:r>
            <w:r>
              <w:rPr>
                <w:rFonts w:hint="eastAsia" w:ascii="宋体"/>
                <w:color w:val="000000" w:themeColor="text1"/>
                <w:sz w:val="24"/>
                <w:szCs w:val="24"/>
                <w:highlight w:val="none"/>
                <w:lang w:val="en-US" w:eastAsia="zh-CN"/>
                <w14:textFill>
                  <w14:solidFill>
                    <w14:schemeClr w14:val="tx1"/>
                  </w14:solidFill>
                </w14:textFill>
              </w:rPr>
              <w:t>互联网医院服务评价规范</w:t>
            </w:r>
            <w:r>
              <w:rPr>
                <w:rFonts w:hint="eastAsia" w:ascii="宋体"/>
                <w:color w:val="000000" w:themeColor="text1"/>
                <w:sz w:val="24"/>
                <w:szCs w:val="24"/>
                <w:highlight w:val="none"/>
                <w14:textFill>
                  <w14:solidFill>
                    <w14:schemeClr w14:val="tx1"/>
                  </w14:solidFill>
                </w14:textFill>
              </w:rPr>
              <w:t>》</w:t>
            </w:r>
            <w:r>
              <w:rPr>
                <w:rFonts w:hint="eastAsia" w:ascii="宋体"/>
                <w:color w:val="000000" w:themeColor="text1"/>
                <w:sz w:val="24"/>
                <w:szCs w:val="24"/>
                <w14:textFill>
                  <w14:solidFill>
                    <w14:schemeClr w14:val="tx1"/>
                  </w14:solidFill>
                </w14:textFill>
              </w:rPr>
              <w:t>的宣贯和培训工作，增强实施标准的自觉性。</w:t>
            </w:r>
          </w:p>
          <w:p>
            <w:pPr>
              <w:spacing w:line="360" w:lineRule="auto"/>
              <w:rPr>
                <w:rFonts w:ascii="宋体"/>
                <w:b w:val="0"/>
                <w:bCs w:val="0"/>
                <w:color w:val="000000" w:themeColor="text1"/>
                <w:sz w:val="24"/>
                <w:szCs w:val="24"/>
                <w14:textFill>
                  <w14:solidFill>
                    <w14:schemeClr w14:val="tx1"/>
                  </w14:solidFill>
                </w14:textFill>
              </w:rPr>
            </w:pP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lang w:val="en-US" w:eastAsia="zh-CN"/>
                <w14:textFill>
                  <w14:solidFill>
                    <w14:schemeClr w14:val="tx1"/>
                  </w14:solidFill>
                </w14:textFill>
              </w:rPr>
              <w:t>二</w:t>
            </w: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14:textFill>
                  <w14:solidFill>
                    <w14:schemeClr w14:val="tx1"/>
                  </w14:solidFill>
                </w14:textFill>
              </w:rPr>
              <w:t>技术措施</w:t>
            </w:r>
          </w:p>
          <w:p>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通过标准的实施、监督、评价和改进活动，使标准得到有效运用。</w:t>
            </w:r>
          </w:p>
          <w:p>
            <w:pPr>
              <w:spacing w:line="360" w:lineRule="auto"/>
              <w:rPr>
                <w:rFonts w:ascii="宋体"/>
                <w:b w:val="0"/>
                <w:bCs w:val="0"/>
                <w:color w:val="000000" w:themeColor="text1"/>
                <w:sz w:val="24"/>
                <w:szCs w:val="24"/>
                <w14:textFill>
                  <w14:solidFill>
                    <w14:schemeClr w14:val="tx1"/>
                  </w14:solidFill>
                </w14:textFill>
              </w:rPr>
            </w:pP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lang w:val="en-US" w:eastAsia="zh-CN"/>
                <w14:textFill>
                  <w14:solidFill>
                    <w14:schemeClr w14:val="tx1"/>
                  </w14:solidFill>
                </w14:textFill>
              </w:rPr>
              <w:t>三</w:t>
            </w: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14:textFill>
                  <w14:solidFill>
                    <w14:schemeClr w14:val="tx1"/>
                  </w14:solidFill>
                </w14:textFill>
              </w:rPr>
              <w:t>过渡办法</w:t>
            </w:r>
          </w:p>
          <w:p>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由相关领导部门联合各级有关相关部门开展宣贯活动，并给予不少于1个月的过渡期。</w:t>
            </w:r>
          </w:p>
          <w:p>
            <w:pPr>
              <w:spacing w:line="360" w:lineRule="auto"/>
              <w:rPr>
                <w:rFonts w:ascii="宋体"/>
                <w:b w:val="0"/>
                <w:bCs w:val="0"/>
                <w:color w:val="000000" w:themeColor="text1"/>
                <w:sz w:val="24"/>
                <w:szCs w:val="24"/>
                <w14:textFill>
                  <w14:solidFill>
                    <w14:schemeClr w14:val="tx1"/>
                  </w14:solidFill>
                </w14:textFill>
              </w:rPr>
            </w:pP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lang w:val="en-US" w:eastAsia="zh-CN"/>
                <w14:textFill>
                  <w14:solidFill>
                    <w14:schemeClr w14:val="tx1"/>
                  </w14:solidFill>
                </w14:textFill>
              </w:rPr>
              <w:t>四</w:t>
            </w: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14:textFill>
                  <w14:solidFill>
                    <w14:schemeClr w14:val="tx1"/>
                  </w14:solidFill>
                </w14:textFill>
              </w:rPr>
              <w:t>实施日期</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ascii="Times New Roman" w:hAnsi="Times New Roman" w:eastAsia="宋体" w:cs="Times New Roman"/>
                <w:kern w:val="0"/>
                <w:sz w:val="24"/>
                <w:szCs w:val="21"/>
                <w:lang w:val="en-US" w:eastAsia="zh-CN" w:bidi="ar-SA"/>
              </w:rPr>
            </w:pPr>
            <w:r>
              <w:rPr>
                <w:rFonts w:hint="eastAsia" w:ascii="宋体"/>
                <w:color w:val="000000" w:themeColor="text1"/>
                <w:sz w:val="24"/>
                <w:szCs w:val="24"/>
                <w14:textFill>
                  <w14:solidFill>
                    <w14:schemeClr w14:val="tx1"/>
                  </w14:solidFill>
                </w14:textFill>
              </w:rPr>
              <w:t>建议标准尽快发布实施，由相关管理部门联合起草单位在全省范围内开展宣贯活动，积极推动标准实施和应用。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24" w:name="_Toc464905617"/>
            <w:bookmarkStart w:id="25" w:name="_Toc465074270"/>
            <w:bookmarkStart w:id="26" w:name="_Toc464905813"/>
            <w:bookmarkStart w:id="27" w:name="_Toc464902856"/>
            <w:bookmarkStart w:id="28" w:name="_Toc464905561"/>
            <w:r>
              <w:rPr>
                <w:rFonts w:hint="eastAsia" w:ascii="Times New Roman" w:hAnsi="Times New Roman" w:eastAsia="宋体" w:cs="Times New Roman"/>
                <w:b/>
                <w:bCs/>
                <w:kern w:val="0"/>
                <w:sz w:val="24"/>
                <w:szCs w:val="21"/>
                <w:lang w:val="en-US" w:eastAsia="zh-CN" w:bidi="ar-SA"/>
              </w:rPr>
              <w:t>9、废止现行相关标准的建议</w:t>
            </w:r>
            <w:bookmarkEnd w:id="24"/>
            <w:bookmarkEnd w:id="25"/>
            <w:bookmarkEnd w:id="26"/>
            <w:bookmarkEnd w:id="27"/>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29" w:name="_Toc464905618"/>
            <w:bookmarkStart w:id="30" w:name="_Toc464905562"/>
            <w:bookmarkStart w:id="31" w:name="_Toc465074271"/>
            <w:bookmarkStart w:id="32" w:name="_Toc464905814"/>
            <w:bookmarkStart w:id="33" w:name="_Toc464902857"/>
            <w:r>
              <w:rPr>
                <w:rFonts w:hint="eastAsia" w:ascii="Times New Roman" w:hAnsi="Times New Roman" w:eastAsia="宋体" w:cs="Times New Roman"/>
                <w:kern w:val="0"/>
                <w:sz w:val="24"/>
                <w:szCs w:val="21"/>
                <w:lang w:val="en-US" w:eastAsia="zh-CN" w:bidi="ar-SA"/>
              </w:rPr>
              <w:t>10、其它应予说明的事项</w:t>
            </w:r>
            <w:bookmarkEnd w:id="29"/>
            <w:bookmarkEnd w:id="30"/>
            <w:bookmarkEnd w:id="31"/>
            <w:bookmarkEnd w:id="32"/>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683" w:type="dxa"/>
            <w:gridSpan w:val="5"/>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bl>
    <w:p>
      <w:pPr>
        <w:widowControl w:val="0"/>
        <w:numPr>
          <w:ilvl w:val="0"/>
          <w:numId w:val="0"/>
        </w:numPr>
        <w:autoSpaceDE w:val="0"/>
        <w:autoSpaceDN w:val="0"/>
        <w:ind w:left="363" w:leftChars="0"/>
        <w:jc w:val="both"/>
        <w:rPr>
          <w:rFonts w:hint="eastAsia" w:ascii="宋体" w:hAnsi="Times New Roman" w:eastAsia="宋体" w:cs="Times New Roman"/>
          <w:kern w:val="0"/>
          <w:sz w:val="24"/>
          <w:szCs w:val="24"/>
          <w:lang w:val="en-US" w:eastAsia="zh-CN" w:bidi="ar-SA"/>
        </w:rPr>
      </w:pPr>
    </w:p>
    <w:p>
      <w:pPr>
        <w:widowControl w:val="0"/>
        <w:numPr>
          <w:ilvl w:val="0"/>
          <w:numId w:val="0"/>
        </w:numPr>
        <w:autoSpaceDE w:val="0"/>
        <w:autoSpaceDN w:val="0"/>
        <w:ind w:left="363" w:leftChars="0"/>
        <w:jc w:val="both"/>
        <w:rPr>
          <w:rFonts w:ascii="宋体" w:hAnsi="Times New Roman" w:eastAsia="宋体" w:cs="Times New Roman"/>
          <w:kern w:val="0"/>
          <w:sz w:val="21"/>
          <w:szCs w:val="20"/>
          <w:lang w:val="en-US" w:eastAsia="zh-CN" w:bidi="ar-SA"/>
        </w:rPr>
      </w:pPr>
      <w:r>
        <w:rPr>
          <w:rFonts w:hint="eastAsia" w:ascii="宋体" w:hAnsi="Times New Roman" w:eastAsia="宋体" w:cs="Times New Roman"/>
          <w:kern w:val="0"/>
          <w:sz w:val="24"/>
          <w:szCs w:val="24"/>
          <w:lang w:val="en-US" w:eastAsia="zh-CN" w:bidi="ar-SA"/>
        </w:rPr>
        <w:t>注：没有的请填写 “无”。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mZDE1MmNlMmZhNmY0YTI3OWY2YjUwYmQ4ODg3MDQifQ=="/>
  </w:docVars>
  <w:rsids>
    <w:rsidRoot w:val="65A64C5D"/>
    <w:rsid w:val="00423C6D"/>
    <w:rsid w:val="00B11A45"/>
    <w:rsid w:val="00DF5E93"/>
    <w:rsid w:val="011211D4"/>
    <w:rsid w:val="014545C7"/>
    <w:rsid w:val="015E4AD6"/>
    <w:rsid w:val="017C5FCE"/>
    <w:rsid w:val="017E6D4D"/>
    <w:rsid w:val="017F3704"/>
    <w:rsid w:val="01967DCC"/>
    <w:rsid w:val="01DC6566"/>
    <w:rsid w:val="01FF0067"/>
    <w:rsid w:val="027735B9"/>
    <w:rsid w:val="02FF5E45"/>
    <w:rsid w:val="030F6088"/>
    <w:rsid w:val="032C3AC3"/>
    <w:rsid w:val="03490D27"/>
    <w:rsid w:val="038A570F"/>
    <w:rsid w:val="03960557"/>
    <w:rsid w:val="03AA4003"/>
    <w:rsid w:val="03E94B2B"/>
    <w:rsid w:val="04194CE4"/>
    <w:rsid w:val="044B7594"/>
    <w:rsid w:val="046447EC"/>
    <w:rsid w:val="0466662A"/>
    <w:rsid w:val="046E5085"/>
    <w:rsid w:val="04936845"/>
    <w:rsid w:val="04D37589"/>
    <w:rsid w:val="04D550AF"/>
    <w:rsid w:val="04F36FF6"/>
    <w:rsid w:val="05316179"/>
    <w:rsid w:val="05507D86"/>
    <w:rsid w:val="05BB6053"/>
    <w:rsid w:val="06304C93"/>
    <w:rsid w:val="0677302E"/>
    <w:rsid w:val="06AC0092"/>
    <w:rsid w:val="0730481F"/>
    <w:rsid w:val="07397B77"/>
    <w:rsid w:val="076F17EB"/>
    <w:rsid w:val="077C5CB6"/>
    <w:rsid w:val="07D9342B"/>
    <w:rsid w:val="07FC2953"/>
    <w:rsid w:val="081D1247"/>
    <w:rsid w:val="087B41C0"/>
    <w:rsid w:val="089808CE"/>
    <w:rsid w:val="09151F1E"/>
    <w:rsid w:val="09CA2D09"/>
    <w:rsid w:val="0AB87005"/>
    <w:rsid w:val="0AF02C43"/>
    <w:rsid w:val="0B073AE9"/>
    <w:rsid w:val="0BCA795F"/>
    <w:rsid w:val="0CCE3A44"/>
    <w:rsid w:val="0CCF4130"/>
    <w:rsid w:val="0CD8573D"/>
    <w:rsid w:val="0D203146"/>
    <w:rsid w:val="0D482E22"/>
    <w:rsid w:val="0D4E1EA3"/>
    <w:rsid w:val="0DF940DC"/>
    <w:rsid w:val="0E1E2957"/>
    <w:rsid w:val="0E213113"/>
    <w:rsid w:val="0E653000"/>
    <w:rsid w:val="0ED2440E"/>
    <w:rsid w:val="0F3D5D2B"/>
    <w:rsid w:val="0F851480"/>
    <w:rsid w:val="104B5194"/>
    <w:rsid w:val="10847418"/>
    <w:rsid w:val="108B0D18"/>
    <w:rsid w:val="10A047C3"/>
    <w:rsid w:val="118714DF"/>
    <w:rsid w:val="11987B90"/>
    <w:rsid w:val="12035A07"/>
    <w:rsid w:val="12AA1934"/>
    <w:rsid w:val="12BE53D5"/>
    <w:rsid w:val="133833D9"/>
    <w:rsid w:val="138624E1"/>
    <w:rsid w:val="13C46A1B"/>
    <w:rsid w:val="13FD1F2D"/>
    <w:rsid w:val="14847F58"/>
    <w:rsid w:val="14BC1DE8"/>
    <w:rsid w:val="14CC0840"/>
    <w:rsid w:val="14EF4BF3"/>
    <w:rsid w:val="150F1F18"/>
    <w:rsid w:val="153D4CD7"/>
    <w:rsid w:val="15831E55"/>
    <w:rsid w:val="15A94E30"/>
    <w:rsid w:val="15B900D5"/>
    <w:rsid w:val="15D867AD"/>
    <w:rsid w:val="166A38C9"/>
    <w:rsid w:val="168D7ECA"/>
    <w:rsid w:val="16970417"/>
    <w:rsid w:val="17105019"/>
    <w:rsid w:val="178D1819"/>
    <w:rsid w:val="17A54DB5"/>
    <w:rsid w:val="17A913F8"/>
    <w:rsid w:val="17F51899"/>
    <w:rsid w:val="184C6FDF"/>
    <w:rsid w:val="19286BA2"/>
    <w:rsid w:val="194C5C41"/>
    <w:rsid w:val="198509FA"/>
    <w:rsid w:val="1A385A6D"/>
    <w:rsid w:val="1A4B1C44"/>
    <w:rsid w:val="1A5F56EF"/>
    <w:rsid w:val="1A82318C"/>
    <w:rsid w:val="1B302BE8"/>
    <w:rsid w:val="1B707488"/>
    <w:rsid w:val="1B993C3C"/>
    <w:rsid w:val="1C10101A"/>
    <w:rsid w:val="1C2C3D88"/>
    <w:rsid w:val="1C343CC1"/>
    <w:rsid w:val="1C40138C"/>
    <w:rsid w:val="1C8A6328"/>
    <w:rsid w:val="1C96463F"/>
    <w:rsid w:val="1C9D24FF"/>
    <w:rsid w:val="1CE123EB"/>
    <w:rsid w:val="1D244763"/>
    <w:rsid w:val="1D2E13A9"/>
    <w:rsid w:val="1D35694C"/>
    <w:rsid w:val="1DC15D79"/>
    <w:rsid w:val="1DC75A85"/>
    <w:rsid w:val="1DF72992"/>
    <w:rsid w:val="1E652BA8"/>
    <w:rsid w:val="1E707ECB"/>
    <w:rsid w:val="1E8E20FF"/>
    <w:rsid w:val="1EFA7794"/>
    <w:rsid w:val="1F226FF4"/>
    <w:rsid w:val="1F262338"/>
    <w:rsid w:val="2043516B"/>
    <w:rsid w:val="20692E24"/>
    <w:rsid w:val="20711CD8"/>
    <w:rsid w:val="20EC5803"/>
    <w:rsid w:val="20F6042F"/>
    <w:rsid w:val="213B4094"/>
    <w:rsid w:val="2174620A"/>
    <w:rsid w:val="219F63D1"/>
    <w:rsid w:val="224C6559"/>
    <w:rsid w:val="229E3389"/>
    <w:rsid w:val="2398757C"/>
    <w:rsid w:val="243D1271"/>
    <w:rsid w:val="24535EC8"/>
    <w:rsid w:val="245723E8"/>
    <w:rsid w:val="24A0493A"/>
    <w:rsid w:val="24E94533"/>
    <w:rsid w:val="255D282B"/>
    <w:rsid w:val="2580476C"/>
    <w:rsid w:val="25B3069D"/>
    <w:rsid w:val="25E46AA9"/>
    <w:rsid w:val="263A2B6C"/>
    <w:rsid w:val="26A050C5"/>
    <w:rsid w:val="26BF5F22"/>
    <w:rsid w:val="270D0B77"/>
    <w:rsid w:val="27871DE1"/>
    <w:rsid w:val="27962024"/>
    <w:rsid w:val="28013942"/>
    <w:rsid w:val="28013D4C"/>
    <w:rsid w:val="28123DA1"/>
    <w:rsid w:val="281E7963"/>
    <w:rsid w:val="28377363"/>
    <w:rsid w:val="28A70220"/>
    <w:rsid w:val="291678C1"/>
    <w:rsid w:val="29B175E9"/>
    <w:rsid w:val="29C015C2"/>
    <w:rsid w:val="2A495A74"/>
    <w:rsid w:val="2A64465C"/>
    <w:rsid w:val="2AAB07F3"/>
    <w:rsid w:val="2AFA15B7"/>
    <w:rsid w:val="2B277B63"/>
    <w:rsid w:val="2C8E59C0"/>
    <w:rsid w:val="2CEE645F"/>
    <w:rsid w:val="2CF03F85"/>
    <w:rsid w:val="2D3B5B48"/>
    <w:rsid w:val="2D656721"/>
    <w:rsid w:val="2DBD030B"/>
    <w:rsid w:val="2DE53D06"/>
    <w:rsid w:val="2E166E98"/>
    <w:rsid w:val="2EF73CF0"/>
    <w:rsid w:val="2F0B0296"/>
    <w:rsid w:val="2F591BB5"/>
    <w:rsid w:val="2F6D3FB3"/>
    <w:rsid w:val="2FC242FE"/>
    <w:rsid w:val="2FE853E7"/>
    <w:rsid w:val="302E54F0"/>
    <w:rsid w:val="30314FE0"/>
    <w:rsid w:val="303D5733"/>
    <w:rsid w:val="307355F9"/>
    <w:rsid w:val="30766ACF"/>
    <w:rsid w:val="30766E97"/>
    <w:rsid w:val="307F7AFA"/>
    <w:rsid w:val="30C419B0"/>
    <w:rsid w:val="30C56E6A"/>
    <w:rsid w:val="30F027A5"/>
    <w:rsid w:val="310149B3"/>
    <w:rsid w:val="310B75DF"/>
    <w:rsid w:val="31815AF3"/>
    <w:rsid w:val="318D3E60"/>
    <w:rsid w:val="32566604"/>
    <w:rsid w:val="33092244"/>
    <w:rsid w:val="33813B89"/>
    <w:rsid w:val="33B43F5E"/>
    <w:rsid w:val="340B78F6"/>
    <w:rsid w:val="343D773C"/>
    <w:rsid w:val="344A041F"/>
    <w:rsid w:val="3482590D"/>
    <w:rsid w:val="34853B4C"/>
    <w:rsid w:val="348A2F11"/>
    <w:rsid w:val="34B97B98"/>
    <w:rsid w:val="34E645EB"/>
    <w:rsid w:val="35AC0748"/>
    <w:rsid w:val="35E6686D"/>
    <w:rsid w:val="361E6007"/>
    <w:rsid w:val="364C66D0"/>
    <w:rsid w:val="36A52CF8"/>
    <w:rsid w:val="36D63C8A"/>
    <w:rsid w:val="36DE7DC5"/>
    <w:rsid w:val="36E7289C"/>
    <w:rsid w:val="36FF7BE6"/>
    <w:rsid w:val="372907BF"/>
    <w:rsid w:val="37362EDC"/>
    <w:rsid w:val="37C67F44"/>
    <w:rsid w:val="38482EC7"/>
    <w:rsid w:val="387B14EE"/>
    <w:rsid w:val="393671C3"/>
    <w:rsid w:val="393F076E"/>
    <w:rsid w:val="394144E6"/>
    <w:rsid w:val="39B33890"/>
    <w:rsid w:val="3A8328DC"/>
    <w:rsid w:val="3ADE5D64"/>
    <w:rsid w:val="3AF45588"/>
    <w:rsid w:val="3B0F5F1E"/>
    <w:rsid w:val="3B7346FF"/>
    <w:rsid w:val="3BA743A8"/>
    <w:rsid w:val="3BA945C4"/>
    <w:rsid w:val="3C137C90"/>
    <w:rsid w:val="3D006466"/>
    <w:rsid w:val="3D31661F"/>
    <w:rsid w:val="3D4A5933"/>
    <w:rsid w:val="3D6A1B31"/>
    <w:rsid w:val="3DB334D8"/>
    <w:rsid w:val="3E497999"/>
    <w:rsid w:val="3EC60FE9"/>
    <w:rsid w:val="3EE871B2"/>
    <w:rsid w:val="3EF51ADA"/>
    <w:rsid w:val="3F412BA3"/>
    <w:rsid w:val="3F47212A"/>
    <w:rsid w:val="400F2769"/>
    <w:rsid w:val="40204729"/>
    <w:rsid w:val="40510A2D"/>
    <w:rsid w:val="40584873"/>
    <w:rsid w:val="40766BC7"/>
    <w:rsid w:val="40BC6B48"/>
    <w:rsid w:val="40D05E19"/>
    <w:rsid w:val="42EC128D"/>
    <w:rsid w:val="43880F63"/>
    <w:rsid w:val="43B447FC"/>
    <w:rsid w:val="43C57AC2"/>
    <w:rsid w:val="43CC52F4"/>
    <w:rsid w:val="44511355"/>
    <w:rsid w:val="44C24001"/>
    <w:rsid w:val="453E7B2C"/>
    <w:rsid w:val="45774DEB"/>
    <w:rsid w:val="45C06792"/>
    <w:rsid w:val="46256F3D"/>
    <w:rsid w:val="462F3918"/>
    <w:rsid w:val="46721A4B"/>
    <w:rsid w:val="46B67B95"/>
    <w:rsid w:val="46F30BD9"/>
    <w:rsid w:val="470248DE"/>
    <w:rsid w:val="47431429"/>
    <w:rsid w:val="475573AE"/>
    <w:rsid w:val="47B10A89"/>
    <w:rsid w:val="47B70069"/>
    <w:rsid w:val="47BC11DC"/>
    <w:rsid w:val="47D1012A"/>
    <w:rsid w:val="47F22E4F"/>
    <w:rsid w:val="47F941DE"/>
    <w:rsid w:val="48474F49"/>
    <w:rsid w:val="48577D5B"/>
    <w:rsid w:val="48825052"/>
    <w:rsid w:val="48C41101"/>
    <w:rsid w:val="48D2515B"/>
    <w:rsid w:val="4A477482"/>
    <w:rsid w:val="4A75564D"/>
    <w:rsid w:val="4AA77F21"/>
    <w:rsid w:val="4AE118AE"/>
    <w:rsid w:val="4AFD5D93"/>
    <w:rsid w:val="4AFF1B0B"/>
    <w:rsid w:val="4B337E31"/>
    <w:rsid w:val="4C592E7C"/>
    <w:rsid w:val="4C6F4A6E"/>
    <w:rsid w:val="4CB37051"/>
    <w:rsid w:val="4CCF1AC0"/>
    <w:rsid w:val="4D1D44CA"/>
    <w:rsid w:val="4DA22C22"/>
    <w:rsid w:val="4DD155BC"/>
    <w:rsid w:val="4E133D67"/>
    <w:rsid w:val="4E1F107E"/>
    <w:rsid w:val="4E2F0959"/>
    <w:rsid w:val="4E881E17"/>
    <w:rsid w:val="4E955004"/>
    <w:rsid w:val="4EEF00E8"/>
    <w:rsid w:val="4EEF4873"/>
    <w:rsid w:val="4F204746"/>
    <w:rsid w:val="4F2064F4"/>
    <w:rsid w:val="4F710AFD"/>
    <w:rsid w:val="506F7733"/>
    <w:rsid w:val="50DA3146"/>
    <w:rsid w:val="50EC48E0"/>
    <w:rsid w:val="50FA14E3"/>
    <w:rsid w:val="511A58F1"/>
    <w:rsid w:val="512D6CA6"/>
    <w:rsid w:val="515E50B1"/>
    <w:rsid w:val="51C770FB"/>
    <w:rsid w:val="51D05FAF"/>
    <w:rsid w:val="51D11D27"/>
    <w:rsid w:val="51F223CA"/>
    <w:rsid w:val="51FD48CA"/>
    <w:rsid w:val="52C33D66"/>
    <w:rsid w:val="52F932E4"/>
    <w:rsid w:val="530323B4"/>
    <w:rsid w:val="537A08C9"/>
    <w:rsid w:val="53A5521A"/>
    <w:rsid w:val="53A5626F"/>
    <w:rsid w:val="53E21FCA"/>
    <w:rsid w:val="540006A2"/>
    <w:rsid w:val="54210D44"/>
    <w:rsid w:val="54BC6C04"/>
    <w:rsid w:val="54DA0EF3"/>
    <w:rsid w:val="54EA55DA"/>
    <w:rsid w:val="555D5D27"/>
    <w:rsid w:val="55733821"/>
    <w:rsid w:val="5579070C"/>
    <w:rsid w:val="55C23E61"/>
    <w:rsid w:val="566C201F"/>
    <w:rsid w:val="567A473C"/>
    <w:rsid w:val="56F97D56"/>
    <w:rsid w:val="58496ABB"/>
    <w:rsid w:val="59054ACD"/>
    <w:rsid w:val="59777658"/>
    <w:rsid w:val="59883613"/>
    <w:rsid w:val="5A70032F"/>
    <w:rsid w:val="5A753B98"/>
    <w:rsid w:val="5AC979A3"/>
    <w:rsid w:val="5B6A4388"/>
    <w:rsid w:val="5B9A0725"/>
    <w:rsid w:val="5B9B5CA6"/>
    <w:rsid w:val="5BAD519D"/>
    <w:rsid w:val="5C094F67"/>
    <w:rsid w:val="5CAA6C94"/>
    <w:rsid w:val="5CEE0991"/>
    <w:rsid w:val="5D210677"/>
    <w:rsid w:val="5D2E44D2"/>
    <w:rsid w:val="5E693A13"/>
    <w:rsid w:val="5E6D4B86"/>
    <w:rsid w:val="5E6D7496"/>
    <w:rsid w:val="5EEE3F19"/>
    <w:rsid w:val="5F8A1E93"/>
    <w:rsid w:val="5FEF42F1"/>
    <w:rsid w:val="60733BF9"/>
    <w:rsid w:val="60AF7165"/>
    <w:rsid w:val="6138591F"/>
    <w:rsid w:val="61412A26"/>
    <w:rsid w:val="615A3AE7"/>
    <w:rsid w:val="615F2EAC"/>
    <w:rsid w:val="61BC20AC"/>
    <w:rsid w:val="61C62F2B"/>
    <w:rsid w:val="61D83218"/>
    <w:rsid w:val="624F7381"/>
    <w:rsid w:val="62D82F16"/>
    <w:rsid w:val="631D301E"/>
    <w:rsid w:val="63870498"/>
    <w:rsid w:val="63936688"/>
    <w:rsid w:val="649B069F"/>
    <w:rsid w:val="64AF414A"/>
    <w:rsid w:val="64D67929"/>
    <w:rsid w:val="64D9069E"/>
    <w:rsid w:val="65436640"/>
    <w:rsid w:val="656B62C3"/>
    <w:rsid w:val="65A64C5D"/>
    <w:rsid w:val="65F8742B"/>
    <w:rsid w:val="6646463A"/>
    <w:rsid w:val="669C32B1"/>
    <w:rsid w:val="669F391E"/>
    <w:rsid w:val="66D32372"/>
    <w:rsid w:val="67283D40"/>
    <w:rsid w:val="6759039D"/>
    <w:rsid w:val="67997AC2"/>
    <w:rsid w:val="679A2E90"/>
    <w:rsid w:val="67C968CF"/>
    <w:rsid w:val="68D441EB"/>
    <w:rsid w:val="68E343C2"/>
    <w:rsid w:val="69232A11"/>
    <w:rsid w:val="69B31FE7"/>
    <w:rsid w:val="6A8219B9"/>
    <w:rsid w:val="6A9C2A7B"/>
    <w:rsid w:val="6B1B463A"/>
    <w:rsid w:val="6B371A95"/>
    <w:rsid w:val="6D61130D"/>
    <w:rsid w:val="6D6A57A8"/>
    <w:rsid w:val="6D835926"/>
    <w:rsid w:val="6D8D0DA1"/>
    <w:rsid w:val="6DA93E2C"/>
    <w:rsid w:val="6DB14A8F"/>
    <w:rsid w:val="6DD62748"/>
    <w:rsid w:val="6DEC1F6B"/>
    <w:rsid w:val="6DFF1C9E"/>
    <w:rsid w:val="6E394AF1"/>
    <w:rsid w:val="6E470F4F"/>
    <w:rsid w:val="6E5F44EB"/>
    <w:rsid w:val="6EBC193D"/>
    <w:rsid w:val="6EBF4F8A"/>
    <w:rsid w:val="6EC72090"/>
    <w:rsid w:val="6EDB2780"/>
    <w:rsid w:val="6F1057E5"/>
    <w:rsid w:val="6F2C4039"/>
    <w:rsid w:val="6F3C482C"/>
    <w:rsid w:val="6F897766"/>
    <w:rsid w:val="70092890"/>
    <w:rsid w:val="700E142B"/>
    <w:rsid w:val="70E525D9"/>
    <w:rsid w:val="70F33611"/>
    <w:rsid w:val="71724535"/>
    <w:rsid w:val="71F413EE"/>
    <w:rsid w:val="721970A7"/>
    <w:rsid w:val="723D591C"/>
    <w:rsid w:val="726522EC"/>
    <w:rsid w:val="72712A3F"/>
    <w:rsid w:val="728E1843"/>
    <w:rsid w:val="73442578"/>
    <w:rsid w:val="734677F0"/>
    <w:rsid w:val="734B14E2"/>
    <w:rsid w:val="73924331"/>
    <w:rsid w:val="73B250BD"/>
    <w:rsid w:val="73E7745D"/>
    <w:rsid w:val="740578E3"/>
    <w:rsid w:val="743A092E"/>
    <w:rsid w:val="75D51537"/>
    <w:rsid w:val="760A7432"/>
    <w:rsid w:val="762779FD"/>
    <w:rsid w:val="76756BE7"/>
    <w:rsid w:val="77275DC2"/>
    <w:rsid w:val="776E6235"/>
    <w:rsid w:val="78C31B1A"/>
    <w:rsid w:val="78D1182D"/>
    <w:rsid w:val="78DD2BDC"/>
    <w:rsid w:val="795118E4"/>
    <w:rsid w:val="79A100AE"/>
    <w:rsid w:val="7A6A04A0"/>
    <w:rsid w:val="7A7D35A8"/>
    <w:rsid w:val="7A910122"/>
    <w:rsid w:val="7A925C48"/>
    <w:rsid w:val="7AD973D3"/>
    <w:rsid w:val="7B012F3A"/>
    <w:rsid w:val="7B58479C"/>
    <w:rsid w:val="7B6E7632"/>
    <w:rsid w:val="7B76172D"/>
    <w:rsid w:val="7BAA5F42"/>
    <w:rsid w:val="7BC86199"/>
    <w:rsid w:val="7BFD0C07"/>
    <w:rsid w:val="7C324FED"/>
    <w:rsid w:val="7C72188D"/>
    <w:rsid w:val="7CB93960"/>
    <w:rsid w:val="7D407BDD"/>
    <w:rsid w:val="7D5517BB"/>
    <w:rsid w:val="7D7F24B4"/>
    <w:rsid w:val="7D9B085B"/>
    <w:rsid w:val="7E0230E5"/>
    <w:rsid w:val="7E5E09BE"/>
    <w:rsid w:val="7F585DB5"/>
    <w:rsid w:val="7F800765"/>
    <w:rsid w:val="7FA97CBC"/>
    <w:rsid w:val="7FBA3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style>
  <w:style w:type="paragraph" w:styleId="3">
    <w:name w:val="Body Text Indent"/>
    <w:basedOn w:val="1"/>
    <w:qFormat/>
    <w:uiPriority w:val="0"/>
    <w:pPr>
      <w:spacing w:line="360" w:lineRule="auto"/>
      <w:ind w:firstLine="600"/>
    </w:pPr>
    <w:rPr>
      <w:kern w:val="0"/>
      <w:sz w:val="24"/>
    </w:rPr>
  </w:style>
  <w:style w:type="paragraph" w:styleId="4">
    <w:name w:val="Body Text First Indent"/>
    <w:basedOn w:val="2"/>
    <w:qFormat/>
    <w:uiPriority w:val="0"/>
    <w:pPr>
      <w:ind w:firstLine="200" w:firstLineChars="200"/>
    </w:pPr>
  </w:style>
  <w:style w:type="paragraph" w:styleId="5">
    <w:name w:val="Body Text First Indent 2"/>
    <w:basedOn w:val="3"/>
    <w:qFormat/>
    <w:uiPriority w:val="0"/>
    <w:pPr>
      <w:ind w:firstLine="420" w:firstLineChars="200"/>
    </w:p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表段落1"/>
    <w:basedOn w:val="1"/>
    <w:qFormat/>
    <w:uiPriority w:val="99"/>
    <w:pPr>
      <w:adjustRightInd/>
      <w:spacing w:line="240" w:lineRule="auto"/>
      <w:ind w:firstLine="420" w:firstLineChars="200"/>
    </w:pPr>
    <w:rPr>
      <w:rFonts w:ascii="Times New Roman" w:hAnsi="Times New Roman"/>
      <w:szCs w:val="24"/>
    </w:rPr>
  </w:style>
  <w:style w:type="table" w:customStyle="1" w:styleId="10">
    <w:name w:val="Table Normal"/>
    <w:semiHidden/>
    <w:unhideWhenUsed/>
    <w:qFormat/>
    <w:uiPriority w:val="0"/>
    <w:tblPr>
      <w:tblLayout w:type="fixed"/>
      <w:tblCellMar>
        <w:top w:w="0" w:type="dxa"/>
        <w:left w:w="0" w:type="dxa"/>
        <w:bottom w:w="0" w:type="dxa"/>
        <w:right w:w="0" w:type="dxa"/>
      </w:tblCellMar>
    </w:tblPr>
  </w:style>
  <w:style w:type="paragraph" w:customStyle="1" w:styleId="1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3252</Words>
  <Characters>3423</Characters>
  <Lines>0</Lines>
  <Paragraphs>0</Paragraphs>
  <TotalTime>1</TotalTime>
  <ScaleCrop>false</ScaleCrop>
  <LinksUpToDate>false</LinksUpToDate>
  <CharactersWithSpaces>3434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2024-08-14T02:46:00Z</dcterms:created>
  <dc:creator>作者</dc:creator>
  <cp:lastModifiedBy>Administrator</cp:lastModifiedBy>
  <dcterms:modified xsi:type="dcterms:W3CDTF">2025-01-13T02:33:37Z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99027CFA686E4D33975688AAA5EFBE6D_11</vt:lpwstr>
  </property>
  <property fmtid="{D5CDD505-2E9C-101B-9397-08002B2CF9AE}" pid="4" name="KSOTemplateDocerSaveRecord">
    <vt:lpwstr>eyJoZGlkIjoiYzhjYTMyNGMyN2VkNWZhNTk2M2E1MGUzYmU2NjcwMzkiLCJ1c2VySWQiOiIyNzEwMTQzOTEifQ==</vt:lpwstr>
  </property>
</Properties>
</file>