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宋体"/>
          <w:b/>
          <w:bCs/>
          <w:sz w:val="44"/>
          <w:szCs w:val="44"/>
        </w:rPr>
      </w:pPr>
      <w:r>
        <w:rPr>
          <w:rFonts w:hint="eastAsia" w:ascii="方正小标宋简体" w:hAnsi="方正小标宋简体" w:eastAsia="方正小标宋简体" w:cs="宋体"/>
          <w:b/>
          <w:bCs/>
          <w:sz w:val="44"/>
          <w:szCs w:val="44"/>
        </w:rPr>
        <w:t>开封市医疗保障局</w:t>
      </w:r>
    </w:p>
    <w:p>
      <w:pPr>
        <w:spacing w:line="580" w:lineRule="exact"/>
        <w:jc w:val="center"/>
        <w:rPr>
          <w:rFonts w:hint="eastAsia" w:ascii="方正小标宋简体" w:hAnsi="方正小标宋简体" w:eastAsia="方正小标宋简体" w:cs="宋体"/>
          <w:b/>
          <w:bCs/>
          <w:sz w:val="44"/>
          <w:szCs w:val="52"/>
        </w:rPr>
      </w:pPr>
      <w:r>
        <w:rPr>
          <w:rFonts w:hint="eastAsia" w:ascii="方正小标宋简体" w:hAnsi="方正小标宋简体" w:eastAsia="方正小标宋简体" w:cs="宋体"/>
          <w:b/>
          <w:bCs/>
          <w:sz w:val="44"/>
          <w:szCs w:val="52"/>
        </w:rPr>
        <w:t>关于开展医疗服务价格规范治理</w:t>
      </w:r>
    </w:p>
    <w:p>
      <w:pPr>
        <w:spacing w:line="580" w:lineRule="exact"/>
        <w:jc w:val="center"/>
        <w:rPr>
          <w:rFonts w:hint="eastAsia" w:ascii="方正小标宋简体" w:hAnsi="方正小标宋简体" w:eastAsia="方正小标宋简体" w:cs="宋体"/>
          <w:b/>
          <w:bCs/>
          <w:sz w:val="44"/>
          <w:szCs w:val="52"/>
        </w:rPr>
      </w:pPr>
      <w:r>
        <w:rPr>
          <w:rFonts w:hint="eastAsia" w:ascii="方正小标宋简体" w:hAnsi="方正小标宋简体" w:eastAsia="方正小标宋简体" w:cs="宋体"/>
          <w:b/>
          <w:bCs/>
          <w:sz w:val="44"/>
          <w:szCs w:val="52"/>
        </w:rPr>
        <w:t>（第二批）的通知</w:t>
      </w:r>
    </w:p>
    <w:p>
      <w:pPr>
        <w:spacing w:line="580" w:lineRule="exact"/>
        <w:jc w:val="center"/>
        <w:rPr>
          <w:rFonts w:hint="eastAsia" w:ascii="楷体" w:hAnsi="楷体" w:eastAsia="楷体" w:cs="楷体"/>
          <w:sz w:val="32"/>
          <w:szCs w:val="32"/>
        </w:rPr>
      </w:pPr>
      <w:r>
        <w:rPr>
          <w:rFonts w:hint="eastAsia" w:ascii="楷体" w:hAnsi="楷体" w:eastAsia="楷体" w:cs="楷体"/>
          <w:sz w:val="32"/>
          <w:szCs w:val="32"/>
        </w:rPr>
        <w:t>（征求意见稿）</w:t>
      </w:r>
    </w:p>
    <w:p>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各县（区）分局，局机关各科室，局属各单位：</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按照省医保局</w:t>
      </w:r>
      <w:r>
        <w:rPr>
          <w:rFonts w:hint="eastAsia" w:ascii="仿宋_GB2312" w:hAnsi="宋体" w:eastAsia="仿宋_GB2312" w:cs="等线 Light"/>
          <w:sz w:val="32"/>
          <w:szCs w:val="32"/>
        </w:rPr>
        <w:t>《关于开展医疗服务价格规范治理（第二批）的通知》（豫医保办〔2024〕82号）</w:t>
      </w:r>
      <w:r>
        <w:rPr>
          <w:rFonts w:hint="eastAsia" w:ascii="Times New Roman" w:hAnsi="Times New Roman" w:eastAsia="仿宋_GB2312" w:cs="仿宋_GB2312"/>
          <w:sz w:val="32"/>
          <w:szCs w:val="32"/>
        </w:rPr>
        <w:t>要求，为进一步规范医疗服务价格管理，减轻人民群众看病就医负担，现就开展第二批医疗服务价格规范治理工作通知如下。</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一、对“血清胃泌素释放肽前体 (ProGRP)测定”等10个检验项目，调整项目内涵、价格或明确计价说明（见附件）。</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二、调整后的相关项目价格为公立医疗机构最高政府指导价格。</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三、各级公立医疗机构可根据自身条件和市场供求状况在政府指导价的基础上下浮，具体下浮幅度不限。同时，严格执行价格公示、“一日清单”和价格投诉处理制度，自觉接受社会监督。</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四、各级医保部门要密切关注治理后项目服务量和总费用的变化情况，防范同类可替代项目服务量激增，防止设备耗材迭代后以申报新增项目等形式回溯。</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本通知自2024年12月20日起执行。各级医保经办机构和公立医疗机构要尽快更新医保信息系统和医院管理系统数据，及时做好各项衔接工作。</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附件：开封市医疗服务价格规范治理项目（第二批）</w:t>
      </w:r>
    </w:p>
    <w:p>
      <w:pPr>
        <w:spacing w:line="600" w:lineRule="exact"/>
        <w:rPr>
          <w:rFonts w:ascii="Times New Roman" w:hAnsi="Times New Roman" w:eastAsia="仿宋_GB2312" w:cs="仿宋_GB2312"/>
          <w:sz w:val="32"/>
          <w:szCs w:val="32"/>
        </w:rPr>
      </w:pPr>
    </w:p>
    <w:p>
      <w:pPr>
        <w:spacing w:line="600" w:lineRule="exact"/>
        <w:ind w:firstLine="4480" w:firstLineChars="14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2024年12月13日</w:t>
      </w:r>
      <w:r>
        <w:rPr>
          <w:rFonts w:ascii="Times New Roman" w:hAnsi="Times New Roman" w:eastAsia="仿宋_GB2312" w:cs="仿宋_GB2312"/>
          <w:sz w:val="32"/>
          <w:szCs w:val="32"/>
        </w:rPr>
        <w:br w:type="page"/>
      </w:r>
    </w:p>
    <w:p>
      <w:pPr>
        <w:spacing w:line="600" w:lineRule="exact"/>
        <w:ind w:firstLine="4480" w:firstLineChars="1400"/>
        <w:rPr>
          <w:rFonts w:ascii="Times New Roman" w:hAnsi="Times New Roman"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hint="eastAsia" w:ascii="宋体" w:hAnsi="宋体"/>
          <w:b/>
          <w:bCs/>
          <w:sz w:val="32"/>
          <w:szCs w:val="32"/>
        </w:rPr>
      </w:pPr>
      <w:r>
        <w:rPr>
          <w:rFonts w:hint="eastAsia" w:ascii="宋体" w:hAnsi="宋体"/>
          <w:b/>
          <w:bCs/>
          <w:sz w:val="32"/>
          <w:szCs w:val="32"/>
        </w:rPr>
        <w:t>附件</w:t>
      </w:r>
    </w:p>
    <w:p>
      <w:pPr>
        <w:spacing w:line="600" w:lineRule="exact"/>
        <w:jc w:val="center"/>
        <w:rPr>
          <w:rFonts w:hint="eastAsia" w:ascii="宋体" w:hAnsi="宋体"/>
          <w:b/>
          <w:bCs/>
          <w:sz w:val="44"/>
          <w:szCs w:val="44"/>
        </w:rPr>
      </w:pPr>
      <w:r>
        <w:rPr>
          <w:rFonts w:hint="eastAsia" w:ascii="宋体" w:hAnsi="宋体"/>
          <w:b/>
          <w:bCs/>
          <w:sz w:val="44"/>
          <w:szCs w:val="44"/>
        </w:rPr>
        <w:t>开封市医疗服务价格规范治理项目（第二批）</w:t>
      </w:r>
    </w:p>
    <w:tbl>
      <w:tblPr>
        <w:tblStyle w:val="6"/>
        <w:tblW w:w="14143" w:type="dxa"/>
        <w:jc w:val="center"/>
        <w:tblInd w:w="0" w:type="dxa"/>
        <w:tblLayout w:type="fixed"/>
        <w:tblCellMar>
          <w:top w:w="0" w:type="dxa"/>
          <w:left w:w="108" w:type="dxa"/>
          <w:bottom w:w="0" w:type="dxa"/>
          <w:right w:w="108" w:type="dxa"/>
        </w:tblCellMar>
      </w:tblPr>
      <w:tblGrid>
        <w:gridCol w:w="486"/>
        <w:gridCol w:w="765"/>
        <w:gridCol w:w="1216"/>
        <w:gridCol w:w="2085"/>
        <w:gridCol w:w="3562"/>
        <w:gridCol w:w="626"/>
        <w:gridCol w:w="626"/>
        <w:gridCol w:w="685"/>
        <w:gridCol w:w="615"/>
        <w:gridCol w:w="675"/>
        <w:gridCol w:w="2802"/>
      </w:tblGrid>
      <w:tr>
        <w:tblPrEx>
          <w:tblLayout w:type="fixed"/>
          <w:tblCellMar>
            <w:top w:w="0" w:type="dxa"/>
            <w:left w:w="108" w:type="dxa"/>
            <w:bottom w:w="0" w:type="dxa"/>
            <w:right w:w="108" w:type="dxa"/>
          </w:tblCellMar>
        </w:tblPrEx>
        <w:trPr>
          <w:trHeight w:val="439" w:hRule="atLeast"/>
          <w:tblHeader/>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财务分类代码</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项目编码</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项目名称</w:t>
            </w:r>
          </w:p>
        </w:tc>
        <w:tc>
          <w:tcPr>
            <w:tcW w:w="35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项目内涵</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除外内容</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计价</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单位</w:t>
            </w:r>
          </w:p>
        </w:tc>
        <w:tc>
          <w:tcPr>
            <w:tcW w:w="1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价格（元）</w:t>
            </w:r>
          </w:p>
        </w:tc>
        <w:tc>
          <w:tcPr>
            <w:tcW w:w="2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说明</w:t>
            </w:r>
          </w:p>
        </w:tc>
      </w:tr>
      <w:tr>
        <w:tblPrEx>
          <w:tblLayout w:type="fixed"/>
          <w:tblCellMar>
            <w:top w:w="0" w:type="dxa"/>
            <w:left w:w="108" w:type="dxa"/>
            <w:bottom w:w="0" w:type="dxa"/>
            <w:right w:w="108" w:type="dxa"/>
          </w:tblCellMar>
        </w:tblPrEx>
        <w:trPr>
          <w:trHeight w:val="555" w:hRule="atLeast"/>
          <w:tblHeader/>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3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c>
          <w:tcPr>
            <w:tcW w:w="685"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三</w:t>
            </w:r>
          </w:p>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级</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二级</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一级</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及以下</w:t>
            </w:r>
          </w:p>
        </w:tc>
        <w:tc>
          <w:tcPr>
            <w:tcW w:w="2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color w:val="000000"/>
                <w:kern w:val="0"/>
                <w:sz w:val="20"/>
                <w:szCs w:val="20"/>
              </w:rPr>
            </w:pPr>
          </w:p>
        </w:tc>
      </w:tr>
      <w:tr>
        <w:tblPrEx>
          <w:tblLayout w:type="fixed"/>
          <w:tblCellMar>
            <w:top w:w="0" w:type="dxa"/>
            <w:left w:w="108" w:type="dxa"/>
            <w:bottom w:w="0" w:type="dxa"/>
            <w:right w:w="108" w:type="dxa"/>
          </w:tblCellMar>
        </w:tblPrEx>
        <w:trPr>
          <w:trHeight w:val="720" w:hRule="atLeast"/>
          <w:jc w:val="center"/>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250310057</w:t>
            </w:r>
          </w:p>
        </w:tc>
        <w:tc>
          <w:tcPr>
            <w:tcW w:w="208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血清胃泌素释放肽前体（ProGRP)测定</w:t>
            </w:r>
          </w:p>
        </w:tc>
        <w:tc>
          <w:tcPr>
            <w:tcW w:w="356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37</w:t>
            </w:r>
          </w:p>
        </w:tc>
        <w:tc>
          <w:tcPr>
            <w:tcW w:w="280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r>
      <w:tr>
        <w:tblPrEx>
          <w:tblLayout w:type="fixed"/>
          <w:tblCellMar>
            <w:top w:w="0" w:type="dxa"/>
            <w:left w:w="108" w:type="dxa"/>
            <w:bottom w:w="0" w:type="dxa"/>
            <w:right w:w="108" w:type="dxa"/>
          </w:tblCellMar>
        </w:tblPrEx>
        <w:trPr>
          <w:trHeight w:val="480" w:hRule="atLeast"/>
          <w:jc w:val="center"/>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250404001</w:t>
            </w:r>
          </w:p>
        </w:tc>
        <w:tc>
          <w:tcPr>
            <w:tcW w:w="208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癌胚抗原测定(CEA)</w:t>
            </w:r>
          </w:p>
        </w:tc>
        <w:tc>
          <w:tcPr>
            <w:tcW w:w="356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14.7</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11.5</w:t>
            </w:r>
          </w:p>
        </w:tc>
        <w:tc>
          <w:tcPr>
            <w:tcW w:w="280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指除化学发光法以外的其它免疫学方法。</w:t>
            </w:r>
          </w:p>
        </w:tc>
      </w:tr>
      <w:tr>
        <w:tblPrEx>
          <w:tblLayout w:type="fixed"/>
          <w:tblCellMar>
            <w:top w:w="0" w:type="dxa"/>
            <w:left w:w="108" w:type="dxa"/>
            <w:bottom w:w="0" w:type="dxa"/>
            <w:right w:w="108" w:type="dxa"/>
          </w:tblCellMar>
        </w:tblPrEx>
        <w:trPr>
          <w:trHeight w:val="660" w:hRule="atLeast"/>
          <w:jc w:val="center"/>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3</w:t>
            </w:r>
          </w:p>
        </w:tc>
        <w:tc>
          <w:tcPr>
            <w:tcW w:w="7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250404002</w:t>
            </w:r>
          </w:p>
        </w:tc>
        <w:tc>
          <w:tcPr>
            <w:tcW w:w="208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甲胎蛋白测定(AFP)</w:t>
            </w:r>
          </w:p>
        </w:tc>
        <w:tc>
          <w:tcPr>
            <w:tcW w:w="356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14.7</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11.5</w:t>
            </w:r>
          </w:p>
        </w:tc>
        <w:tc>
          <w:tcPr>
            <w:tcW w:w="280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指除化学发光法以外的其它免疫学方法。</w:t>
            </w:r>
          </w:p>
        </w:tc>
      </w:tr>
      <w:tr>
        <w:tblPrEx>
          <w:tblLayout w:type="fixed"/>
          <w:tblCellMar>
            <w:top w:w="0" w:type="dxa"/>
            <w:left w:w="108" w:type="dxa"/>
            <w:bottom w:w="0" w:type="dxa"/>
            <w:right w:w="108" w:type="dxa"/>
          </w:tblCellMar>
        </w:tblPrEx>
        <w:trPr>
          <w:trHeight w:val="705" w:hRule="atLeast"/>
          <w:jc w:val="center"/>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4</w:t>
            </w:r>
          </w:p>
        </w:tc>
        <w:tc>
          <w:tcPr>
            <w:tcW w:w="7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250404009</w:t>
            </w:r>
          </w:p>
        </w:tc>
        <w:tc>
          <w:tcPr>
            <w:tcW w:w="208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神经元特异性烯醇化酶测定(NsE)</w:t>
            </w:r>
          </w:p>
        </w:tc>
        <w:tc>
          <w:tcPr>
            <w:tcW w:w="356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2802"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指除化学发光法以外的其它免疫学方法。</w:t>
            </w:r>
          </w:p>
        </w:tc>
      </w:tr>
      <w:tr>
        <w:tblPrEx>
          <w:tblLayout w:type="fixed"/>
          <w:tblCellMar>
            <w:top w:w="0" w:type="dxa"/>
            <w:left w:w="108" w:type="dxa"/>
            <w:bottom w:w="0" w:type="dxa"/>
            <w:right w:w="108" w:type="dxa"/>
          </w:tblCellMar>
        </w:tblPrEx>
        <w:trPr>
          <w:trHeight w:val="120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细胞角蛋白19片段测定(CYFRA21-1)</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指除化学发光法以外的其它免疫学方法。</w:t>
            </w:r>
          </w:p>
        </w:tc>
      </w:tr>
      <w:tr>
        <w:tblPrEx>
          <w:tblLayout w:type="fixed"/>
          <w:tblCellMar>
            <w:top w:w="0" w:type="dxa"/>
            <w:left w:w="108" w:type="dxa"/>
            <w:bottom w:w="0" w:type="dxa"/>
            <w:right w:w="108" w:type="dxa"/>
          </w:tblCellMar>
        </w:tblPrEx>
        <w:trPr>
          <w:trHeight w:val="120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250404011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糖类抗原测定</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包括CA-27、CA-29、CA-50、CA-125、CA15－3、CA130、CA19－9、CA24－2、CA72－4等等</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每种抗原</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39.5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1.指化学发光法；2.其它免疫学方法30元。</w:t>
            </w:r>
          </w:p>
        </w:tc>
      </w:tr>
      <w:tr>
        <w:tblPrEx>
          <w:tblLayout w:type="fixed"/>
          <w:tblCellMar>
            <w:top w:w="0" w:type="dxa"/>
            <w:left w:w="108" w:type="dxa"/>
            <w:bottom w:w="0" w:type="dxa"/>
            <w:right w:w="108" w:type="dxa"/>
          </w:tblCellMar>
        </w:tblPrEx>
        <w:trPr>
          <w:trHeight w:val="120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7</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250404012</w:t>
            </w:r>
          </w:p>
        </w:tc>
        <w:tc>
          <w:tcPr>
            <w:tcW w:w="208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鳞状细胞癌相关抗原测定(sCC)</w:t>
            </w:r>
          </w:p>
        </w:tc>
        <w:tc>
          <w:tcPr>
            <w:tcW w:w="356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40</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280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1.指化学发光法；2.其它免疫学方法30元。</w:t>
            </w:r>
          </w:p>
        </w:tc>
      </w:tr>
      <w:tr>
        <w:tblPrEx>
          <w:tblLayout w:type="fixed"/>
          <w:tblCellMar>
            <w:top w:w="0" w:type="dxa"/>
            <w:left w:w="108" w:type="dxa"/>
            <w:bottom w:w="0" w:type="dxa"/>
            <w:right w:w="108" w:type="dxa"/>
          </w:tblCellMar>
        </w:tblPrEx>
        <w:trPr>
          <w:trHeight w:val="120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8</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250404021</w:t>
            </w:r>
          </w:p>
        </w:tc>
        <w:tc>
          <w:tcPr>
            <w:tcW w:w="208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肿瘤标志物</w:t>
            </w:r>
          </w:p>
        </w:tc>
        <w:tc>
          <w:tcPr>
            <w:tcW w:w="356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包括PsA、FPsA、CA125、CA153、CA199、CA724、NsE、CYFP211</w:t>
            </w: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280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1.指化学发光法；2.其它免疫学方法30元。</w:t>
            </w:r>
          </w:p>
        </w:tc>
      </w:tr>
      <w:tr>
        <w:tblPrEx>
          <w:tblLayout w:type="fixed"/>
          <w:tblCellMar>
            <w:top w:w="0" w:type="dxa"/>
            <w:left w:w="108" w:type="dxa"/>
            <w:bottom w:w="0" w:type="dxa"/>
            <w:right w:w="108" w:type="dxa"/>
          </w:tblCellMar>
        </w:tblPrEx>
        <w:trPr>
          <w:trHeight w:val="120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9</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2504040211</w:t>
            </w:r>
          </w:p>
        </w:tc>
        <w:tc>
          <w:tcPr>
            <w:tcW w:w="208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肿瘤标志物</w:t>
            </w:r>
          </w:p>
        </w:tc>
        <w:tc>
          <w:tcPr>
            <w:tcW w:w="356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包括FPsA、CA125、CA153、CA199、CA724、NsE、CYFP211。不适用AFP、CEA、PsA。</w:t>
            </w: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280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1.指化学发光法；2.其它免疫学方法30元。</w:t>
            </w:r>
          </w:p>
        </w:tc>
      </w:tr>
      <w:tr>
        <w:tblPrEx>
          <w:tblLayout w:type="fixed"/>
          <w:tblCellMar>
            <w:top w:w="0" w:type="dxa"/>
            <w:left w:w="108" w:type="dxa"/>
            <w:bottom w:w="0" w:type="dxa"/>
            <w:right w:w="108" w:type="dxa"/>
          </w:tblCellMar>
        </w:tblPrEx>
        <w:trPr>
          <w:trHeight w:val="120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10</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H</w:t>
            </w:r>
          </w:p>
        </w:tc>
        <w:tc>
          <w:tcPr>
            <w:tcW w:w="121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250404030</w:t>
            </w:r>
          </w:p>
        </w:tc>
        <w:tc>
          <w:tcPr>
            <w:tcW w:w="208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甲胎蛋白AFP测定</w:t>
            </w:r>
          </w:p>
        </w:tc>
        <w:tc>
          <w:tcPr>
            <w:tcW w:w="356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包括癌胚抗原CEA</w:t>
            </w: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p>
        </w:tc>
        <w:tc>
          <w:tcPr>
            <w:tcW w:w="6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项</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280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olor w:val="000000"/>
                <w:sz w:val="20"/>
                <w:szCs w:val="20"/>
              </w:rPr>
            </w:pPr>
            <w:r>
              <w:rPr>
                <w:rFonts w:hint="eastAsia" w:ascii="宋体" w:hAnsi="宋体"/>
                <w:color w:val="000000"/>
                <w:sz w:val="20"/>
                <w:szCs w:val="20"/>
              </w:rPr>
              <w:t>1.指化学发光法；2.不得按照“250310053 激素类及其它”收费。</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38B5"/>
    <w:rsid w:val="0015494B"/>
    <w:rsid w:val="001607CD"/>
    <w:rsid w:val="00172A27"/>
    <w:rsid w:val="00237BCB"/>
    <w:rsid w:val="0026504D"/>
    <w:rsid w:val="00385715"/>
    <w:rsid w:val="003A788C"/>
    <w:rsid w:val="003B2CB8"/>
    <w:rsid w:val="00414DE4"/>
    <w:rsid w:val="00445304"/>
    <w:rsid w:val="004842AC"/>
    <w:rsid w:val="00501A3D"/>
    <w:rsid w:val="006D39AD"/>
    <w:rsid w:val="006E0C1A"/>
    <w:rsid w:val="00703747"/>
    <w:rsid w:val="00755CEB"/>
    <w:rsid w:val="008701CE"/>
    <w:rsid w:val="009E1424"/>
    <w:rsid w:val="00A53AD9"/>
    <w:rsid w:val="00B955EC"/>
    <w:rsid w:val="00D05BF0"/>
    <w:rsid w:val="00DE2844"/>
    <w:rsid w:val="00E97AC3"/>
    <w:rsid w:val="00EB7A14"/>
    <w:rsid w:val="00F21442"/>
    <w:rsid w:val="00F81AFD"/>
    <w:rsid w:val="3E595260"/>
    <w:rsid w:val="40B30F5A"/>
    <w:rsid w:val="558B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uiPriority w:val="9"/>
    <w:rPr>
      <w:rFonts w:ascii="Calibri" w:hAnsi="Calibri" w:eastAsia="宋体" w:cs="Times New Roman"/>
      <w:b/>
      <w:bCs/>
      <w:kern w:val="44"/>
      <w:sz w:val="44"/>
      <w:szCs w:val="44"/>
    </w:rPr>
  </w:style>
  <w:style w:type="character" w:customStyle="1" w:styleId="11">
    <w:name w:val="日期 字符"/>
    <w:basedOn w:val="7"/>
    <w:link w:val="3"/>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1522</Characters>
  <Lines>12</Lines>
  <Paragraphs>3</Paragraphs>
  <TotalTime>52</TotalTime>
  <ScaleCrop>false</ScaleCrop>
  <LinksUpToDate>false</LinksUpToDate>
  <CharactersWithSpaces>1785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2024-11-04T07:52:00Z</dcterms:created>
  <dc:creator>wang dong</dc:creator>
  <cp:lastModifiedBy>ybzx</cp:lastModifiedBy>
  <cp:lastPrinted>2024-12-13T04:14:00Z</cp:lastPrinted>
  <dcterms:modified xsi:type="dcterms:W3CDTF">2024-12-17T02:50:22Z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152C4BD016184B8C87338497D4FCF828_12</vt:lpwstr>
  </property>
</Properties>
</file>