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CF2048">
      <w:pPr>
        <w:pStyle w:val="9"/>
        <w:framePr w:wrap="around"/>
        <w:jc w:val="both"/>
      </w:pPr>
      <w:r>
        <w:rPr>
          <w:rFonts w:ascii="Times New Roman"/>
        </w:rPr>
        <w:t>ICS</w:t>
      </w:r>
      <w:r>
        <w:rPr>
          <w:rFonts w:hint="eastAsia" w:ascii="MS Mincho" w:hAnsi="MS Mincho" w:eastAsia="MS Mincho" w:cs="MS Mincho"/>
        </w:rPr>
        <w:t> </w:t>
      </w:r>
      <w:r>
        <w:rPr>
          <w:rFonts w:hint="eastAsia"/>
        </w:rPr>
        <w:fldChar w:fldCharType="begin">
          <w:ffData>
            <w:name w:val="ICS"/>
            <w:enabled/>
            <w:calcOnExit w:val="0"/>
            <w:helpText w:type="text" w:val="请输入正确的ICS号："/>
            <w:textInput>
              <w:default w:val="点击此处添加ICS号"/>
            </w:textInput>
          </w:ffData>
        </w:fldChar>
      </w:r>
      <w:bookmarkStart w:id="0" w:name="ICS"/>
      <w:r>
        <w:rPr>
          <w:rFonts w:hint="eastAsia"/>
        </w:rPr>
        <w:instrText xml:space="preserve">FORMTEXT</w:instrText>
      </w:r>
      <w:r>
        <w:rPr>
          <w:rFonts w:hint="eastAsia"/>
        </w:rPr>
        <w:fldChar w:fldCharType="separate"/>
      </w:r>
      <w:r>
        <w:rPr>
          <w:rFonts w:hint="eastAsia"/>
        </w:rPr>
        <w:t>01.040.01</w:t>
      </w:r>
      <w:r>
        <w:rPr>
          <w:rFonts w:hint="eastAsia"/>
        </w:rPr>
        <w:fldChar w:fldCharType="end"/>
      </w:r>
      <w:bookmarkEnd w:id="0"/>
    </w:p>
    <w:p w14:paraId="0C162B1F">
      <w:pPr>
        <w:pStyle w:val="9"/>
        <w:framePr w:wrap="around"/>
        <w:jc w:val="both"/>
      </w:pPr>
      <w:bookmarkStart w:id="1" w:name="WXFLH"/>
      <w:r>
        <w:rPr>
          <w:rFonts w:ascii="Times New Roman"/>
        </w:rPr>
        <w:fldChar w:fldCharType="begin">
          <w:ffData>
            <w:name w:val="WXFLH"/>
            <w:enabled/>
            <w:calcOnExit w:val="0"/>
            <w:helpText w:type="text" w:val="请输入中国标准文献分类号："/>
            <w:textInput>
              <w:default w:val="CCS Z 00"/>
            </w:textInput>
          </w:ffData>
        </w:fldChar>
      </w:r>
      <w:r>
        <w:rPr>
          <w:rFonts w:ascii="Times New Roman"/>
        </w:rPr>
        <w:instrText xml:space="preserve"> FORMTEXT </w:instrText>
      </w:r>
      <w:r>
        <w:rPr>
          <w:rFonts w:ascii="Times New Roman"/>
        </w:rPr>
        <w:fldChar w:fldCharType="separate"/>
      </w:r>
      <w:r>
        <w:rPr>
          <w:rFonts w:ascii="Times New Roman"/>
        </w:rPr>
        <w:t>CCS Z 00</w:t>
      </w:r>
      <w:r>
        <w:rPr>
          <w:rFonts w:ascii="Times New Roman"/>
        </w:rPr>
        <w:fldChar w:fldCharType="end"/>
      </w:r>
      <w:bookmarkEnd w:id="1"/>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1"/>
      </w:tblGrid>
      <w:tr w14:paraId="7672DF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tcPr>
          <w:p w14:paraId="49810A3F">
            <w:pPr>
              <w:pStyle w:val="9"/>
              <w:framePr w:wrap="around"/>
              <w:jc w:val="both"/>
            </w:pPr>
            <w:r>
              <mc:AlternateContent>
                <mc:Choice Requires="wps">
                  <w:drawing>
                    <wp:anchor distT="0" distB="0" distL="114300" distR="114300" simplePos="0" relativeHeight="251661312" behindDoc="1" locked="0" layoutInCell="1" allowOverlap="1">
                      <wp:simplePos x="0" y="0"/>
                      <wp:positionH relativeFrom="column">
                        <wp:posOffset>-66675</wp:posOffset>
                      </wp:positionH>
                      <wp:positionV relativeFrom="paragraph">
                        <wp:posOffset>0</wp:posOffset>
                      </wp:positionV>
                      <wp:extent cx="866775" cy="198120"/>
                      <wp:effectExtent l="0" t="0" r="7620" b="6985"/>
                      <wp:wrapNone/>
                      <wp:docPr id="2" name="矩形 2"/>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bodyPr upright="1"/>
                          </wps:wsp>
                        </a:graphicData>
                      </a:graphic>
                    </wp:anchor>
                  </w:drawing>
                </mc:Choice>
                <mc:Fallback>
                  <w:pict>
                    <v:rect id="_x0000_s1026" o:spid="_x0000_s1026" o:spt="1" style="position:absolute;left:0pt;margin-left:-5.25pt;margin-top:0pt;height:15.6pt;width:68.25pt;z-index:-251655168;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Iri/s&#10;1QAAAAcBAAAPAAAAAAAAAAEAIAAAACIAAABkcnMvZG93bnJldi54bWxQSwECFAAUAAAACACHTuJA&#10;d6NCF7IBAABeAwAADgAAAAAAAAABACAAAAAkAQAAZHJzL2Uyb0RvYy54bWxQSwUGAAAAAAYABgBZ&#10;AQAASAUAAAAA&#10;">
                      <v:fill on="t" focussize="0,0"/>
                      <v:stroke on="f"/>
                      <v:imagedata o:title=""/>
                      <o:lock v:ext="edit" aspectratio="f"/>
                    </v:rect>
                  </w:pict>
                </mc:Fallback>
              </mc:AlternateContent>
            </w:r>
            <w:r>
              <w:fldChar w:fldCharType="begin">
                <w:ffData>
                  <w:name w:val="BAH"/>
                  <w:enabled/>
                  <w:calcOnExit w:val="0"/>
                  <w:textInput/>
                </w:ffData>
              </w:fldChar>
            </w:r>
            <w:bookmarkStart w:id="2" w:name="BAH"/>
            <w:r>
              <w:instrText xml:space="preserve"> FORMTEXT </w:instrText>
            </w:r>
            <w:r>
              <w:fldChar w:fldCharType="separate"/>
            </w:r>
            <w:r>
              <w:t>     </w:t>
            </w:r>
            <w:r>
              <w:fldChar w:fldCharType="end"/>
            </w:r>
            <w:bookmarkEnd w:id="2"/>
          </w:p>
        </w:tc>
      </w:tr>
    </w:tbl>
    <w:p w14:paraId="2FF0C443">
      <w:pPr>
        <w:pStyle w:val="10"/>
        <w:framePr w:wrap="around"/>
      </w:pPr>
      <w:r>
        <w:t>DB</w:t>
      </w:r>
      <w:r>
        <w:rPr>
          <w:rFonts w:hint="eastAsia"/>
        </w:rPr>
        <w:t>61</w:t>
      </w:r>
    </w:p>
    <w:p w14:paraId="42A61C60">
      <w:pPr>
        <w:pStyle w:val="12"/>
        <w:framePr w:wrap="around"/>
        <w:rPr>
          <w:rFonts w:hint="eastAsia"/>
        </w:rPr>
      </w:pPr>
      <w:r>
        <w:rPr>
          <w:rFonts w:hint="eastAsia"/>
        </w:rPr>
        <w:t>陕西省地方标准</w:t>
      </w:r>
    </w:p>
    <w:p w14:paraId="799B6723">
      <w:pPr>
        <w:pStyle w:val="13"/>
        <w:framePr w:wrap="around"/>
        <w:rPr>
          <w:rFonts w:hint="eastAsia" w:hAnsi="黑体"/>
        </w:rPr>
      </w:pPr>
      <w:r>
        <w:rPr>
          <w:rFonts w:ascii="Times New Roman"/>
        </w:rPr>
        <w:t xml:space="preserve">DB </w:t>
      </w:r>
      <w:r>
        <w:rPr>
          <w:rFonts w:hint="eastAsia" w:hAnsi="黑体"/>
        </w:rPr>
        <w:t>61</w:t>
      </w:r>
      <w:r>
        <w:rPr>
          <w:rFonts w:hAnsi="黑体"/>
        </w:rPr>
        <w:t>/</w:t>
      </w:r>
      <w:r>
        <w:rPr>
          <w:rFonts w:hint="eastAsia" w:hAnsi="黑体"/>
        </w:rPr>
        <w:t>T</w:t>
      </w:r>
      <w:r>
        <w:rPr>
          <w:rFonts w:hAnsi="黑体"/>
        </w:rPr>
        <w:t xml:space="preserve"> XXXX—</w:t>
      </w:r>
      <w:r>
        <w:rPr>
          <w:rFonts w:hint="eastAsia" w:hAnsi="黑体"/>
        </w:rPr>
        <w:t>20</w:t>
      </w:r>
      <w:r>
        <w:rPr>
          <w:rFonts w:hAnsi="黑体"/>
        </w:rPr>
        <w:t>XX</w:t>
      </w: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14:paraId="34EB2F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14:paraId="59D0A8DE">
            <w:pPr>
              <w:pStyle w:val="14"/>
              <w:framePr w:wrap="around"/>
              <w:jc w:val="both"/>
            </w:pPr>
            <w:bookmarkStart w:id="3" w:name="DT"/>
            <w:r>
              <w:fldChar w:fldCharType="begin">
                <w:ffData>
                  <w:name w:val="DT"/>
                  <w:enabled/>
                  <w:calcOnExit w:val="0"/>
                  <w:textInput/>
                </w:ffData>
              </w:fldChar>
            </w:r>
            <w:r>
              <w:instrText xml:space="preserve"> FORMTEXT </w:instrText>
            </w:r>
            <w:r>
              <w:fldChar w:fldCharType="separate"/>
            </w:r>
            <w:r>
              <w:t>     </w:t>
            </w:r>
            <w:r>
              <w:fldChar w:fldCharType="end"/>
            </w:r>
            <w:bookmarkEnd w:id="3"/>
          </w:p>
        </w:tc>
      </w:tr>
    </w:tbl>
    <w:p w14:paraId="3D9A8ACA">
      <w:pPr>
        <w:pStyle w:val="13"/>
        <w:framePr w:wrap="around"/>
        <w:jc w:val="both"/>
        <w:rPr>
          <w:rFonts w:hint="eastAsia" w:hAnsi="黑体"/>
        </w:rPr>
      </w:pPr>
    </w:p>
    <w:p w14:paraId="6CCB2C3D">
      <w:pPr>
        <w:pStyle w:val="13"/>
        <w:framePr w:wrap="around"/>
        <w:jc w:val="both"/>
        <w:rPr>
          <w:rFonts w:hint="eastAsia" w:hAnsi="黑体"/>
        </w:rPr>
      </w:pPr>
    </w:p>
    <w:p w14:paraId="496D1D97">
      <w:pPr>
        <w:pStyle w:val="15"/>
        <w:framePr w:wrap="around"/>
      </w:pPr>
      <w:r>
        <w:rPr>
          <w:rFonts w:hint="eastAsia" w:ascii="Times New Roman"/>
          <w:lang w:eastAsia="zh-CN"/>
        </w:rPr>
        <w:t>温室气体</w:t>
      </w:r>
      <w:r>
        <w:rPr>
          <w:rFonts w:hint="eastAsia" w:ascii="Times New Roman"/>
        </w:rPr>
        <w:t>高精度自动监测技术规范</w:t>
      </w:r>
    </w:p>
    <w:p w14:paraId="7A150664">
      <w:pPr>
        <w:pStyle w:val="16"/>
        <w:framePr w:wrap="around"/>
        <w:rPr>
          <w:rFonts w:hint="eastAsia" w:eastAsia="黑体"/>
          <w:lang w:eastAsia="zh-CN"/>
        </w:rPr>
      </w:pPr>
      <w:r>
        <w:t>Technical specification for high-precision automatic monitoring of greenhouse gases</w:t>
      </w:r>
      <w:r>
        <w:rPr>
          <w:rFonts w:hint="eastAsia"/>
          <w:lang w:eastAsia="zh-CN"/>
        </w:rPr>
        <w:t>（CH</w:t>
      </w:r>
      <w:r>
        <w:rPr>
          <w:rFonts w:hint="eastAsia"/>
          <w:vertAlign w:val="subscript"/>
          <w:lang w:eastAsia="zh-CN"/>
        </w:rPr>
        <w:t>4</w:t>
      </w:r>
      <w:r>
        <w:rPr>
          <w:rFonts w:hint="eastAsia"/>
          <w:lang w:eastAsia="zh-CN"/>
        </w:rPr>
        <w:t>、CO</w:t>
      </w:r>
      <w:r>
        <w:rPr>
          <w:rFonts w:hint="eastAsia"/>
          <w:vertAlign w:val="subscript"/>
          <w:lang w:eastAsia="zh-CN"/>
        </w:rPr>
        <w:t>2</w:t>
      </w:r>
      <w:r>
        <w:rPr>
          <w:rFonts w:hint="eastAsia"/>
          <w:lang w:eastAsia="zh-CN"/>
        </w:rPr>
        <w:t>）</w:t>
      </w:r>
    </w:p>
    <w:p w14:paraId="13A310AF">
      <w:pPr>
        <w:pStyle w:val="16"/>
        <w:framePr w:wrap="around"/>
        <w:rPr>
          <w:rFonts w:hint="eastAsia" w:ascii="宋体" w:hAnsi="宋体" w:eastAsia="宋体"/>
        </w:rPr>
      </w:pPr>
      <w:r>
        <w:rPr>
          <w:rFonts w:hint="eastAsia" w:ascii="宋体" w:hAnsi="宋体" w:eastAsia="宋体"/>
        </w:rPr>
        <w:t>（征求意见稿）</w:t>
      </w:r>
    </w:p>
    <w:p w14:paraId="71C3C1D8">
      <w:pPr>
        <w:pStyle w:val="17"/>
        <w:framePr w:wrap="around"/>
        <w:jc w:val="both"/>
      </w:pPr>
    </w:p>
    <w:p w14:paraId="7DF0651D">
      <w:pPr>
        <w:pStyle w:val="18"/>
        <w:framePr w:wrap="around"/>
        <w:jc w:val="both"/>
      </w:pPr>
      <w:r>
        <w:rPr>
          <w:rFonts w:hint="eastAsia" w:ascii="黑体"/>
        </w:rPr>
        <w:t>202</w:t>
      </w:r>
      <w:r>
        <w:rPr>
          <w:rFonts w:ascii="黑体"/>
        </w:rPr>
        <w:t>X</w:t>
      </w:r>
      <w:r>
        <w:t xml:space="preserve"> </w:t>
      </w:r>
      <w:r>
        <w:rPr>
          <w:rFonts w:ascii="黑体"/>
        </w:rPr>
        <w:t>-</w:t>
      </w:r>
      <w:r>
        <w:t xml:space="preserve"> </w:t>
      </w:r>
      <w:r>
        <w:rPr>
          <w:rFonts w:ascii="黑体"/>
        </w:rPr>
        <w:t>XX</w:t>
      </w:r>
      <w:r>
        <w:t xml:space="preserve"> </w:t>
      </w:r>
      <w:r>
        <w:rPr>
          <w:rFonts w:ascii="黑体"/>
        </w:rPr>
        <w:t>-</w:t>
      </w:r>
      <w:r>
        <w:t xml:space="preserve"> </w:t>
      </w:r>
      <w:r>
        <w:rPr>
          <w:rFonts w:ascii="黑体"/>
        </w:rPr>
        <w:t>XX</w:t>
      </w:r>
      <w:r>
        <w:rPr>
          <w:rFonts w:hint="eastAsia"/>
        </w:rPr>
        <w:t>发布</w:t>
      </w:r>
      <w:r>
        <mc:AlternateContent>
          <mc:Choice Requires="wps">
            <w:drawing>
              <wp:anchor distT="0" distB="0" distL="114300" distR="114300" simplePos="0" relativeHeight="251662336" behindDoc="0" locked="1" layoutInCell="1" allowOverlap="1">
                <wp:simplePos x="0" y="0"/>
                <wp:positionH relativeFrom="column">
                  <wp:posOffset>-635</wp:posOffset>
                </wp:positionH>
                <wp:positionV relativeFrom="page">
                  <wp:posOffset>9251950</wp:posOffset>
                </wp:positionV>
                <wp:extent cx="6120130" cy="0"/>
                <wp:effectExtent l="0" t="4445" r="0" b="5080"/>
                <wp:wrapNone/>
                <wp:docPr id="3" name="直接连接符 3"/>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0.05pt;margin-top:728.5pt;height:0pt;width:481.9pt;mso-position-vertical-relative:page;z-index:251662336;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Ydr&#10;PNYAAAALAQAADwAAAAAAAAABACAAAAAiAAAAZHJzL2Rvd25yZXYueG1sUEsBAhQAFAAAAAgAh07i&#10;QNhQ0yHrAQAA2AMAAA4AAAAAAAAAAQAgAAAAJQEAAGRycy9lMm9Eb2MueG1sUEsFBgAAAAAGAAYA&#10;WQEAAIIFAAAAAA==&#10;">
                <v:fill on="f" focussize="0,0"/>
                <v:stroke color="#000000" joinstyle="round"/>
                <v:imagedata o:title=""/>
                <o:lock v:ext="edit" aspectratio="f"/>
                <w10:anchorlock/>
              </v:line>
            </w:pict>
          </mc:Fallback>
        </mc:AlternateContent>
      </w:r>
    </w:p>
    <w:p w14:paraId="0A640E3D">
      <w:pPr>
        <w:pStyle w:val="20"/>
        <w:framePr w:wrap="around"/>
        <w:jc w:val="both"/>
      </w:pPr>
      <w:r>
        <w:rPr>
          <w:rFonts w:hint="eastAsia" w:ascii="黑体"/>
        </w:rPr>
        <w:t>202</w:t>
      </w:r>
      <w:r>
        <w:rPr>
          <w:rFonts w:ascii="黑体"/>
        </w:rPr>
        <w:t>X</w:t>
      </w:r>
      <w:r>
        <w:t xml:space="preserve"> </w:t>
      </w:r>
      <w:r>
        <w:rPr>
          <w:rFonts w:ascii="黑体"/>
        </w:rPr>
        <w:t>-</w:t>
      </w:r>
      <w:r>
        <w:t xml:space="preserve"> </w:t>
      </w:r>
      <w:r>
        <w:rPr>
          <w:rFonts w:ascii="黑体"/>
        </w:rPr>
        <w:t>XX</w:t>
      </w:r>
      <w:r>
        <w:t xml:space="preserve"> </w:t>
      </w:r>
      <w:r>
        <w:rPr>
          <w:rFonts w:ascii="黑体"/>
        </w:rPr>
        <w:t>-</w:t>
      </w:r>
      <w:r>
        <w:t xml:space="preserve"> </w:t>
      </w:r>
      <w:r>
        <w:rPr>
          <w:rFonts w:ascii="黑体"/>
        </w:rPr>
        <w:t>XX</w:t>
      </w:r>
      <w:r>
        <w:rPr>
          <w:rFonts w:hint="eastAsia"/>
        </w:rPr>
        <w:t>实施</w:t>
      </w:r>
    </w:p>
    <w:p w14:paraId="3B82E1A6">
      <w:pPr>
        <w:pStyle w:val="22"/>
        <w:framePr w:wrap="around"/>
        <w:jc w:val="both"/>
      </w:pPr>
      <w:bookmarkStart w:id="4" w:name="fm"/>
      <w:r>
        <w:rPr>
          <w:w w:val="100"/>
        </w:rPr>
        <mc:AlternateContent>
          <mc:Choice Requires="wps">
            <w:drawing>
              <wp:anchor distT="0" distB="0" distL="114300" distR="114300" simplePos="0" relativeHeight="251660288" behindDoc="1" locked="0" layoutInCell="1" allowOverlap="1">
                <wp:simplePos x="0" y="0"/>
                <wp:positionH relativeFrom="column">
                  <wp:posOffset>1810385</wp:posOffset>
                </wp:positionH>
                <wp:positionV relativeFrom="paragraph">
                  <wp:posOffset>-3942715</wp:posOffset>
                </wp:positionV>
                <wp:extent cx="1270000" cy="304800"/>
                <wp:effectExtent l="0" t="0" r="3810" b="8255"/>
                <wp:wrapNone/>
                <wp:docPr id="7" name="矩形 7"/>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wps:spPr>
                      <wps:bodyPr upright="1"/>
                    </wps:wsp>
                  </a:graphicData>
                </a:graphic>
              </wp:anchor>
            </w:drawing>
          </mc:Choice>
          <mc:Fallback>
            <w:pict>
              <v:rect id="_x0000_s1026" o:spid="_x0000_s1026" o:spt="1" style="position:absolute;left:0pt;margin-left:142.55pt;margin-top:-310.45pt;height:24pt;width:100pt;z-index:-251656192;mso-width-relative:page;mso-height-relative:page;" fillcolor="#FFFFFF" filled="t" stroked="f" coordsize="21600,21600"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5te7W&#10;2QAAAA0BAAAPAAAAAAAAAAEAIAAAACIAAABkcnMvZG93bnJldi54bWxQSwECFAAUAAAACACHTuJA&#10;GPHnuq4BAABfAwAADgAAAAAAAAABACAAAAAoAQAAZHJzL2Uyb0RvYy54bWxQSwUGAAAAAAYABgBZ&#10;AQAASAUAAAAA&#10;">
                <v:fill on="t" focussize="0,0"/>
                <v:stroke on="f"/>
                <v:imagedata o:title=""/>
                <o:lock v:ext="edit" aspectratio="f"/>
              </v:rect>
            </w:pict>
          </mc:Fallback>
        </mc:AlternateContent>
      </w:r>
      <w:r>
        <w:rPr>
          <w:w w:val="100"/>
        </w:rPr>
        <mc:AlternateContent>
          <mc:Choice Requires="wps">
            <w:drawing>
              <wp:anchor distT="0" distB="0" distL="114300" distR="114300" simplePos="0" relativeHeight="251659264" behindDoc="1" locked="0" layoutInCell="1" allowOverlap="1">
                <wp:simplePos x="0" y="0"/>
                <wp:positionH relativeFrom="column">
                  <wp:posOffset>4413885</wp:posOffset>
                </wp:positionH>
                <wp:positionV relativeFrom="paragraph">
                  <wp:posOffset>-7435215</wp:posOffset>
                </wp:positionV>
                <wp:extent cx="1143000" cy="228600"/>
                <wp:effectExtent l="0" t="0" r="1270" b="8890"/>
                <wp:wrapNone/>
                <wp:docPr id="4" name="矩形 4"/>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bodyPr upright="1"/>
                    </wps:wsp>
                  </a:graphicData>
                </a:graphic>
              </wp:anchor>
            </w:drawing>
          </mc:Choice>
          <mc:Fallback>
            <w:pict>
              <v:rect id="_x0000_s1026" o:spid="_x0000_s1026" o:spt="1" style="position:absolute;left:0pt;margin-left:347.55pt;margin-top:-585.45pt;height:18pt;width:90pt;z-index:-251657216;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38mK&#10;EdoAAAAPAQAADwAAAAAAAAABACAAAAAiAAAAZHJzL2Rvd25yZXYueG1sUEsBAhQAFAAAAAgAh07i&#10;QDH9rySuAQAAXwMAAA4AAAAAAAAAAQAgAAAAKQEAAGRycy9lMm9Eb2MueG1sUEsFBgAAAAAGAAYA&#10;WQEAAEkFAAAAAA==&#10;">
                <v:fill on="t" focussize="0,0"/>
                <v:stroke on="f"/>
                <v:imagedata o:title=""/>
                <o:lock v:ext="edit" aspectratio="f"/>
              </v:rect>
            </w:pict>
          </mc:Fallback>
        </mc:AlternateContent>
      </w:r>
      <w:r>
        <w:rPr>
          <w:w w:val="100"/>
        </w:rPr>
        <mc:AlternateContent>
          <mc:Choice Requires="wps">
            <w:drawing>
              <wp:anchor distT="0" distB="0" distL="114300" distR="114300" simplePos="0" relativeHeight="251663360" behindDoc="0" locked="0" layoutInCell="1" allowOverlap="1">
                <wp:simplePos x="0" y="0"/>
                <wp:positionH relativeFrom="column">
                  <wp:posOffset>-464820</wp:posOffset>
                </wp:positionH>
                <wp:positionV relativeFrom="paragraph">
                  <wp:posOffset>-7021195</wp:posOffset>
                </wp:positionV>
                <wp:extent cx="6120130"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36.6pt;margin-top:-552.85pt;height:0pt;width:481.9pt;z-index:251663360;mso-width-relative:page;mso-height-relative:page;" filled="f" stroked="t" coordsize="21600,21600"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7&#10;JZGg2AAAAA8BAAAPAAAAAAAAAAEAIAAAACIAAABkcnMvZG93bnJldi54bWxQSwECFAAUAAAACACH&#10;TuJAJdarw+sBAADYAwAADgAAAAAAAAABACAAAAAnAQAAZHJzL2Uyb0RvYy54bWxQSwUGAAAAAAYA&#10;BgBZAQAAhAUAAAAA&#10;">
                <v:fill on="f" focussize="0,0"/>
                <v:stroke color="#000000" joinstyle="round"/>
                <v:imagedata o:title=""/>
                <o:lock v:ext="edit" aspectratio="f"/>
              </v:line>
            </w:pict>
          </mc:Fallback>
        </mc:AlternateContent>
      </w:r>
      <w:bookmarkEnd w:id="4"/>
      <w:r>
        <w:rPr>
          <w:rFonts w:hint="eastAsia"/>
        </w:rPr>
        <w:t>陕西省市场监督管理局</w:t>
      </w:r>
      <w:r>
        <w:rPr>
          <w:rFonts w:hAnsi="黑体"/>
        </w:rPr>
        <w:t>   </w:t>
      </w:r>
      <w:r>
        <w:rPr>
          <w:rStyle w:val="25"/>
          <w:rFonts w:hint="eastAsia"/>
        </w:rPr>
        <w:t>发布</w:t>
      </w:r>
    </w:p>
    <w:p w14:paraId="44B163BC">
      <w:pPr>
        <w:pStyle w:val="24"/>
        <w:sectPr>
          <w:headerReference r:id="rId3" w:type="even"/>
          <w:footerReference r:id="rId4" w:type="even"/>
          <w:pgSz w:w="11906" w:h="16838"/>
          <w:pgMar w:top="567" w:right="1134" w:bottom="1134" w:left="1417" w:header="0" w:footer="0" w:gutter="0"/>
          <w:pgNumType w:start="1"/>
          <w:cols w:space="720" w:num="1"/>
          <w:docGrid w:type="lines" w:linePitch="312" w:charSpace="0"/>
        </w:sectPr>
      </w:pPr>
    </w:p>
    <w:p w14:paraId="48AD4A59">
      <w:pPr>
        <w:pStyle w:val="26"/>
      </w:pPr>
      <w:bookmarkStart w:id="5" w:name="_Toc31112"/>
      <w:bookmarkStart w:id="6" w:name="_Toc12193"/>
      <w:bookmarkStart w:id="7" w:name="_Toc8428"/>
      <w:bookmarkStart w:id="8" w:name="_Toc128642730"/>
      <w:bookmarkStart w:id="9" w:name="_Toc11186"/>
      <w:r>
        <w:rPr>
          <w:rFonts w:hint="eastAsia"/>
        </w:rPr>
        <w:t>目</w:t>
      </w:r>
      <w:bookmarkStart w:id="10" w:name="BKML"/>
      <w:r>
        <w:rPr>
          <w:rFonts w:hAnsi="黑体"/>
        </w:rPr>
        <w:t>  </w:t>
      </w:r>
      <w:r>
        <w:rPr>
          <w:rFonts w:hint="eastAsia"/>
        </w:rPr>
        <w:t>次</w:t>
      </w:r>
      <w:bookmarkEnd w:id="5"/>
      <w:bookmarkEnd w:id="6"/>
      <w:bookmarkEnd w:id="7"/>
      <w:bookmarkEnd w:id="8"/>
      <w:bookmarkEnd w:id="9"/>
      <w:bookmarkEnd w:id="10"/>
    </w:p>
    <w:p w14:paraId="3FA95815">
      <w:pPr>
        <w:pStyle w:val="5"/>
        <w:tabs>
          <w:tab w:val="right" w:leader="dot" w:pos="9355"/>
          <w:tab w:val="clear" w:pos="9241"/>
        </w:tabs>
      </w:pPr>
      <w:r>
        <w:rPr>
          <w:rFonts w:hint="eastAsia" w:ascii="等线" w:hAnsi="等线" w:eastAsia="等线"/>
          <w:szCs w:val="22"/>
        </w:rPr>
        <w:fldChar w:fldCharType="begin"/>
      </w:r>
      <w:r>
        <w:rPr>
          <w:rFonts w:hint="eastAsia" w:ascii="等线" w:hAnsi="等线" w:eastAsia="等线"/>
          <w:szCs w:val="22"/>
        </w:rPr>
        <w:instrText xml:space="preserve">TOC \o "1-2" \h \u </w:instrText>
      </w:r>
      <w:r>
        <w:rPr>
          <w:rFonts w:hint="eastAsia" w:ascii="等线" w:hAnsi="等线" w:eastAsia="等线"/>
          <w:szCs w:val="22"/>
        </w:rPr>
        <w:fldChar w:fldCharType="separate"/>
      </w:r>
    </w:p>
    <w:p w14:paraId="1B285F31">
      <w:pPr>
        <w:pStyle w:val="5"/>
        <w:keepNext w:val="0"/>
        <w:keepLines w:val="0"/>
        <w:pageBreakBefore w:val="0"/>
        <w:widowControl w:val="0"/>
        <w:tabs>
          <w:tab w:val="right" w:leader="dot" w:pos="9355"/>
          <w:tab w:val="clear" w:pos="9241"/>
        </w:tabs>
        <w:kinsoku/>
        <w:wordWrap/>
        <w:overflowPunct/>
        <w:topLinePunct w:val="0"/>
        <w:autoSpaceDE/>
        <w:autoSpaceDN/>
        <w:bidi w:val="0"/>
        <w:adjustRightInd/>
        <w:snapToGrid/>
        <w:spacing w:before="0" w:beforeLines="0" w:after="0" w:afterLines="0" w:line="240" w:lineRule="auto"/>
        <w:textAlignment w:val="auto"/>
        <w:rPr>
          <w:rFonts w:hint="eastAsia" w:ascii="黑体" w:hAnsi="黑体" w:eastAsia="黑体" w:cs="黑体"/>
        </w:rPr>
      </w:pPr>
      <w:r>
        <w:rPr>
          <w:rFonts w:hint="eastAsia" w:ascii="黑体" w:hAnsi="黑体" w:eastAsia="黑体" w:cs="黑体"/>
          <w:szCs w:val="22"/>
        </w:rPr>
        <w:fldChar w:fldCharType="begin"/>
      </w:r>
      <w:r>
        <w:rPr>
          <w:rFonts w:hint="eastAsia" w:ascii="黑体" w:hAnsi="黑体" w:eastAsia="黑体" w:cs="黑体"/>
          <w:szCs w:val="22"/>
        </w:rPr>
        <w:instrText xml:space="preserve"> HYPERLINK \l _Toc18682 </w:instrText>
      </w:r>
      <w:r>
        <w:rPr>
          <w:rFonts w:hint="eastAsia" w:ascii="黑体" w:hAnsi="黑体" w:eastAsia="黑体" w:cs="黑体"/>
          <w:szCs w:val="22"/>
        </w:rPr>
        <w:fldChar w:fldCharType="separate"/>
      </w:r>
      <w:r>
        <w:rPr>
          <w:rFonts w:hint="eastAsia" w:ascii="黑体" w:hAnsi="黑体" w:eastAsia="黑体" w:cs="黑体"/>
        </w:rPr>
        <w:t>前  言</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_Toc18682 \h </w:instrText>
      </w:r>
      <w:r>
        <w:rPr>
          <w:rFonts w:hint="eastAsia" w:ascii="黑体" w:hAnsi="黑体" w:eastAsia="黑体" w:cs="黑体"/>
        </w:rPr>
        <w:fldChar w:fldCharType="separate"/>
      </w:r>
      <w:r>
        <w:rPr>
          <w:rFonts w:hint="eastAsia" w:ascii="黑体" w:hAnsi="黑体" w:eastAsia="黑体" w:cs="黑体"/>
        </w:rPr>
        <w:t>II</w:t>
      </w:r>
      <w:r>
        <w:rPr>
          <w:rFonts w:hint="eastAsia" w:ascii="黑体" w:hAnsi="黑体" w:eastAsia="黑体" w:cs="黑体"/>
        </w:rPr>
        <w:fldChar w:fldCharType="end"/>
      </w:r>
      <w:r>
        <w:rPr>
          <w:rFonts w:hint="eastAsia" w:ascii="黑体" w:hAnsi="黑体" w:eastAsia="黑体" w:cs="黑体"/>
          <w:szCs w:val="22"/>
        </w:rPr>
        <w:fldChar w:fldCharType="end"/>
      </w:r>
    </w:p>
    <w:p w14:paraId="038ECA18">
      <w:pPr>
        <w:pStyle w:val="5"/>
        <w:keepNext w:val="0"/>
        <w:keepLines w:val="0"/>
        <w:pageBreakBefore w:val="0"/>
        <w:widowControl w:val="0"/>
        <w:tabs>
          <w:tab w:val="right" w:leader="dot" w:pos="9355"/>
          <w:tab w:val="clear" w:pos="9241"/>
        </w:tabs>
        <w:kinsoku/>
        <w:wordWrap/>
        <w:overflowPunct/>
        <w:topLinePunct w:val="0"/>
        <w:autoSpaceDE/>
        <w:autoSpaceDN/>
        <w:bidi w:val="0"/>
        <w:adjustRightInd/>
        <w:snapToGrid/>
        <w:spacing w:before="0" w:beforeLines="0" w:after="0" w:afterLines="0" w:line="240" w:lineRule="auto"/>
        <w:textAlignment w:val="auto"/>
        <w:rPr>
          <w:rFonts w:hint="eastAsia" w:ascii="黑体" w:hAnsi="黑体" w:eastAsia="黑体" w:cs="黑体"/>
        </w:rPr>
      </w:pPr>
      <w:r>
        <w:rPr>
          <w:rFonts w:hint="eastAsia" w:ascii="黑体" w:hAnsi="黑体" w:eastAsia="黑体" w:cs="黑体"/>
          <w:szCs w:val="22"/>
        </w:rPr>
        <w:fldChar w:fldCharType="begin"/>
      </w:r>
      <w:r>
        <w:rPr>
          <w:rFonts w:hint="eastAsia" w:ascii="黑体" w:hAnsi="黑体" w:eastAsia="黑体" w:cs="黑体"/>
          <w:szCs w:val="22"/>
        </w:rPr>
        <w:instrText xml:space="preserve"> HYPERLINK \l _Toc31397 </w:instrText>
      </w:r>
      <w:r>
        <w:rPr>
          <w:rFonts w:hint="eastAsia" w:ascii="黑体" w:hAnsi="黑体" w:eastAsia="黑体" w:cs="黑体"/>
          <w:szCs w:val="22"/>
        </w:rPr>
        <w:fldChar w:fldCharType="separate"/>
      </w:r>
      <w:r>
        <w:rPr>
          <w:rFonts w:hint="eastAsia" w:ascii="黑体" w:hAnsi="黑体" w:eastAsia="黑体" w:cs="黑体"/>
        </w:rPr>
        <w:t>温室气体高精度自动监测技术规范</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_Toc31397 \h </w:instrText>
      </w:r>
      <w:r>
        <w:rPr>
          <w:rFonts w:hint="eastAsia" w:ascii="黑体" w:hAnsi="黑体" w:eastAsia="黑体" w:cs="黑体"/>
        </w:rPr>
        <w:fldChar w:fldCharType="separate"/>
      </w:r>
      <w:r>
        <w:rPr>
          <w:rFonts w:hint="eastAsia" w:ascii="黑体" w:hAnsi="黑体" w:eastAsia="黑体" w:cs="黑体"/>
        </w:rPr>
        <w:t>1</w:t>
      </w:r>
      <w:r>
        <w:rPr>
          <w:rFonts w:hint="eastAsia" w:ascii="黑体" w:hAnsi="黑体" w:eastAsia="黑体" w:cs="黑体"/>
        </w:rPr>
        <w:fldChar w:fldCharType="end"/>
      </w:r>
      <w:r>
        <w:rPr>
          <w:rFonts w:hint="eastAsia" w:ascii="黑体" w:hAnsi="黑体" w:eastAsia="黑体" w:cs="黑体"/>
          <w:szCs w:val="22"/>
        </w:rPr>
        <w:fldChar w:fldCharType="end"/>
      </w:r>
    </w:p>
    <w:p w14:paraId="0437223B">
      <w:pPr>
        <w:pStyle w:val="6"/>
        <w:keepNext w:val="0"/>
        <w:keepLines w:val="0"/>
        <w:pageBreakBefore w:val="0"/>
        <w:widowControl w:val="0"/>
        <w:tabs>
          <w:tab w:val="right" w:leader="dot" w:pos="9355"/>
          <w:tab w:val="clear" w:pos="9241"/>
        </w:tabs>
        <w:kinsoku/>
        <w:wordWrap/>
        <w:overflowPunct/>
        <w:topLinePunct w:val="0"/>
        <w:autoSpaceDE/>
        <w:autoSpaceDN/>
        <w:bidi w:val="0"/>
        <w:adjustRightInd/>
        <w:snapToGrid/>
        <w:spacing w:line="240" w:lineRule="auto"/>
        <w:textAlignment w:val="auto"/>
        <w:rPr>
          <w:rFonts w:hint="eastAsia" w:ascii="黑体" w:hAnsi="黑体" w:eastAsia="黑体" w:cs="黑体"/>
        </w:rPr>
      </w:pPr>
      <w:r>
        <w:rPr>
          <w:rFonts w:hint="eastAsia" w:ascii="黑体" w:hAnsi="黑体" w:eastAsia="黑体" w:cs="黑体"/>
          <w:szCs w:val="22"/>
        </w:rPr>
        <w:fldChar w:fldCharType="begin"/>
      </w:r>
      <w:r>
        <w:rPr>
          <w:rFonts w:hint="eastAsia" w:ascii="黑体" w:hAnsi="黑体" w:eastAsia="黑体" w:cs="黑体"/>
          <w:szCs w:val="22"/>
        </w:rPr>
        <w:instrText xml:space="preserve"> HYPERLINK \l _Toc4815 </w:instrText>
      </w:r>
      <w:r>
        <w:rPr>
          <w:rFonts w:hint="eastAsia" w:ascii="黑体" w:hAnsi="黑体" w:eastAsia="黑体" w:cs="黑体"/>
          <w:szCs w:val="22"/>
        </w:rPr>
        <w:fldChar w:fldCharType="separate"/>
      </w:r>
      <w:r>
        <w:rPr>
          <w:rFonts w:hint="eastAsia" w:ascii="黑体" w:hAnsi="黑体" w:eastAsia="黑体" w:cs="黑体"/>
          <w:i w:val="0"/>
          <w:szCs w:val="21"/>
        </w:rPr>
        <w:t xml:space="preserve">1 </w:t>
      </w:r>
      <w:r>
        <w:rPr>
          <w:rFonts w:hint="eastAsia" w:ascii="黑体" w:hAnsi="黑体" w:eastAsia="黑体" w:cs="黑体"/>
        </w:rPr>
        <w:t>范围</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_Toc4815 \h </w:instrText>
      </w:r>
      <w:r>
        <w:rPr>
          <w:rFonts w:hint="eastAsia" w:ascii="黑体" w:hAnsi="黑体" w:eastAsia="黑体" w:cs="黑体"/>
        </w:rPr>
        <w:fldChar w:fldCharType="separate"/>
      </w:r>
      <w:r>
        <w:rPr>
          <w:rFonts w:hint="eastAsia" w:ascii="黑体" w:hAnsi="黑体" w:eastAsia="黑体" w:cs="黑体"/>
        </w:rPr>
        <w:t>1</w:t>
      </w:r>
      <w:r>
        <w:rPr>
          <w:rFonts w:hint="eastAsia" w:ascii="黑体" w:hAnsi="黑体" w:eastAsia="黑体" w:cs="黑体"/>
        </w:rPr>
        <w:fldChar w:fldCharType="end"/>
      </w:r>
      <w:r>
        <w:rPr>
          <w:rFonts w:hint="eastAsia" w:ascii="黑体" w:hAnsi="黑体" w:eastAsia="黑体" w:cs="黑体"/>
          <w:szCs w:val="22"/>
        </w:rPr>
        <w:fldChar w:fldCharType="end"/>
      </w:r>
    </w:p>
    <w:p w14:paraId="133A1B4A">
      <w:pPr>
        <w:pStyle w:val="6"/>
        <w:keepNext w:val="0"/>
        <w:keepLines w:val="0"/>
        <w:pageBreakBefore w:val="0"/>
        <w:widowControl w:val="0"/>
        <w:tabs>
          <w:tab w:val="right" w:leader="dot" w:pos="9355"/>
          <w:tab w:val="clear" w:pos="9241"/>
        </w:tabs>
        <w:kinsoku/>
        <w:wordWrap/>
        <w:overflowPunct/>
        <w:topLinePunct w:val="0"/>
        <w:autoSpaceDE/>
        <w:autoSpaceDN/>
        <w:bidi w:val="0"/>
        <w:adjustRightInd/>
        <w:snapToGrid/>
        <w:spacing w:line="240" w:lineRule="auto"/>
        <w:textAlignment w:val="auto"/>
        <w:rPr>
          <w:rFonts w:hint="eastAsia" w:ascii="黑体" w:hAnsi="黑体" w:eastAsia="黑体" w:cs="黑体"/>
        </w:rPr>
      </w:pPr>
      <w:r>
        <w:rPr>
          <w:rFonts w:hint="eastAsia" w:ascii="黑体" w:hAnsi="黑体" w:eastAsia="黑体" w:cs="黑体"/>
          <w:szCs w:val="22"/>
        </w:rPr>
        <w:fldChar w:fldCharType="begin"/>
      </w:r>
      <w:r>
        <w:rPr>
          <w:rFonts w:hint="eastAsia" w:ascii="黑体" w:hAnsi="黑体" w:eastAsia="黑体" w:cs="黑体"/>
          <w:szCs w:val="22"/>
        </w:rPr>
        <w:instrText xml:space="preserve"> HYPERLINK \l _Toc23360 </w:instrText>
      </w:r>
      <w:r>
        <w:rPr>
          <w:rFonts w:hint="eastAsia" w:ascii="黑体" w:hAnsi="黑体" w:eastAsia="黑体" w:cs="黑体"/>
          <w:szCs w:val="22"/>
        </w:rPr>
        <w:fldChar w:fldCharType="separate"/>
      </w:r>
      <w:r>
        <w:rPr>
          <w:rFonts w:hint="eastAsia" w:ascii="黑体" w:hAnsi="黑体" w:eastAsia="黑体" w:cs="黑体"/>
          <w:i w:val="0"/>
          <w:szCs w:val="21"/>
        </w:rPr>
        <w:t xml:space="preserve">2 </w:t>
      </w:r>
      <w:r>
        <w:rPr>
          <w:rFonts w:hint="eastAsia" w:ascii="黑体" w:hAnsi="黑体" w:eastAsia="黑体" w:cs="黑体"/>
        </w:rPr>
        <w:t>规范性引用文件</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_Toc23360 \h </w:instrText>
      </w:r>
      <w:r>
        <w:rPr>
          <w:rFonts w:hint="eastAsia" w:ascii="黑体" w:hAnsi="黑体" w:eastAsia="黑体" w:cs="黑体"/>
        </w:rPr>
        <w:fldChar w:fldCharType="separate"/>
      </w:r>
      <w:r>
        <w:rPr>
          <w:rFonts w:hint="eastAsia" w:ascii="黑体" w:hAnsi="黑体" w:eastAsia="黑体" w:cs="黑体"/>
        </w:rPr>
        <w:t>1</w:t>
      </w:r>
      <w:r>
        <w:rPr>
          <w:rFonts w:hint="eastAsia" w:ascii="黑体" w:hAnsi="黑体" w:eastAsia="黑体" w:cs="黑体"/>
        </w:rPr>
        <w:fldChar w:fldCharType="end"/>
      </w:r>
      <w:r>
        <w:rPr>
          <w:rFonts w:hint="eastAsia" w:ascii="黑体" w:hAnsi="黑体" w:eastAsia="黑体" w:cs="黑体"/>
          <w:szCs w:val="22"/>
        </w:rPr>
        <w:fldChar w:fldCharType="end"/>
      </w:r>
    </w:p>
    <w:p w14:paraId="34665834">
      <w:pPr>
        <w:pStyle w:val="6"/>
        <w:keepNext w:val="0"/>
        <w:keepLines w:val="0"/>
        <w:pageBreakBefore w:val="0"/>
        <w:widowControl w:val="0"/>
        <w:tabs>
          <w:tab w:val="right" w:leader="dot" w:pos="9355"/>
          <w:tab w:val="clear" w:pos="9241"/>
        </w:tabs>
        <w:kinsoku/>
        <w:wordWrap/>
        <w:overflowPunct/>
        <w:topLinePunct w:val="0"/>
        <w:autoSpaceDE/>
        <w:autoSpaceDN/>
        <w:bidi w:val="0"/>
        <w:adjustRightInd/>
        <w:snapToGrid/>
        <w:spacing w:line="240" w:lineRule="auto"/>
        <w:textAlignment w:val="auto"/>
        <w:rPr>
          <w:rFonts w:hint="eastAsia" w:ascii="黑体" w:hAnsi="黑体" w:eastAsia="黑体" w:cs="黑体"/>
        </w:rPr>
      </w:pPr>
      <w:r>
        <w:rPr>
          <w:rFonts w:hint="eastAsia" w:ascii="黑体" w:hAnsi="黑体" w:eastAsia="黑体" w:cs="黑体"/>
          <w:szCs w:val="22"/>
        </w:rPr>
        <w:fldChar w:fldCharType="begin"/>
      </w:r>
      <w:r>
        <w:rPr>
          <w:rFonts w:hint="eastAsia" w:ascii="黑体" w:hAnsi="黑体" w:eastAsia="黑体" w:cs="黑体"/>
          <w:szCs w:val="22"/>
        </w:rPr>
        <w:instrText xml:space="preserve"> HYPERLINK \l _Toc17875 </w:instrText>
      </w:r>
      <w:r>
        <w:rPr>
          <w:rFonts w:hint="eastAsia" w:ascii="黑体" w:hAnsi="黑体" w:eastAsia="黑体" w:cs="黑体"/>
          <w:szCs w:val="22"/>
        </w:rPr>
        <w:fldChar w:fldCharType="separate"/>
      </w:r>
      <w:r>
        <w:rPr>
          <w:rFonts w:hint="eastAsia" w:ascii="黑体" w:hAnsi="黑体" w:eastAsia="黑体" w:cs="黑体"/>
          <w:i w:val="0"/>
          <w:szCs w:val="21"/>
        </w:rPr>
        <w:t xml:space="preserve">3 </w:t>
      </w:r>
      <w:r>
        <w:rPr>
          <w:rFonts w:hint="eastAsia" w:ascii="黑体" w:hAnsi="黑体" w:eastAsia="黑体" w:cs="黑体"/>
        </w:rPr>
        <w:t>术语和定义</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_Toc17875 \h </w:instrText>
      </w:r>
      <w:r>
        <w:rPr>
          <w:rFonts w:hint="eastAsia" w:ascii="黑体" w:hAnsi="黑体" w:eastAsia="黑体" w:cs="黑体"/>
        </w:rPr>
        <w:fldChar w:fldCharType="separate"/>
      </w:r>
      <w:r>
        <w:rPr>
          <w:rFonts w:hint="eastAsia" w:ascii="黑体" w:hAnsi="黑体" w:eastAsia="黑体" w:cs="黑体"/>
        </w:rPr>
        <w:t>1</w:t>
      </w:r>
      <w:r>
        <w:rPr>
          <w:rFonts w:hint="eastAsia" w:ascii="黑体" w:hAnsi="黑体" w:eastAsia="黑体" w:cs="黑体"/>
        </w:rPr>
        <w:fldChar w:fldCharType="end"/>
      </w:r>
      <w:r>
        <w:rPr>
          <w:rFonts w:hint="eastAsia" w:ascii="黑体" w:hAnsi="黑体" w:eastAsia="黑体" w:cs="黑体"/>
          <w:szCs w:val="22"/>
        </w:rPr>
        <w:fldChar w:fldCharType="end"/>
      </w:r>
    </w:p>
    <w:p w14:paraId="4F07E6BA">
      <w:pPr>
        <w:pStyle w:val="6"/>
        <w:keepNext w:val="0"/>
        <w:keepLines w:val="0"/>
        <w:pageBreakBefore w:val="0"/>
        <w:widowControl w:val="0"/>
        <w:tabs>
          <w:tab w:val="right" w:leader="dot" w:pos="9355"/>
          <w:tab w:val="clear" w:pos="9241"/>
        </w:tabs>
        <w:kinsoku/>
        <w:wordWrap/>
        <w:overflowPunct/>
        <w:topLinePunct w:val="0"/>
        <w:autoSpaceDE/>
        <w:autoSpaceDN/>
        <w:bidi w:val="0"/>
        <w:adjustRightInd/>
        <w:snapToGrid/>
        <w:spacing w:line="240" w:lineRule="auto"/>
        <w:textAlignment w:val="auto"/>
        <w:rPr>
          <w:rFonts w:hint="eastAsia" w:ascii="黑体" w:hAnsi="黑体" w:eastAsia="黑体" w:cs="黑体"/>
        </w:rPr>
      </w:pPr>
      <w:r>
        <w:rPr>
          <w:rFonts w:hint="eastAsia" w:ascii="黑体" w:hAnsi="黑体" w:eastAsia="黑体" w:cs="黑体"/>
          <w:szCs w:val="22"/>
        </w:rPr>
        <w:fldChar w:fldCharType="begin"/>
      </w:r>
      <w:r>
        <w:rPr>
          <w:rFonts w:hint="eastAsia" w:ascii="黑体" w:hAnsi="黑体" w:eastAsia="黑体" w:cs="黑体"/>
          <w:szCs w:val="22"/>
        </w:rPr>
        <w:instrText xml:space="preserve"> HYPERLINK \l _Toc5718 </w:instrText>
      </w:r>
      <w:r>
        <w:rPr>
          <w:rFonts w:hint="eastAsia" w:ascii="黑体" w:hAnsi="黑体" w:eastAsia="黑体" w:cs="黑体"/>
          <w:szCs w:val="22"/>
        </w:rPr>
        <w:fldChar w:fldCharType="separate"/>
      </w:r>
      <w:r>
        <w:rPr>
          <w:rFonts w:hint="eastAsia" w:ascii="黑体" w:hAnsi="黑体" w:eastAsia="黑体" w:cs="黑体"/>
          <w:i w:val="0"/>
          <w:szCs w:val="21"/>
        </w:rPr>
        <w:t xml:space="preserve">4 </w:t>
      </w:r>
      <w:r>
        <w:rPr>
          <w:rFonts w:hint="eastAsia" w:ascii="黑体" w:hAnsi="黑体" w:eastAsia="黑体" w:cs="黑体"/>
        </w:rPr>
        <w:t>方法原理与系统组成</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_Toc5718 \h </w:instrText>
      </w:r>
      <w:r>
        <w:rPr>
          <w:rFonts w:hint="eastAsia" w:ascii="黑体" w:hAnsi="黑体" w:eastAsia="黑体" w:cs="黑体"/>
        </w:rPr>
        <w:fldChar w:fldCharType="separate"/>
      </w:r>
      <w:r>
        <w:rPr>
          <w:rFonts w:hint="eastAsia" w:ascii="黑体" w:hAnsi="黑体" w:eastAsia="黑体" w:cs="黑体"/>
        </w:rPr>
        <w:t>2</w:t>
      </w:r>
      <w:r>
        <w:rPr>
          <w:rFonts w:hint="eastAsia" w:ascii="黑体" w:hAnsi="黑体" w:eastAsia="黑体" w:cs="黑体"/>
        </w:rPr>
        <w:fldChar w:fldCharType="end"/>
      </w:r>
      <w:r>
        <w:rPr>
          <w:rFonts w:hint="eastAsia" w:ascii="黑体" w:hAnsi="黑体" w:eastAsia="黑体" w:cs="黑体"/>
          <w:szCs w:val="22"/>
        </w:rPr>
        <w:fldChar w:fldCharType="end"/>
      </w:r>
    </w:p>
    <w:p w14:paraId="1D63065E">
      <w:pPr>
        <w:pStyle w:val="6"/>
        <w:keepNext w:val="0"/>
        <w:keepLines w:val="0"/>
        <w:pageBreakBefore w:val="0"/>
        <w:widowControl w:val="0"/>
        <w:tabs>
          <w:tab w:val="right" w:leader="dot" w:pos="9355"/>
          <w:tab w:val="clear" w:pos="9241"/>
        </w:tabs>
        <w:kinsoku/>
        <w:wordWrap/>
        <w:overflowPunct/>
        <w:topLinePunct w:val="0"/>
        <w:autoSpaceDE/>
        <w:autoSpaceDN/>
        <w:bidi w:val="0"/>
        <w:adjustRightInd/>
        <w:snapToGrid/>
        <w:spacing w:line="240" w:lineRule="auto"/>
        <w:textAlignment w:val="auto"/>
        <w:rPr>
          <w:rFonts w:hint="eastAsia" w:ascii="黑体" w:hAnsi="黑体" w:eastAsia="黑体" w:cs="黑体"/>
        </w:rPr>
      </w:pPr>
      <w:r>
        <w:rPr>
          <w:rFonts w:hint="eastAsia" w:ascii="黑体" w:hAnsi="黑体" w:eastAsia="黑体" w:cs="黑体"/>
          <w:szCs w:val="22"/>
        </w:rPr>
        <w:fldChar w:fldCharType="begin"/>
      </w:r>
      <w:r>
        <w:rPr>
          <w:rFonts w:hint="eastAsia" w:ascii="黑体" w:hAnsi="黑体" w:eastAsia="黑体" w:cs="黑体"/>
          <w:szCs w:val="22"/>
        </w:rPr>
        <w:instrText xml:space="preserve"> HYPERLINK \l _Toc8262 </w:instrText>
      </w:r>
      <w:r>
        <w:rPr>
          <w:rFonts w:hint="eastAsia" w:ascii="黑体" w:hAnsi="黑体" w:eastAsia="黑体" w:cs="黑体"/>
          <w:szCs w:val="22"/>
        </w:rPr>
        <w:fldChar w:fldCharType="separate"/>
      </w:r>
      <w:r>
        <w:rPr>
          <w:rFonts w:hint="eastAsia" w:ascii="黑体" w:hAnsi="黑体" w:eastAsia="黑体" w:cs="黑体"/>
          <w:i w:val="0"/>
          <w:szCs w:val="21"/>
        </w:rPr>
        <w:t xml:space="preserve">5 </w:t>
      </w:r>
      <w:r>
        <w:rPr>
          <w:rFonts w:hint="eastAsia" w:ascii="黑体" w:hAnsi="黑体" w:eastAsia="黑体" w:cs="黑体"/>
        </w:rPr>
        <w:t>技术性能要求</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_Toc8262 \h </w:instrText>
      </w:r>
      <w:r>
        <w:rPr>
          <w:rFonts w:hint="eastAsia" w:ascii="黑体" w:hAnsi="黑体" w:eastAsia="黑体" w:cs="黑体"/>
        </w:rPr>
        <w:fldChar w:fldCharType="separate"/>
      </w:r>
      <w:r>
        <w:rPr>
          <w:rFonts w:hint="eastAsia" w:ascii="黑体" w:hAnsi="黑体" w:eastAsia="黑体" w:cs="黑体"/>
        </w:rPr>
        <w:t>3</w:t>
      </w:r>
      <w:r>
        <w:rPr>
          <w:rFonts w:hint="eastAsia" w:ascii="黑体" w:hAnsi="黑体" w:eastAsia="黑体" w:cs="黑体"/>
        </w:rPr>
        <w:fldChar w:fldCharType="end"/>
      </w:r>
      <w:r>
        <w:rPr>
          <w:rFonts w:hint="eastAsia" w:ascii="黑体" w:hAnsi="黑体" w:eastAsia="黑体" w:cs="黑体"/>
          <w:szCs w:val="22"/>
        </w:rPr>
        <w:fldChar w:fldCharType="end"/>
      </w:r>
    </w:p>
    <w:p w14:paraId="150609FB">
      <w:pPr>
        <w:pStyle w:val="6"/>
        <w:keepNext w:val="0"/>
        <w:keepLines w:val="0"/>
        <w:pageBreakBefore w:val="0"/>
        <w:widowControl w:val="0"/>
        <w:tabs>
          <w:tab w:val="right" w:leader="dot" w:pos="9355"/>
          <w:tab w:val="clear" w:pos="9241"/>
        </w:tabs>
        <w:kinsoku/>
        <w:wordWrap/>
        <w:overflowPunct/>
        <w:topLinePunct w:val="0"/>
        <w:autoSpaceDE/>
        <w:autoSpaceDN/>
        <w:bidi w:val="0"/>
        <w:adjustRightInd/>
        <w:snapToGrid/>
        <w:spacing w:line="240" w:lineRule="auto"/>
        <w:textAlignment w:val="auto"/>
        <w:rPr>
          <w:rFonts w:hint="eastAsia" w:ascii="黑体" w:hAnsi="黑体" w:eastAsia="黑体" w:cs="黑体"/>
        </w:rPr>
      </w:pPr>
      <w:r>
        <w:rPr>
          <w:rFonts w:hint="eastAsia" w:ascii="黑体" w:hAnsi="黑体" w:eastAsia="黑体" w:cs="黑体"/>
          <w:szCs w:val="22"/>
        </w:rPr>
        <w:fldChar w:fldCharType="begin"/>
      </w:r>
      <w:r>
        <w:rPr>
          <w:rFonts w:hint="eastAsia" w:ascii="黑体" w:hAnsi="黑体" w:eastAsia="黑体" w:cs="黑体"/>
          <w:szCs w:val="22"/>
        </w:rPr>
        <w:instrText xml:space="preserve"> HYPERLINK \l _Toc19327 </w:instrText>
      </w:r>
      <w:r>
        <w:rPr>
          <w:rFonts w:hint="eastAsia" w:ascii="黑体" w:hAnsi="黑体" w:eastAsia="黑体" w:cs="黑体"/>
          <w:szCs w:val="22"/>
        </w:rPr>
        <w:fldChar w:fldCharType="separate"/>
      </w:r>
      <w:r>
        <w:rPr>
          <w:rFonts w:hint="eastAsia" w:ascii="黑体" w:hAnsi="黑体" w:eastAsia="黑体" w:cs="黑体"/>
          <w:i w:val="0"/>
          <w:szCs w:val="21"/>
        </w:rPr>
        <w:t xml:space="preserve">6 </w:t>
      </w:r>
      <w:r>
        <w:rPr>
          <w:rFonts w:hint="eastAsia" w:ascii="黑体" w:hAnsi="黑体" w:eastAsia="黑体" w:cs="黑体"/>
        </w:rPr>
        <w:t>安装、调试与验收</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_Toc19327 \h </w:instrText>
      </w:r>
      <w:r>
        <w:rPr>
          <w:rFonts w:hint="eastAsia" w:ascii="黑体" w:hAnsi="黑体" w:eastAsia="黑体" w:cs="黑体"/>
        </w:rPr>
        <w:fldChar w:fldCharType="separate"/>
      </w:r>
      <w:r>
        <w:rPr>
          <w:rFonts w:hint="eastAsia" w:ascii="黑体" w:hAnsi="黑体" w:eastAsia="黑体" w:cs="黑体"/>
        </w:rPr>
        <w:t>3</w:t>
      </w:r>
      <w:r>
        <w:rPr>
          <w:rFonts w:hint="eastAsia" w:ascii="黑体" w:hAnsi="黑体" w:eastAsia="黑体" w:cs="黑体"/>
        </w:rPr>
        <w:fldChar w:fldCharType="end"/>
      </w:r>
      <w:r>
        <w:rPr>
          <w:rFonts w:hint="eastAsia" w:ascii="黑体" w:hAnsi="黑体" w:eastAsia="黑体" w:cs="黑体"/>
          <w:szCs w:val="22"/>
        </w:rPr>
        <w:fldChar w:fldCharType="end"/>
      </w:r>
    </w:p>
    <w:p w14:paraId="3C18C276">
      <w:pPr>
        <w:pStyle w:val="6"/>
        <w:keepNext w:val="0"/>
        <w:keepLines w:val="0"/>
        <w:pageBreakBefore w:val="0"/>
        <w:widowControl w:val="0"/>
        <w:tabs>
          <w:tab w:val="right" w:leader="dot" w:pos="9355"/>
          <w:tab w:val="clear" w:pos="9241"/>
        </w:tabs>
        <w:kinsoku/>
        <w:wordWrap/>
        <w:overflowPunct/>
        <w:topLinePunct w:val="0"/>
        <w:autoSpaceDE/>
        <w:autoSpaceDN/>
        <w:bidi w:val="0"/>
        <w:adjustRightInd/>
        <w:snapToGrid/>
        <w:spacing w:line="240" w:lineRule="auto"/>
        <w:textAlignment w:val="auto"/>
        <w:rPr>
          <w:rFonts w:hint="eastAsia" w:ascii="黑体" w:hAnsi="黑体" w:eastAsia="黑体" w:cs="黑体"/>
        </w:rPr>
      </w:pPr>
      <w:r>
        <w:rPr>
          <w:rFonts w:hint="eastAsia" w:ascii="黑体" w:hAnsi="黑体" w:eastAsia="黑体" w:cs="黑体"/>
          <w:szCs w:val="22"/>
        </w:rPr>
        <w:fldChar w:fldCharType="begin"/>
      </w:r>
      <w:r>
        <w:rPr>
          <w:rFonts w:hint="eastAsia" w:ascii="黑体" w:hAnsi="黑体" w:eastAsia="黑体" w:cs="黑体"/>
          <w:szCs w:val="22"/>
        </w:rPr>
        <w:instrText xml:space="preserve"> HYPERLINK \l _Toc31852 </w:instrText>
      </w:r>
      <w:r>
        <w:rPr>
          <w:rFonts w:hint="eastAsia" w:ascii="黑体" w:hAnsi="黑体" w:eastAsia="黑体" w:cs="黑体"/>
          <w:szCs w:val="22"/>
        </w:rPr>
        <w:fldChar w:fldCharType="separate"/>
      </w:r>
      <w:r>
        <w:rPr>
          <w:rFonts w:hint="eastAsia" w:ascii="黑体" w:hAnsi="黑体" w:eastAsia="黑体" w:cs="黑体"/>
          <w:i w:val="0"/>
          <w:szCs w:val="21"/>
        </w:rPr>
        <w:t xml:space="preserve">7 </w:t>
      </w:r>
      <w:r>
        <w:rPr>
          <w:rFonts w:hint="eastAsia" w:ascii="黑体" w:hAnsi="黑体" w:eastAsia="黑体" w:cs="黑体"/>
          <w:highlight w:val="none"/>
        </w:rPr>
        <w:t>系统日常维护</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_Toc31852 \h </w:instrText>
      </w:r>
      <w:r>
        <w:rPr>
          <w:rFonts w:hint="eastAsia" w:ascii="黑体" w:hAnsi="黑体" w:eastAsia="黑体" w:cs="黑体"/>
        </w:rPr>
        <w:fldChar w:fldCharType="separate"/>
      </w:r>
      <w:r>
        <w:rPr>
          <w:rFonts w:hint="eastAsia" w:ascii="黑体" w:hAnsi="黑体" w:eastAsia="黑体" w:cs="黑体"/>
        </w:rPr>
        <w:t>7</w:t>
      </w:r>
      <w:r>
        <w:rPr>
          <w:rFonts w:hint="eastAsia" w:ascii="黑体" w:hAnsi="黑体" w:eastAsia="黑体" w:cs="黑体"/>
        </w:rPr>
        <w:fldChar w:fldCharType="end"/>
      </w:r>
      <w:r>
        <w:rPr>
          <w:rFonts w:hint="eastAsia" w:ascii="黑体" w:hAnsi="黑体" w:eastAsia="黑体" w:cs="黑体"/>
          <w:szCs w:val="22"/>
        </w:rPr>
        <w:fldChar w:fldCharType="end"/>
      </w:r>
    </w:p>
    <w:p w14:paraId="3DF38343">
      <w:pPr>
        <w:pStyle w:val="6"/>
        <w:keepNext w:val="0"/>
        <w:keepLines w:val="0"/>
        <w:pageBreakBefore w:val="0"/>
        <w:widowControl w:val="0"/>
        <w:tabs>
          <w:tab w:val="right" w:leader="dot" w:pos="9355"/>
          <w:tab w:val="clear" w:pos="9241"/>
        </w:tabs>
        <w:kinsoku/>
        <w:wordWrap/>
        <w:overflowPunct/>
        <w:topLinePunct w:val="0"/>
        <w:autoSpaceDE/>
        <w:autoSpaceDN/>
        <w:bidi w:val="0"/>
        <w:adjustRightInd/>
        <w:snapToGrid/>
        <w:spacing w:line="240" w:lineRule="auto"/>
        <w:textAlignment w:val="auto"/>
        <w:rPr>
          <w:rFonts w:hint="eastAsia" w:ascii="黑体" w:hAnsi="黑体" w:eastAsia="黑体" w:cs="黑体"/>
        </w:rPr>
      </w:pPr>
      <w:r>
        <w:rPr>
          <w:rFonts w:hint="eastAsia" w:ascii="黑体" w:hAnsi="黑体" w:eastAsia="黑体" w:cs="黑体"/>
          <w:szCs w:val="22"/>
        </w:rPr>
        <w:fldChar w:fldCharType="begin"/>
      </w:r>
      <w:r>
        <w:rPr>
          <w:rFonts w:hint="eastAsia" w:ascii="黑体" w:hAnsi="黑体" w:eastAsia="黑体" w:cs="黑体"/>
          <w:szCs w:val="22"/>
        </w:rPr>
        <w:instrText xml:space="preserve"> HYPERLINK \l _Toc26827 </w:instrText>
      </w:r>
      <w:r>
        <w:rPr>
          <w:rFonts w:hint="eastAsia" w:ascii="黑体" w:hAnsi="黑体" w:eastAsia="黑体" w:cs="黑体"/>
          <w:szCs w:val="22"/>
        </w:rPr>
        <w:fldChar w:fldCharType="separate"/>
      </w:r>
      <w:r>
        <w:rPr>
          <w:rFonts w:hint="eastAsia" w:ascii="黑体" w:hAnsi="黑体" w:eastAsia="黑体" w:cs="黑体"/>
          <w:i w:val="0"/>
          <w:szCs w:val="21"/>
        </w:rPr>
        <w:t xml:space="preserve">8 </w:t>
      </w:r>
      <w:r>
        <w:rPr>
          <w:rFonts w:hint="eastAsia" w:ascii="黑体" w:hAnsi="黑体" w:eastAsia="黑体" w:cs="黑体"/>
          <w:highlight w:val="none"/>
        </w:rPr>
        <w:t>质量保证和质量控制</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_Toc26827 \h </w:instrText>
      </w:r>
      <w:r>
        <w:rPr>
          <w:rFonts w:hint="eastAsia" w:ascii="黑体" w:hAnsi="黑体" w:eastAsia="黑体" w:cs="黑体"/>
        </w:rPr>
        <w:fldChar w:fldCharType="separate"/>
      </w:r>
      <w:r>
        <w:rPr>
          <w:rFonts w:hint="eastAsia" w:ascii="黑体" w:hAnsi="黑体" w:eastAsia="黑体" w:cs="黑体"/>
        </w:rPr>
        <w:t>9</w:t>
      </w:r>
      <w:r>
        <w:rPr>
          <w:rFonts w:hint="eastAsia" w:ascii="黑体" w:hAnsi="黑体" w:eastAsia="黑体" w:cs="黑体"/>
        </w:rPr>
        <w:fldChar w:fldCharType="end"/>
      </w:r>
      <w:r>
        <w:rPr>
          <w:rFonts w:hint="eastAsia" w:ascii="黑体" w:hAnsi="黑体" w:eastAsia="黑体" w:cs="黑体"/>
          <w:szCs w:val="22"/>
        </w:rPr>
        <w:fldChar w:fldCharType="end"/>
      </w:r>
    </w:p>
    <w:p w14:paraId="314E172F">
      <w:pPr>
        <w:pStyle w:val="6"/>
        <w:keepNext w:val="0"/>
        <w:keepLines w:val="0"/>
        <w:pageBreakBefore w:val="0"/>
        <w:widowControl w:val="0"/>
        <w:tabs>
          <w:tab w:val="right" w:leader="dot" w:pos="9355"/>
          <w:tab w:val="clear" w:pos="9241"/>
        </w:tabs>
        <w:kinsoku/>
        <w:wordWrap/>
        <w:overflowPunct/>
        <w:topLinePunct w:val="0"/>
        <w:autoSpaceDE/>
        <w:autoSpaceDN/>
        <w:bidi w:val="0"/>
        <w:adjustRightInd/>
        <w:snapToGrid/>
        <w:spacing w:line="240" w:lineRule="auto"/>
        <w:textAlignment w:val="auto"/>
        <w:rPr>
          <w:rFonts w:hint="eastAsia" w:ascii="黑体" w:hAnsi="黑体" w:eastAsia="黑体" w:cs="黑体"/>
        </w:rPr>
      </w:pPr>
      <w:r>
        <w:rPr>
          <w:rFonts w:hint="eastAsia" w:ascii="黑体" w:hAnsi="黑体" w:eastAsia="黑体" w:cs="黑体"/>
          <w:szCs w:val="22"/>
        </w:rPr>
        <w:fldChar w:fldCharType="begin"/>
      </w:r>
      <w:r>
        <w:rPr>
          <w:rFonts w:hint="eastAsia" w:ascii="黑体" w:hAnsi="黑体" w:eastAsia="黑体" w:cs="黑体"/>
          <w:szCs w:val="22"/>
        </w:rPr>
        <w:instrText xml:space="preserve"> HYPERLINK \l _Toc8558 </w:instrText>
      </w:r>
      <w:r>
        <w:rPr>
          <w:rFonts w:hint="eastAsia" w:ascii="黑体" w:hAnsi="黑体" w:eastAsia="黑体" w:cs="黑体"/>
          <w:szCs w:val="22"/>
        </w:rPr>
        <w:fldChar w:fldCharType="separate"/>
      </w:r>
      <w:r>
        <w:rPr>
          <w:rFonts w:hint="eastAsia" w:ascii="黑体" w:hAnsi="黑体" w:eastAsia="黑体" w:cs="黑体"/>
          <w:i w:val="0"/>
          <w:szCs w:val="21"/>
        </w:rPr>
        <w:t xml:space="preserve">9 </w:t>
      </w:r>
      <w:r>
        <w:rPr>
          <w:rFonts w:hint="eastAsia" w:ascii="黑体" w:hAnsi="黑体" w:eastAsia="黑体" w:cs="黑体"/>
          <w:highlight w:val="none"/>
        </w:rPr>
        <w:t>数据有效性判断</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_Toc8558 \h </w:instrText>
      </w:r>
      <w:r>
        <w:rPr>
          <w:rFonts w:hint="eastAsia" w:ascii="黑体" w:hAnsi="黑体" w:eastAsia="黑体" w:cs="黑体"/>
        </w:rPr>
        <w:fldChar w:fldCharType="separate"/>
      </w:r>
      <w:r>
        <w:rPr>
          <w:rFonts w:hint="eastAsia" w:ascii="黑体" w:hAnsi="黑体" w:eastAsia="黑体" w:cs="黑体"/>
        </w:rPr>
        <w:t>11</w:t>
      </w:r>
      <w:r>
        <w:rPr>
          <w:rFonts w:hint="eastAsia" w:ascii="黑体" w:hAnsi="黑体" w:eastAsia="黑体" w:cs="黑体"/>
        </w:rPr>
        <w:fldChar w:fldCharType="end"/>
      </w:r>
      <w:r>
        <w:rPr>
          <w:rFonts w:hint="eastAsia" w:ascii="黑体" w:hAnsi="黑体" w:eastAsia="黑体" w:cs="黑体"/>
          <w:szCs w:val="22"/>
        </w:rPr>
        <w:fldChar w:fldCharType="end"/>
      </w:r>
    </w:p>
    <w:p w14:paraId="7777E255">
      <w:pPr>
        <w:pStyle w:val="5"/>
        <w:keepNext w:val="0"/>
        <w:keepLines w:val="0"/>
        <w:pageBreakBefore w:val="0"/>
        <w:widowControl w:val="0"/>
        <w:tabs>
          <w:tab w:val="right" w:leader="dot" w:pos="9355"/>
          <w:tab w:val="clear" w:pos="9241"/>
        </w:tabs>
        <w:kinsoku/>
        <w:wordWrap/>
        <w:overflowPunct/>
        <w:topLinePunct w:val="0"/>
        <w:autoSpaceDE/>
        <w:autoSpaceDN/>
        <w:bidi w:val="0"/>
        <w:adjustRightInd/>
        <w:snapToGrid/>
        <w:spacing w:before="0" w:beforeLines="0" w:after="0" w:afterLines="0" w:line="240" w:lineRule="auto"/>
        <w:textAlignment w:val="auto"/>
        <w:rPr>
          <w:rFonts w:hint="eastAsia" w:ascii="黑体" w:hAnsi="黑体" w:eastAsia="黑体" w:cs="黑体"/>
        </w:rPr>
      </w:pPr>
      <w:r>
        <w:rPr>
          <w:rFonts w:hint="eastAsia" w:ascii="黑体" w:hAnsi="黑体" w:eastAsia="黑体" w:cs="黑体"/>
          <w:szCs w:val="22"/>
        </w:rPr>
        <w:fldChar w:fldCharType="begin"/>
      </w:r>
      <w:r>
        <w:rPr>
          <w:rFonts w:hint="eastAsia" w:ascii="黑体" w:hAnsi="黑体" w:eastAsia="黑体" w:cs="黑体"/>
          <w:szCs w:val="22"/>
        </w:rPr>
        <w:instrText xml:space="preserve"> HYPERLINK \l _Toc19635 </w:instrText>
      </w:r>
      <w:r>
        <w:rPr>
          <w:rFonts w:hint="eastAsia" w:ascii="黑体" w:hAnsi="黑体" w:eastAsia="黑体" w:cs="黑体"/>
          <w:szCs w:val="22"/>
        </w:rPr>
        <w:fldChar w:fldCharType="separate"/>
      </w:r>
      <w:r>
        <w:rPr>
          <w:rFonts w:hint="eastAsia" w:ascii="黑体" w:hAnsi="黑体" w:eastAsia="黑体" w:cs="黑体"/>
          <w:highlight w:val="none"/>
          <w:lang w:val="en-US" w:eastAsia="zh-CN"/>
        </w:rPr>
        <w:t>附  录  A</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_Toc19635 \h </w:instrText>
      </w:r>
      <w:r>
        <w:rPr>
          <w:rFonts w:hint="eastAsia" w:ascii="黑体" w:hAnsi="黑体" w:eastAsia="黑体" w:cs="黑体"/>
        </w:rPr>
        <w:fldChar w:fldCharType="separate"/>
      </w:r>
      <w:r>
        <w:rPr>
          <w:rFonts w:hint="eastAsia" w:ascii="黑体" w:hAnsi="黑体" w:eastAsia="黑体" w:cs="黑体"/>
        </w:rPr>
        <w:t>12</w:t>
      </w:r>
      <w:r>
        <w:rPr>
          <w:rFonts w:hint="eastAsia" w:ascii="黑体" w:hAnsi="黑体" w:eastAsia="黑体" w:cs="黑体"/>
        </w:rPr>
        <w:fldChar w:fldCharType="end"/>
      </w:r>
      <w:r>
        <w:rPr>
          <w:rFonts w:hint="eastAsia" w:ascii="黑体" w:hAnsi="黑体" w:eastAsia="黑体" w:cs="黑体"/>
          <w:szCs w:val="22"/>
        </w:rPr>
        <w:fldChar w:fldCharType="end"/>
      </w:r>
    </w:p>
    <w:p w14:paraId="31385164">
      <w:pPr>
        <w:pStyle w:val="5"/>
        <w:keepNext w:val="0"/>
        <w:keepLines w:val="0"/>
        <w:pageBreakBefore w:val="0"/>
        <w:widowControl w:val="0"/>
        <w:tabs>
          <w:tab w:val="right" w:leader="dot" w:pos="9355"/>
          <w:tab w:val="clear" w:pos="9241"/>
        </w:tabs>
        <w:kinsoku/>
        <w:wordWrap/>
        <w:overflowPunct/>
        <w:topLinePunct w:val="0"/>
        <w:autoSpaceDE/>
        <w:autoSpaceDN/>
        <w:bidi w:val="0"/>
        <w:adjustRightInd/>
        <w:snapToGrid/>
        <w:spacing w:before="0" w:beforeLines="0" w:after="0" w:afterLines="0" w:line="240" w:lineRule="auto"/>
        <w:textAlignment w:val="auto"/>
        <w:rPr>
          <w:rFonts w:hint="eastAsia" w:ascii="黑体" w:hAnsi="黑体" w:eastAsia="黑体" w:cs="黑体"/>
        </w:rPr>
      </w:pPr>
      <w:r>
        <w:rPr>
          <w:rFonts w:hint="eastAsia" w:ascii="黑体" w:hAnsi="黑体" w:eastAsia="黑体" w:cs="黑体"/>
          <w:szCs w:val="22"/>
        </w:rPr>
        <w:fldChar w:fldCharType="begin"/>
      </w:r>
      <w:r>
        <w:rPr>
          <w:rFonts w:hint="eastAsia" w:ascii="黑体" w:hAnsi="黑体" w:eastAsia="黑体" w:cs="黑体"/>
          <w:szCs w:val="22"/>
        </w:rPr>
        <w:instrText xml:space="preserve"> HYPERLINK \l _Toc2219 </w:instrText>
      </w:r>
      <w:r>
        <w:rPr>
          <w:rFonts w:hint="eastAsia" w:ascii="黑体" w:hAnsi="黑体" w:eastAsia="黑体" w:cs="黑体"/>
          <w:szCs w:val="22"/>
        </w:rPr>
        <w:fldChar w:fldCharType="separate"/>
      </w:r>
      <w:r>
        <w:rPr>
          <w:rFonts w:hint="eastAsia" w:ascii="黑体" w:hAnsi="黑体" w:eastAsia="黑体" w:cs="黑体"/>
          <w:lang w:val="en-US" w:eastAsia="zh-CN"/>
        </w:rPr>
        <w:t>附  录  B</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_Toc2219 \h </w:instrText>
      </w:r>
      <w:r>
        <w:rPr>
          <w:rFonts w:hint="eastAsia" w:ascii="黑体" w:hAnsi="黑体" w:eastAsia="黑体" w:cs="黑体"/>
        </w:rPr>
        <w:fldChar w:fldCharType="separate"/>
      </w:r>
      <w:r>
        <w:rPr>
          <w:rFonts w:hint="eastAsia" w:ascii="黑体" w:hAnsi="黑体" w:eastAsia="黑体" w:cs="黑体"/>
        </w:rPr>
        <w:t>14</w:t>
      </w:r>
      <w:r>
        <w:rPr>
          <w:rFonts w:hint="eastAsia" w:ascii="黑体" w:hAnsi="黑体" w:eastAsia="黑体" w:cs="黑体"/>
        </w:rPr>
        <w:fldChar w:fldCharType="end"/>
      </w:r>
      <w:r>
        <w:rPr>
          <w:rFonts w:hint="eastAsia" w:ascii="黑体" w:hAnsi="黑体" w:eastAsia="黑体" w:cs="黑体"/>
          <w:szCs w:val="22"/>
        </w:rPr>
        <w:fldChar w:fldCharType="end"/>
      </w:r>
    </w:p>
    <w:p w14:paraId="685D3F3D">
      <w:pPr>
        <w:pStyle w:val="6"/>
        <w:tabs>
          <w:tab w:val="right" w:leader="dot" w:pos="9355"/>
          <w:tab w:val="clear" w:pos="9241"/>
        </w:tabs>
      </w:pPr>
    </w:p>
    <w:p w14:paraId="57E6CDBF">
      <w:pPr>
        <w:pStyle w:val="5"/>
        <w:spacing w:before="0" w:beforeLines="0" w:after="0" w:afterLines="0"/>
        <w:jc w:val="both"/>
        <w:rPr>
          <w:rFonts w:hint="eastAsia" w:ascii="等线" w:hAnsi="等线" w:eastAsia="等线"/>
          <w:szCs w:val="22"/>
        </w:rPr>
      </w:pPr>
      <w:r>
        <w:rPr>
          <w:rFonts w:hint="eastAsia" w:ascii="等线" w:hAnsi="等线" w:eastAsia="等线"/>
          <w:szCs w:val="22"/>
        </w:rPr>
        <w:fldChar w:fldCharType="end"/>
      </w:r>
    </w:p>
    <w:p w14:paraId="4C6FFBBE">
      <w:pPr>
        <w:pStyle w:val="24"/>
        <w:ind w:firstLine="0" w:firstLineChars="0"/>
      </w:pPr>
    </w:p>
    <w:p w14:paraId="7F197C50">
      <w:pPr>
        <w:pStyle w:val="27"/>
      </w:pPr>
      <w:bookmarkStart w:id="11" w:name="_Toc18682"/>
      <w:bookmarkStart w:id="12" w:name="_Toc108079229"/>
      <w:bookmarkStart w:id="13" w:name="_Toc13283"/>
      <w:bookmarkStart w:id="14" w:name="_Toc25944"/>
      <w:r>
        <w:rPr>
          <w:rFonts w:hint="eastAsia"/>
        </w:rPr>
        <w:t>前</w:t>
      </w:r>
      <w:bookmarkStart w:id="15" w:name="BKQY"/>
      <w:r>
        <w:rPr>
          <w:rFonts w:hAnsi="黑体"/>
        </w:rPr>
        <w:t>  </w:t>
      </w:r>
      <w:r>
        <w:rPr>
          <w:rFonts w:hint="eastAsia"/>
        </w:rPr>
        <w:t>言</w:t>
      </w:r>
      <w:bookmarkEnd w:id="11"/>
      <w:bookmarkEnd w:id="12"/>
      <w:bookmarkEnd w:id="13"/>
      <w:bookmarkEnd w:id="14"/>
      <w:bookmarkEnd w:id="15"/>
    </w:p>
    <w:p w14:paraId="0FC31688">
      <w:pPr>
        <w:pStyle w:val="24"/>
        <w:rPr>
          <w:rFonts w:ascii="Times New Roman"/>
        </w:rPr>
      </w:pPr>
      <w:r>
        <w:rPr>
          <w:rFonts w:ascii="Times New Roman"/>
        </w:rPr>
        <w:t>本文件按GB/T 1.1—2020《标准化工作导则 第1部分：标准化文件的结构和起草规则》给出的规则起草。</w:t>
      </w:r>
    </w:p>
    <w:p w14:paraId="4A44107C">
      <w:pPr>
        <w:pStyle w:val="24"/>
        <w:rPr>
          <w:rFonts w:ascii="Times New Roman"/>
        </w:rPr>
      </w:pPr>
      <w:r>
        <w:rPr>
          <w:rFonts w:ascii="Times New Roman"/>
        </w:rPr>
        <w:t>本文件由陕西省生态环境厅提出并归口。</w:t>
      </w:r>
    </w:p>
    <w:p w14:paraId="30393DEA">
      <w:pPr>
        <w:pStyle w:val="24"/>
        <w:rPr>
          <w:rFonts w:ascii="Times New Roman"/>
        </w:rPr>
      </w:pPr>
      <w:r>
        <w:rPr>
          <w:rFonts w:ascii="Times New Roman"/>
        </w:rPr>
        <w:t>本文件起草单位：陕西省环境监测中心站</w:t>
      </w:r>
      <w:r>
        <w:rPr>
          <w:rFonts w:hint="eastAsia" w:ascii="Times New Roman"/>
        </w:rPr>
        <w:t>、中国科学院西安光学精密机械研究所、西安邮电大学、铜川市环境监测站</w:t>
      </w:r>
      <w:r>
        <w:rPr>
          <w:rFonts w:ascii="Times New Roman"/>
        </w:rPr>
        <w:t>。</w:t>
      </w:r>
    </w:p>
    <w:p w14:paraId="1F08FDD2">
      <w:pPr>
        <w:pStyle w:val="24"/>
        <w:rPr>
          <w:rFonts w:ascii="Times New Roman"/>
        </w:rPr>
      </w:pPr>
      <w:r>
        <w:rPr>
          <w:rFonts w:ascii="Times New Roman"/>
        </w:rPr>
        <w:t>本文件主要起草人：张霖琳</w:t>
      </w:r>
      <w:r>
        <w:rPr>
          <w:rFonts w:hint="eastAsia" w:ascii="Times New Roman"/>
        </w:rPr>
        <w:t xml:space="preserve"> 杨震 吕婧 曹磊 </w:t>
      </w:r>
      <w:r>
        <w:rPr>
          <w:rFonts w:hint="eastAsia" w:ascii="Times New Roman"/>
          <w:lang w:val="en-US" w:eastAsia="zh-CN"/>
        </w:rPr>
        <w:t xml:space="preserve">杜伟 </w:t>
      </w:r>
      <w:r>
        <w:rPr>
          <w:rFonts w:hint="eastAsia" w:ascii="Times New Roman"/>
        </w:rPr>
        <w:t xml:space="preserve">徐崧博 梁磊 </w:t>
      </w:r>
      <w:r>
        <w:rPr>
          <w:rFonts w:hint="eastAsia"/>
        </w:rPr>
        <w:t>郑益朋</w:t>
      </w:r>
      <w:r>
        <w:rPr>
          <w:rFonts w:hint="eastAsia"/>
          <w:lang w:val="en-US" w:eastAsia="zh-CN"/>
        </w:rPr>
        <w:t xml:space="preserve"> </w:t>
      </w:r>
      <w:r>
        <w:rPr>
          <w:rFonts w:hint="eastAsia" w:ascii="Times New Roman"/>
        </w:rPr>
        <w:t>刘科</w:t>
      </w:r>
      <w:r>
        <w:rPr>
          <w:rFonts w:hint="eastAsia" w:ascii="Times New Roman"/>
          <w:lang w:val="en-US" w:eastAsia="zh-CN"/>
        </w:rPr>
        <w:t xml:space="preserve"> </w:t>
      </w:r>
      <w:r>
        <w:rPr>
          <w:rFonts w:ascii="Times New Roman"/>
        </w:rPr>
        <w:t>。</w:t>
      </w:r>
    </w:p>
    <w:p w14:paraId="36FE2387">
      <w:pPr>
        <w:pStyle w:val="24"/>
        <w:rPr>
          <w:rFonts w:ascii="Times New Roman"/>
        </w:rPr>
      </w:pPr>
      <w:r>
        <w:rPr>
          <w:rFonts w:ascii="Times New Roman"/>
        </w:rPr>
        <w:t>本文件由陕西省环境监测中心站负责解释。</w:t>
      </w:r>
    </w:p>
    <w:p w14:paraId="4EA5BB66">
      <w:pPr>
        <w:pStyle w:val="24"/>
        <w:rPr>
          <w:rFonts w:ascii="Times New Roman"/>
        </w:rPr>
      </w:pPr>
      <w:r>
        <w:rPr>
          <w:rFonts w:ascii="Times New Roman"/>
        </w:rPr>
        <w:t>联系信息如下：</w:t>
      </w:r>
    </w:p>
    <w:p w14:paraId="47130B3A">
      <w:pPr>
        <w:pStyle w:val="24"/>
        <w:rPr>
          <w:rFonts w:ascii="Times New Roman"/>
        </w:rPr>
      </w:pPr>
      <w:r>
        <w:rPr>
          <w:rFonts w:ascii="Times New Roman"/>
        </w:rPr>
        <w:t>单位：陕西省环境监测中心站</w:t>
      </w:r>
    </w:p>
    <w:p w14:paraId="40A27B60">
      <w:pPr>
        <w:pStyle w:val="24"/>
        <w:rPr>
          <w:rFonts w:ascii="Times New Roman"/>
        </w:rPr>
      </w:pPr>
      <w:r>
        <w:rPr>
          <w:rFonts w:ascii="Times New Roman"/>
        </w:rPr>
        <w:t>电话：029-85429112</w:t>
      </w:r>
    </w:p>
    <w:p w14:paraId="3463DA68">
      <w:pPr>
        <w:pStyle w:val="24"/>
        <w:rPr>
          <w:rFonts w:ascii="Times New Roman"/>
        </w:rPr>
      </w:pPr>
      <w:r>
        <w:rPr>
          <w:rFonts w:ascii="Times New Roman"/>
        </w:rPr>
        <w:t>地址：陕西省西安市雁塔区西影路106号</w:t>
      </w:r>
    </w:p>
    <w:p w14:paraId="1F3BC2EC">
      <w:pPr>
        <w:pStyle w:val="24"/>
        <w:rPr>
          <w:rFonts w:ascii="Times New Roman"/>
        </w:rPr>
        <w:sectPr>
          <w:headerReference r:id="rId5" w:type="default"/>
          <w:footerReference r:id="rId6" w:type="default"/>
          <w:pgSz w:w="11906" w:h="16838"/>
          <w:pgMar w:top="567" w:right="1134" w:bottom="1134" w:left="1417" w:header="1418" w:footer="1134" w:gutter="0"/>
          <w:pgNumType w:fmt="upperRoman" w:start="1"/>
          <w:cols w:space="720" w:num="1"/>
          <w:formProt w:val="0"/>
          <w:docGrid w:type="lines" w:linePitch="312" w:charSpace="0"/>
        </w:sectPr>
      </w:pPr>
      <w:r>
        <w:rPr>
          <w:rFonts w:ascii="Times New Roman"/>
        </w:rPr>
        <w:t>邮编：710054</w:t>
      </w:r>
    </w:p>
    <w:p w14:paraId="2C4E2DD1">
      <w:pPr>
        <w:pStyle w:val="26"/>
      </w:pPr>
      <w:bookmarkStart w:id="16" w:name="_Toc128642732"/>
      <w:bookmarkStart w:id="17" w:name="_Toc21621"/>
      <w:bookmarkStart w:id="18" w:name="_Toc8286"/>
      <w:bookmarkStart w:id="19" w:name="_Toc29852"/>
      <w:bookmarkStart w:id="20" w:name="_Toc31397"/>
      <w:r>
        <w:rPr>
          <w:rFonts w:hint="eastAsia"/>
          <w:lang w:eastAsia="zh-CN"/>
        </w:rPr>
        <w:t>温室气体</w:t>
      </w:r>
      <w:r>
        <w:rPr>
          <w:rFonts w:hint="eastAsia"/>
        </w:rPr>
        <w:t>高精度自动监测技术规范</w:t>
      </w:r>
      <w:bookmarkEnd w:id="16"/>
      <w:bookmarkEnd w:id="17"/>
      <w:bookmarkEnd w:id="18"/>
      <w:bookmarkEnd w:id="19"/>
      <w:bookmarkEnd w:id="20"/>
    </w:p>
    <w:p w14:paraId="4E406F7C">
      <w:pPr>
        <w:pStyle w:val="28"/>
      </w:pPr>
      <w:bookmarkStart w:id="21" w:name="_Toc23005"/>
      <w:bookmarkStart w:id="22" w:name="_Toc108079230"/>
      <w:bookmarkStart w:id="23" w:name="_Toc108076349"/>
      <w:bookmarkStart w:id="24" w:name="_Toc3553"/>
      <w:bookmarkStart w:id="25" w:name="_Toc4815"/>
      <w:r>
        <w:rPr>
          <w:rFonts w:hint="eastAsia"/>
        </w:rPr>
        <w:t>范围</w:t>
      </w:r>
      <w:bookmarkEnd w:id="21"/>
      <w:bookmarkEnd w:id="22"/>
      <w:bookmarkEnd w:id="23"/>
      <w:bookmarkEnd w:id="24"/>
      <w:bookmarkEnd w:id="25"/>
    </w:p>
    <w:p w14:paraId="1901C99B">
      <w:pPr>
        <w:pStyle w:val="24"/>
        <w:rPr>
          <w:rFonts w:ascii="Times New Roman"/>
        </w:rPr>
      </w:pPr>
      <w:bookmarkStart w:id="26" w:name="_Hlk87541842"/>
      <w:r>
        <w:rPr>
          <w:rFonts w:ascii="Times New Roman"/>
        </w:rPr>
        <w:t>本文件规定了温室气体高精度连续自动监测系统的方法原理与系统组成、技术性能要求、安装、调试与验收、系统日常运行维护、质量保证和质量控制、数据有效性判断等技术要求。</w:t>
      </w:r>
    </w:p>
    <w:p w14:paraId="74A005D0">
      <w:pPr>
        <w:pStyle w:val="24"/>
        <w:rPr>
          <w:rFonts w:ascii="Times New Roman"/>
        </w:rPr>
      </w:pPr>
      <w:r>
        <w:rPr>
          <w:rFonts w:ascii="Times New Roman"/>
        </w:rPr>
        <w:t>本</w:t>
      </w:r>
      <w:r>
        <w:rPr>
          <w:rFonts w:hint="eastAsia" w:ascii="Times New Roman"/>
        </w:rPr>
        <w:t>技术规定</w:t>
      </w:r>
      <w:r>
        <w:rPr>
          <w:rFonts w:ascii="Times New Roman"/>
        </w:rPr>
        <w:t>适用于中红外量子级联激光光声光谱</w:t>
      </w:r>
      <w:r>
        <w:rPr>
          <w:rFonts w:hint="eastAsia" w:ascii="Times New Roman"/>
        </w:rPr>
        <w:t>（</w:t>
      </w:r>
      <w:r>
        <w:rPr>
          <w:rFonts w:ascii="Times New Roman"/>
        </w:rPr>
        <w:t>QCLPAS</w:t>
      </w:r>
      <w:r>
        <w:rPr>
          <w:rFonts w:hint="eastAsia" w:ascii="Times New Roman"/>
        </w:rPr>
        <w:t>）</w:t>
      </w:r>
      <w:r>
        <w:rPr>
          <w:rFonts w:ascii="Times New Roman"/>
        </w:rPr>
        <w:t>法对二氧化碳、甲烷</w:t>
      </w:r>
      <w:bookmarkStart w:id="178" w:name="_GoBack"/>
      <w:bookmarkEnd w:id="178"/>
      <w:r>
        <w:rPr>
          <w:rFonts w:ascii="Times New Roman"/>
        </w:rPr>
        <w:t>等温室气体的连续自动监测。</w:t>
      </w:r>
    </w:p>
    <w:bookmarkEnd w:id="26"/>
    <w:p w14:paraId="3A0BF9D8">
      <w:pPr>
        <w:pStyle w:val="28"/>
      </w:pPr>
      <w:bookmarkStart w:id="27" w:name="_Toc108076350"/>
      <w:bookmarkStart w:id="28" w:name="_Toc23360"/>
      <w:bookmarkStart w:id="29" w:name="_Toc108079231"/>
      <w:bookmarkStart w:id="30" w:name="_Toc9203"/>
      <w:bookmarkStart w:id="31" w:name="_Toc9051"/>
      <w:r>
        <w:rPr>
          <w:rFonts w:hint="eastAsia"/>
        </w:rPr>
        <w:t>规范性引用文件</w:t>
      </w:r>
      <w:bookmarkEnd w:id="27"/>
      <w:bookmarkEnd w:id="28"/>
      <w:bookmarkEnd w:id="29"/>
      <w:bookmarkEnd w:id="30"/>
      <w:bookmarkEnd w:id="31"/>
    </w:p>
    <w:p w14:paraId="787CA1EA">
      <w:pPr>
        <w:pStyle w:val="24"/>
        <w:rPr>
          <w:rFonts w:hint="eastAsia" w:hAnsi="宋体"/>
        </w:rPr>
      </w:pPr>
      <w:bookmarkStart w:id="32" w:name="_Hlk87541878"/>
      <w:r>
        <w:rPr>
          <w:rFonts w:hAnsi="宋体"/>
        </w:rPr>
        <w:t>下列文件中的内容通过文中的规范性引用而构成本文件必不可少的条款。其中，注日期的引用文件，仅该日期的版本适用于本文件。不注日期的引用文件，其最新版本（包括所有的修改单）</w:t>
      </w:r>
      <w:r>
        <w:rPr>
          <w:rFonts w:hint="eastAsia" w:hAnsi="宋体"/>
        </w:rPr>
        <w:t>的有效版本</w:t>
      </w:r>
      <w:r>
        <w:rPr>
          <w:rFonts w:hAnsi="宋体"/>
        </w:rPr>
        <w:t>适用于本文件。</w:t>
      </w:r>
    </w:p>
    <w:bookmarkEnd w:id="32"/>
    <w:p w14:paraId="605C9507">
      <w:pPr>
        <w:pStyle w:val="24"/>
        <w:rPr>
          <w:rFonts w:ascii="Times New Roman"/>
        </w:rPr>
      </w:pPr>
      <w:r>
        <w:rPr>
          <w:rFonts w:hint="eastAsia" w:ascii="Times New Roman"/>
        </w:rPr>
        <w:t>G</w:t>
      </w:r>
      <w:r>
        <w:rPr>
          <w:rFonts w:ascii="Times New Roman"/>
        </w:rPr>
        <w:t>B 50168</w:t>
      </w:r>
      <w:r>
        <w:rPr>
          <w:rFonts w:hint="eastAsia" w:ascii="Times New Roman"/>
        </w:rPr>
        <w:t xml:space="preserve">  电气装置安装工程电缆线路施工及验收标准</w:t>
      </w:r>
    </w:p>
    <w:p w14:paraId="5ACE13AB">
      <w:pPr>
        <w:pStyle w:val="24"/>
        <w:rPr>
          <w:rFonts w:ascii="Times New Roman"/>
        </w:rPr>
      </w:pPr>
      <w:r>
        <w:rPr>
          <w:rFonts w:ascii="Times New Roman"/>
        </w:rPr>
        <w:t>HJ 193  环境空气质量自动监测技术规范</w:t>
      </w:r>
    </w:p>
    <w:p w14:paraId="2ED57711">
      <w:pPr>
        <w:pStyle w:val="24"/>
        <w:rPr>
          <w:rFonts w:ascii="Times New Roman"/>
        </w:rPr>
      </w:pPr>
      <w:r>
        <w:rPr>
          <w:rFonts w:ascii="Times New Roman"/>
        </w:rPr>
        <w:t>HJ 212  污染物在线监控（监测）系统数据传输标准</w:t>
      </w:r>
    </w:p>
    <w:p w14:paraId="4E4588E3">
      <w:pPr>
        <w:pStyle w:val="24"/>
        <w:rPr>
          <w:rFonts w:ascii="Times New Roman"/>
        </w:rPr>
      </w:pPr>
      <w:r>
        <w:rPr>
          <w:rFonts w:ascii="Times New Roman"/>
        </w:rPr>
        <w:t>HJ 654</w:t>
      </w:r>
      <w:r>
        <w:rPr>
          <w:rFonts w:hint="eastAsia" w:ascii="Times New Roman"/>
        </w:rPr>
        <w:t xml:space="preserve">  环境空气气态污染物（SO</w:t>
      </w:r>
      <w:r>
        <w:rPr>
          <w:rFonts w:hint="eastAsia" w:ascii="Times New Roman"/>
          <w:vertAlign w:val="subscript"/>
        </w:rPr>
        <w:t>2</w:t>
      </w:r>
      <w:r>
        <w:rPr>
          <w:rFonts w:hint="eastAsia" w:ascii="Times New Roman"/>
        </w:rPr>
        <w:t>、NO</w:t>
      </w:r>
      <w:r>
        <w:rPr>
          <w:rFonts w:hint="eastAsia" w:ascii="Times New Roman"/>
          <w:vertAlign w:val="subscript"/>
        </w:rPr>
        <w:t>2</w:t>
      </w:r>
      <w:r>
        <w:rPr>
          <w:rFonts w:hint="eastAsia" w:ascii="Times New Roman"/>
        </w:rPr>
        <w:t>、O</w:t>
      </w:r>
      <w:r>
        <w:rPr>
          <w:rFonts w:hint="eastAsia" w:ascii="Times New Roman"/>
          <w:vertAlign w:val="subscript"/>
        </w:rPr>
        <w:t>3</w:t>
      </w:r>
      <w:r>
        <w:rPr>
          <w:rFonts w:hint="eastAsia" w:ascii="Times New Roman"/>
        </w:rPr>
        <w:t>、CO）连续自动监测系统技术要求及检测方法</w:t>
      </w:r>
    </w:p>
    <w:p w14:paraId="5CA151C4">
      <w:pPr>
        <w:pStyle w:val="24"/>
        <w:rPr>
          <w:rFonts w:ascii="Times New Roman"/>
        </w:rPr>
      </w:pPr>
      <w:r>
        <w:rPr>
          <w:rFonts w:ascii="Times New Roman"/>
        </w:rPr>
        <w:t>HJ 664  环境空气质量监测站点布设技术规范（试行）</w:t>
      </w:r>
    </w:p>
    <w:p w14:paraId="33CABC39">
      <w:pPr>
        <w:pStyle w:val="24"/>
        <w:rPr>
          <w:rFonts w:ascii="Times New Roman"/>
        </w:rPr>
      </w:pPr>
      <w:r>
        <w:rPr>
          <w:rFonts w:hint="eastAsia" w:ascii="Times New Roman"/>
        </w:rPr>
        <w:t xml:space="preserve">总站气字 </w:t>
      </w:r>
      <w:r>
        <w:rPr>
          <w:rFonts w:hint="eastAsia" w:ascii="Times New Roman"/>
          <w:lang w:eastAsia="zh-CN"/>
        </w:rPr>
        <w:t>〔2022〕475号</w:t>
      </w:r>
      <w:r>
        <w:rPr>
          <w:rFonts w:hint="eastAsia" w:ascii="Times New Roman"/>
        </w:rPr>
        <w:t xml:space="preserve">  环境空气温室气体及其示踪物（CO</w:t>
      </w:r>
      <w:r>
        <w:rPr>
          <w:rFonts w:hint="eastAsia" w:ascii="Times New Roman"/>
          <w:vertAlign w:val="subscript"/>
        </w:rPr>
        <w:t>2</w:t>
      </w:r>
      <w:r>
        <w:rPr>
          <w:rFonts w:hint="eastAsia" w:ascii="Times New Roman"/>
        </w:rPr>
        <w:t>、CH</w:t>
      </w:r>
      <w:r>
        <w:rPr>
          <w:rFonts w:hint="eastAsia" w:ascii="Times New Roman"/>
          <w:vertAlign w:val="subscript"/>
        </w:rPr>
        <w:t>4</w:t>
      </w:r>
      <w:r>
        <w:rPr>
          <w:rFonts w:hint="eastAsia" w:ascii="Times New Roman"/>
        </w:rPr>
        <w:t>、N</w:t>
      </w:r>
      <w:r>
        <w:rPr>
          <w:rFonts w:hint="eastAsia" w:ascii="Times New Roman"/>
          <w:vertAlign w:val="subscript"/>
        </w:rPr>
        <w:t>2</w:t>
      </w:r>
      <w:r>
        <w:rPr>
          <w:rFonts w:hint="eastAsia" w:ascii="Times New Roman"/>
        </w:rPr>
        <w:t>O和CO）连续自动监测采样系统技术要求（第一版）</w:t>
      </w:r>
    </w:p>
    <w:p w14:paraId="37267A26">
      <w:pPr>
        <w:pStyle w:val="28"/>
      </w:pPr>
      <w:bookmarkStart w:id="33" w:name="_Toc108076351"/>
      <w:bookmarkEnd w:id="33"/>
      <w:bookmarkStart w:id="34" w:name="_Toc105425563"/>
      <w:bookmarkStart w:id="35" w:name="_Toc992"/>
      <w:bookmarkStart w:id="36" w:name="_Toc6574"/>
      <w:bookmarkStart w:id="37" w:name="_Toc8072"/>
      <w:bookmarkStart w:id="38" w:name="_Toc17875"/>
      <w:bookmarkStart w:id="39" w:name="_Toc19573"/>
      <w:bookmarkStart w:id="40" w:name="_Toc108079232"/>
      <w:r>
        <w:rPr>
          <w:rFonts w:hint="eastAsia"/>
        </w:rPr>
        <w:t>术语和定义</w:t>
      </w:r>
      <w:bookmarkEnd w:id="34"/>
      <w:bookmarkEnd w:id="35"/>
      <w:bookmarkEnd w:id="36"/>
      <w:bookmarkEnd w:id="37"/>
      <w:bookmarkEnd w:id="38"/>
      <w:bookmarkEnd w:id="39"/>
      <w:bookmarkEnd w:id="40"/>
      <w:r>
        <w:t xml:space="preserve"> </w:t>
      </w:r>
    </w:p>
    <w:p w14:paraId="5A28CDD5">
      <w:pPr>
        <w:pStyle w:val="24"/>
        <w:rPr>
          <w:rFonts w:ascii="Times New Roman"/>
        </w:rPr>
      </w:pPr>
      <w:bookmarkStart w:id="41" w:name="_Hlk105413059"/>
      <w:r>
        <w:rPr>
          <w:rFonts w:ascii="Times New Roman"/>
        </w:rPr>
        <w:t>下列术语和定义适用于本文件。</w:t>
      </w:r>
    </w:p>
    <w:bookmarkEnd w:id="41"/>
    <w:p w14:paraId="6A6D4FE6">
      <w:pPr>
        <w:pStyle w:val="29"/>
        <w:jc w:val="both"/>
      </w:pPr>
      <w:bookmarkStart w:id="42" w:name="_Toc128642736"/>
      <w:bookmarkEnd w:id="42"/>
      <w:bookmarkStart w:id="43" w:name="_Toc2333"/>
      <w:bookmarkEnd w:id="43"/>
      <w:bookmarkStart w:id="44" w:name="_Toc86837098"/>
      <w:bookmarkStart w:id="45" w:name="_Toc87273918"/>
      <w:bookmarkStart w:id="46" w:name="_Hlk60130357"/>
      <w:bookmarkStart w:id="47" w:name="_Toc87541685"/>
    </w:p>
    <w:bookmarkEnd w:id="44"/>
    <w:bookmarkEnd w:id="45"/>
    <w:bookmarkEnd w:id="46"/>
    <w:bookmarkEnd w:id="47"/>
    <w:p w14:paraId="7E9F1D7E">
      <w:pPr>
        <w:pStyle w:val="29"/>
        <w:numPr>
          <w:ilvl w:val="0"/>
          <w:numId w:val="0"/>
        </w:numPr>
        <w:ind w:firstLine="420" w:firstLineChars="200"/>
        <w:jc w:val="both"/>
        <w:rPr>
          <w:rFonts w:hint="eastAsia" w:hAnsi="黑体"/>
          <w:b/>
          <w:bCs/>
          <w:szCs w:val="20"/>
        </w:rPr>
      </w:pPr>
      <w:bookmarkStart w:id="48" w:name="_Toc128642737"/>
      <w:bookmarkStart w:id="49" w:name="_Toc13909"/>
      <w:bookmarkStart w:id="50" w:name="_Toc87541686"/>
      <w:r>
        <w:rPr>
          <w:rFonts w:hint="eastAsia" w:hAnsi="黑体"/>
          <w:szCs w:val="20"/>
        </w:rPr>
        <w:t>温室气体高精度连续自动监测</w:t>
      </w:r>
      <w:bookmarkEnd w:id="48"/>
      <w:bookmarkEnd w:id="49"/>
      <w:r>
        <w:rPr>
          <w:rFonts w:hint="eastAsia" w:hAnsi="黑体"/>
          <w:szCs w:val="20"/>
        </w:rPr>
        <w:t xml:space="preserve"> High precision continuous automatic monitoring of greenhouse gases</w:t>
      </w:r>
    </w:p>
    <w:p w14:paraId="393B5D0A">
      <w:pPr>
        <w:pStyle w:val="24"/>
        <w:rPr>
          <w:rFonts w:hint="eastAsia" w:hAnsi="宋体"/>
        </w:rPr>
      </w:pPr>
      <w:r>
        <w:rPr>
          <w:rFonts w:hint="eastAsia" w:hAnsi="宋体"/>
        </w:rPr>
        <w:t>指采用</w:t>
      </w:r>
      <w:bookmarkStart w:id="51" w:name="_Hlk160983657"/>
      <w:r>
        <w:rPr>
          <w:rFonts w:hint="eastAsia" w:hAnsi="宋体"/>
        </w:rPr>
        <w:t>高精度连续自动监测仪器对温室气体进行连续的样品采集、处理、分析的过程。</w:t>
      </w:r>
      <w:bookmarkEnd w:id="51"/>
      <w:r>
        <w:rPr>
          <w:rFonts w:hAnsi="宋体"/>
        </w:rPr>
        <w:t xml:space="preserve"> </w:t>
      </w:r>
      <w:bookmarkStart w:id="52" w:name="_Hlk60130412"/>
      <w:bookmarkStart w:id="53" w:name="_Hlk60130376"/>
      <w:r>
        <w:rPr>
          <w:rFonts w:hint="eastAsia" w:hAnsi="宋体"/>
        </w:rPr>
        <w:t xml:space="preserve"> </w:t>
      </w:r>
    </w:p>
    <w:p w14:paraId="356D229F">
      <w:pPr>
        <w:pStyle w:val="24"/>
        <w:rPr>
          <w:rFonts w:hint="eastAsia" w:hAnsi="宋体"/>
        </w:rPr>
      </w:pPr>
      <w:bookmarkStart w:id="54" w:name="_Toc128642738"/>
      <w:bookmarkEnd w:id="54"/>
      <w:bookmarkStart w:id="55" w:name="_Toc13304"/>
      <w:bookmarkEnd w:id="55"/>
      <w:r>
        <w:rPr>
          <w:rFonts w:hint="eastAsia" w:ascii="黑体" w:hAnsi="黑体" w:eastAsia="黑体" w:cs="黑体"/>
          <w:szCs w:val="21"/>
        </w:rPr>
        <w:t>注：</w:t>
      </w:r>
      <w:r>
        <w:rPr>
          <w:rFonts w:hint="eastAsia" w:hAnsi="宋体"/>
        </w:rPr>
        <w:t>该定义主要参考了《环境空气质量自动监测技术规范》</w:t>
      </w:r>
      <w:r>
        <w:rPr>
          <w:rFonts w:hint="eastAsia" w:ascii="Times New Roman"/>
        </w:rPr>
        <w:t>（HJ 193-2005）</w:t>
      </w:r>
      <w:r>
        <w:rPr>
          <w:rFonts w:hint="eastAsia" w:hAnsi="宋体"/>
        </w:rPr>
        <w:t>中关于“环境空气质量自动监测”的定义。</w:t>
      </w:r>
    </w:p>
    <w:p w14:paraId="36D60D5F">
      <w:pPr>
        <w:pStyle w:val="29"/>
        <w:jc w:val="both"/>
        <w:rPr>
          <w:rFonts w:hint="eastAsia" w:hAnsi="宋体"/>
          <w:szCs w:val="20"/>
        </w:rPr>
      </w:pPr>
    </w:p>
    <w:bookmarkEnd w:id="50"/>
    <w:bookmarkEnd w:id="52"/>
    <w:p w14:paraId="4CCBC6A9">
      <w:pPr>
        <w:pStyle w:val="29"/>
        <w:numPr>
          <w:ilvl w:val="0"/>
          <w:numId w:val="0"/>
        </w:numPr>
        <w:ind w:firstLine="420" w:firstLineChars="200"/>
        <w:jc w:val="both"/>
        <w:rPr>
          <w:rFonts w:hint="eastAsia" w:hAnsi="黑体"/>
          <w:szCs w:val="20"/>
        </w:rPr>
      </w:pPr>
      <w:bookmarkStart w:id="56" w:name="_Toc8605"/>
      <w:bookmarkStart w:id="57" w:name="_Toc128642739"/>
      <w:bookmarkStart w:id="58" w:name="_Hlk60130804"/>
      <w:r>
        <w:rPr>
          <w:rFonts w:hint="eastAsia" w:hAnsi="黑体"/>
          <w:szCs w:val="20"/>
        </w:rPr>
        <w:t>连续自动监测系统性能审核</w:t>
      </w:r>
      <w:bookmarkEnd w:id="56"/>
      <w:bookmarkEnd w:id="57"/>
      <w:r>
        <w:rPr>
          <w:rFonts w:hint="eastAsia" w:hAnsi="黑体"/>
          <w:szCs w:val="20"/>
        </w:rPr>
        <w:t xml:space="preserve"> Manual methods for air quality monitorying</w:t>
      </w:r>
    </w:p>
    <w:p w14:paraId="4091105F">
      <w:pPr>
        <w:pStyle w:val="24"/>
        <w:rPr>
          <w:rFonts w:hint="eastAsia" w:hAnsi="宋体"/>
        </w:rPr>
      </w:pPr>
      <w:r>
        <w:rPr>
          <w:rFonts w:hint="eastAsia" w:hAnsi="宋体"/>
        </w:rPr>
        <w:t xml:space="preserve">指对连续自动监测系统进行精密度审核、正确度审核的过程。 </w:t>
      </w:r>
    </w:p>
    <w:p w14:paraId="182DD139">
      <w:pPr>
        <w:pStyle w:val="24"/>
        <w:rPr>
          <w:rFonts w:hint="eastAsia" w:hAnsi="宋体"/>
        </w:rPr>
      </w:pPr>
      <w:r>
        <w:rPr>
          <w:rFonts w:hint="eastAsia" w:ascii="黑体" w:hAnsi="黑体" w:eastAsia="黑体" w:cs="黑体"/>
          <w:szCs w:val="21"/>
        </w:rPr>
        <w:t>注：</w:t>
      </w:r>
      <w:r>
        <w:rPr>
          <w:rFonts w:hint="eastAsia" w:hAnsi="宋体"/>
        </w:rPr>
        <w:t>该定义主要参考了环境空气质量自动监测技术规范</w:t>
      </w:r>
      <w:r>
        <w:rPr>
          <w:rFonts w:ascii="Times New Roman"/>
        </w:rPr>
        <w:t>（HJ 193-2005）</w:t>
      </w:r>
      <w:r>
        <w:rPr>
          <w:rFonts w:hint="eastAsia" w:hAnsi="宋体"/>
        </w:rPr>
        <w:t>中关于“连续自动监测系统性能审核”的定义。</w:t>
      </w:r>
    </w:p>
    <w:p w14:paraId="30C040D7">
      <w:pPr>
        <w:pStyle w:val="24"/>
        <w:rPr>
          <w:rFonts w:hint="eastAsia" w:hAnsi="宋体"/>
        </w:rPr>
      </w:pPr>
    </w:p>
    <w:bookmarkEnd w:id="58"/>
    <w:p w14:paraId="5A84365F">
      <w:pPr>
        <w:pStyle w:val="29"/>
        <w:jc w:val="both"/>
      </w:pPr>
      <w:bookmarkStart w:id="59" w:name="_Toc128642740"/>
      <w:bookmarkEnd w:id="59"/>
      <w:bookmarkStart w:id="60" w:name="_Toc433"/>
      <w:bookmarkEnd w:id="60"/>
      <w:bookmarkStart w:id="61" w:name="_Toc87541687"/>
    </w:p>
    <w:bookmarkEnd w:id="61"/>
    <w:p w14:paraId="1D26B22E">
      <w:pPr>
        <w:pStyle w:val="29"/>
        <w:numPr>
          <w:ilvl w:val="0"/>
          <w:numId w:val="0"/>
        </w:numPr>
        <w:ind w:firstLine="420" w:firstLineChars="200"/>
        <w:jc w:val="both"/>
        <w:rPr>
          <w:rFonts w:hint="eastAsia" w:hAnsi="黑体"/>
          <w:szCs w:val="20"/>
        </w:rPr>
      </w:pPr>
      <w:bookmarkStart w:id="62" w:name="_Toc4191"/>
      <w:bookmarkStart w:id="63" w:name="_Toc128642741"/>
      <w:bookmarkStart w:id="64" w:name="_Toc105423653"/>
      <w:bookmarkStart w:id="65" w:name="_Hlk105413220"/>
      <w:bookmarkStart w:id="66" w:name="_Hlk87541938"/>
      <w:r>
        <w:rPr>
          <w:rFonts w:hint="eastAsia" w:hAnsi="黑体"/>
          <w:szCs w:val="20"/>
        </w:rPr>
        <w:t>标准气体</w:t>
      </w:r>
      <w:bookmarkEnd w:id="62"/>
      <w:bookmarkEnd w:id="63"/>
      <w:r>
        <w:rPr>
          <w:rFonts w:hint="eastAsia" w:hAnsi="黑体"/>
          <w:szCs w:val="20"/>
        </w:rPr>
        <w:t xml:space="preserve"> Standard gas</w:t>
      </w:r>
    </w:p>
    <w:p w14:paraId="708E561D">
      <w:pPr>
        <w:pStyle w:val="24"/>
        <w:rPr>
          <w:rFonts w:hint="eastAsia" w:hAnsi="宋体"/>
        </w:rPr>
      </w:pPr>
      <w:r>
        <w:rPr>
          <w:rFonts w:hint="eastAsia" w:hAnsi="宋体"/>
        </w:rPr>
        <w:t>指经过可靠量值溯源程序认可的气体标准物质，主要是以干洁空气或合成空气为底气、被测物种浓度已知的混合气。标准气体按照用途可分为工作气和目标气。工作气是指作为校准用途的标准气体。目标气是指作为验证分析仪器运行稳定性等质控用途的标准气体。</w:t>
      </w:r>
      <w:bookmarkEnd w:id="64"/>
    </w:p>
    <w:p w14:paraId="1F8A9AB6">
      <w:pPr>
        <w:pStyle w:val="24"/>
        <w:rPr>
          <w:rFonts w:hint="eastAsia" w:hAnsi="宋体"/>
        </w:rPr>
      </w:pPr>
      <w:r>
        <w:rPr>
          <w:rFonts w:hint="eastAsia" w:ascii="黑体" w:hAnsi="黑体" w:eastAsia="黑体" w:cs="黑体"/>
          <w:szCs w:val="21"/>
        </w:rPr>
        <w:t>注：</w:t>
      </w:r>
      <w:r>
        <w:rPr>
          <w:rFonts w:hint="eastAsia" w:hAnsi="宋体"/>
        </w:rPr>
        <w:t>该定义主要参考了《中华人民共和国国家计量技术规范》</w:t>
      </w:r>
      <w:r>
        <w:rPr>
          <w:rFonts w:ascii="Times New Roman"/>
        </w:rPr>
        <w:t>（JJF 1005-2016）</w:t>
      </w:r>
      <w:r>
        <w:rPr>
          <w:rFonts w:hint="eastAsia" w:hAnsi="宋体"/>
        </w:rPr>
        <w:t>标准物质术语和定义中关于“标注物质”的定义。</w:t>
      </w:r>
    </w:p>
    <w:p w14:paraId="235DFB7B">
      <w:pPr>
        <w:pStyle w:val="24"/>
        <w:rPr>
          <w:rFonts w:hint="eastAsia" w:hAnsi="宋体"/>
        </w:rPr>
      </w:pPr>
    </w:p>
    <w:p w14:paraId="67855C79">
      <w:pPr>
        <w:pStyle w:val="29"/>
        <w:jc w:val="both"/>
      </w:pPr>
    </w:p>
    <w:p w14:paraId="0239700B">
      <w:pPr>
        <w:pStyle w:val="29"/>
        <w:numPr>
          <w:ilvl w:val="0"/>
          <w:numId w:val="0"/>
        </w:numPr>
        <w:ind w:firstLine="420" w:firstLineChars="200"/>
        <w:jc w:val="both"/>
        <w:rPr>
          <w:rFonts w:hint="eastAsia" w:hAnsi="黑体"/>
          <w:szCs w:val="20"/>
        </w:rPr>
      </w:pPr>
      <w:r>
        <w:rPr>
          <w:rFonts w:hint="eastAsia" w:hAnsi="黑体"/>
          <w:szCs w:val="20"/>
        </w:rPr>
        <w:t>光声光谱法 Photoacoustic spectroscopy</w:t>
      </w:r>
    </w:p>
    <w:p w14:paraId="708C008D">
      <w:pPr>
        <w:pStyle w:val="24"/>
      </w:pPr>
      <w:r>
        <w:rPr>
          <w:rFonts w:hint="eastAsia"/>
        </w:rPr>
        <w:t>光声光谱技术使用间接测量的方法，检测物质对光能的吸收量。当光强为I0的光束通过待测气体分子后，其中部分光被待测气体分子所吸收。吸收光能后的气体分子由基态跃迁到激发态，由于激发态的分子不稳定，绝大部分受激分子经过无辐射跃迁回到基态并放出热量，从而产生以光源为中心向外扩展的声波（一种压力波）。当光的强度一定时，声波大小与待测气体浓度成正比，因此通过传感器探测声波的大小，即可获得待测气体的浓度信息。</w:t>
      </w:r>
    </w:p>
    <w:p w14:paraId="45FE2805">
      <w:pPr>
        <w:pStyle w:val="24"/>
        <w:rPr>
          <w:rFonts w:hint="eastAsia" w:hAnsi="宋体"/>
        </w:rPr>
      </w:pPr>
      <w:r>
        <w:rPr>
          <w:rFonts w:hint="eastAsia" w:ascii="黑体" w:hAnsi="黑体" w:eastAsia="黑体" w:cs="黑体"/>
          <w:szCs w:val="21"/>
        </w:rPr>
        <w:t>注：</w:t>
      </w:r>
      <w:r>
        <w:rPr>
          <w:rFonts w:hint="eastAsia" w:hAnsi="宋体"/>
        </w:rPr>
        <w:t>该定义主要参考了《电子学名词》（第一版）中“光声光谱法”的定义。</w:t>
      </w:r>
    </w:p>
    <w:p w14:paraId="42522FE4">
      <w:pPr>
        <w:pStyle w:val="24"/>
      </w:pPr>
    </w:p>
    <w:bookmarkEnd w:id="53"/>
    <w:bookmarkEnd w:id="65"/>
    <w:bookmarkEnd w:id="66"/>
    <w:p w14:paraId="66042321">
      <w:pPr>
        <w:pStyle w:val="28"/>
        <w:rPr>
          <w:rFonts w:ascii="Times New Roman"/>
        </w:rPr>
      </w:pPr>
      <w:bookmarkStart w:id="67" w:name="_Toc5718"/>
      <w:bookmarkStart w:id="68" w:name="_Toc6597"/>
      <w:bookmarkStart w:id="69" w:name="_Toc3717"/>
      <w:r>
        <w:rPr>
          <w:rFonts w:hint="eastAsia" w:ascii="Times New Roman"/>
        </w:rPr>
        <w:t>方法原理与系统组成</w:t>
      </w:r>
      <w:bookmarkEnd w:id="67"/>
      <w:bookmarkEnd w:id="68"/>
      <w:bookmarkEnd w:id="69"/>
      <w:r>
        <w:rPr>
          <w:rFonts w:hint="eastAsia" w:ascii="Times New Roman"/>
        </w:rPr>
        <w:t xml:space="preserve"> </w:t>
      </w:r>
    </w:p>
    <w:p w14:paraId="47C49902">
      <w:pPr>
        <w:pStyle w:val="29"/>
        <w:tabs>
          <w:tab w:val="center" w:pos="4201"/>
          <w:tab w:val="right" w:leader="dot" w:pos="9298"/>
        </w:tabs>
        <w:jc w:val="both"/>
      </w:pPr>
      <w:bookmarkStart w:id="70" w:name="_Toc22197"/>
      <w:bookmarkStart w:id="71" w:name="_Toc128642743"/>
      <w:r>
        <w:rPr>
          <w:rFonts w:hint="eastAsia"/>
        </w:rPr>
        <w:t>方法原理</w:t>
      </w:r>
      <w:bookmarkEnd w:id="70"/>
      <w:bookmarkEnd w:id="71"/>
    </w:p>
    <w:p w14:paraId="5C2EAA68">
      <w:pPr>
        <w:pStyle w:val="24"/>
        <w:rPr>
          <w:rFonts w:hint="eastAsia" w:hAnsi="宋体"/>
        </w:rPr>
      </w:pPr>
      <w:r>
        <w:rPr>
          <w:rFonts w:hAnsi="宋体"/>
        </w:rPr>
        <w:t>通过高性能共振增强型光声腔、低噪声放大处理电路、高灵敏度共振型探测器，采用中红外量子级联激光光声光谱</w:t>
      </w:r>
      <w:r>
        <w:rPr>
          <w:rFonts w:hint="eastAsia" w:hAnsi="宋体"/>
        </w:rPr>
        <w:t>（</w:t>
      </w:r>
      <w:r>
        <w:rPr>
          <w:rFonts w:hint="default" w:ascii="Times New Roman" w:hAnsi="Times New Roman" w:cs="Times New Roman"/>
        </w:rPr>
        <w:t>QCLPAS</w:t>
      </w:r>
      <w:r>
        <w:rPr>
          <w:rFonts w:hint="eastAsia" w:hAnsi="宋体"/>
        </w:rPr>
        <w:t>）</w:t>
      </w:r>
      <w:r>
        <w:rPr>
          <w:rFonts w:hAnsi="宋体"/>
        </w:rPr>
        <w:t>测量方法，利用不同气体指纹区特征检测波长的中红外激光光源和光学组件，实现</w:t>
      </w:r>
      <w:r>
        <w:rPr>
          <w:rFonts w:hint="default" w:ascii="Times New Roman" w:hAnsi="Times New Roman" w:cs="Times New Roman"/>
        </w:rPr>
        <w:t>CO</w:t>
      </w:r>
      <w:r>
        <w:rPr>
          <w:rFonts w:hint="default" w:ascii="Times New Roman" w:hAnsi="Times New Roman" w:cs="Times New Roman"/>
          <w:vertAlign w:val="subscript"/>
        </w:rPr>
        <w:t>2</w:t>
      </w:r>
      <w:r>
        <w:rPr>
          <w:rFonts w:hint="default" w:ascii="Times New Roman" w:hAnsi="Times New Roman" w:cs="Times New Roman"/>
        </w:rPr>
        <w:t>、CH</w:t>
      </w:r>
      <w:r>
        <w:rPr>
          <w:rFonts w:hint="default" w:ascii="Times New Roman" w:hAnsi="Times New Roman" w:cs="Times New Roman"/>
          <w:vertAlign w:val="subscript"/>
        </w:rPr>
        <w:t>4</w:t>
      </w:r>
      <w:r>
        <w:rPr>
          <w:rFonts w:hAnsi="宋体"/>
        </w:rPr>
        <w:t>等温室气体的连续自动监测。</w:t>
      </w:r>
    </w:p>
    <w:p w14:paraId="054C38F8">
      <w:pPr>
        <w:pStyle w:val="29"/>
        <w:tabs>
          <w:tab w:val="center" w:pos="4201"/>
          <w:tab w:val="right" w:leader="dot" w:pos="9298"/>
        </w:tabs>
        <w:jc w:val="both"/>
      </w:pPr>
      <w:bookmarkStart w:id="72" w:name="_Toc128642744"/>
      <w:bookmarkStart w:id="73" w:name="_Toc26672"/>
      <w:r>
        <w:rPr>
          <w:rFonts w:hint="eastAsia"/>
        </w:rPr>
        <w:t>系统组成</w:t>
      </w:r>
      <w:bookmarkEnd w:id="72"/>
      <w:bookmarkEnd w:id="73"/>
    </w:p>
    <w:p w14:paraId="583225C2">
      <w:pPr>
        <w:pStyle w:val="30"/>
        <w:ind w:left="0"/>
        <w:jc w:val="both"/>
      </w:pPr>
      <w:r>
        <w:rPr>
          <w:rFonts w:hint="eastAsia"/>
        </w:rPr>
        <w:t>采样单元</w:t>
      </w:r>
    </w:p>
    <w:p w14:paraId="16DF6F00">
      <w:pPr>
        <w:pStyle w:val="24"/>
        <w:rPr>
          <w:rFonts w:hint="eastAsia" w:hAnsi="宋体"/>
        </w:rPr>
      </w:pPr>
      <w:r>
        <w:rPr>
          <w:rFonts w:hint="eastAsia" w:hAnsi="宋体"/>
        </w:rPr>
        <w:t>采样单元由采样塔、采样管、除水设施、采样泵、流量压力控制模块、标校模块等组成。</w:t>
      </w:r>
    </w:p>
    <w:p w14:paraId="14B21F94">
      <w:pPr>
        <w:pStyle w:val="30"/>
        <w:ind w:left="0"/>
        <w:jc w:val="both"/>
      </w:pPr>
      <w:r>
        <w:rPr>
          <w:rFonts w:hint="eastAsia"/>
        </w:rPr>
        <w:t>分析单元</w:t>
      </w:r>
    </w:p>
    <w:p w14:paraId="10723CAC">
      <w:pPr>
        <w:pStyle w:val="30"/>
        <w:numPr>
          <w:ilvl w:val="0"/>
          <w:numId w:val="0"/>
        </w:numPr>
        <w:ind w:firstLine="420" w:firstLineChars="200"/>
        <w:jc w:val="both"/>
      </w:pPr>
      <w:r>
        <w:rPr>
          <w:rFonts w:hint="eastAsia"/>
        </w:rPr>
        <w:t>分析单元由光源、腔室、探测器、控制电路、温控模块和压控模块等组成，实现进样气体的检测与分析。</w:t>
      </w:r>
    </w:p>
    <w:p w14:paraId="098E460A">
      <w:pPr>
        <w:pStyle w:val="30"/>
        <w:ind w:left="0"/>
        <w:jc w:val="both"/>
      </w:pPr>
      <w:r>
        <w:rPr>
          <w:rFonts w:hint="eastAsia"/>
        </w:rPr>
        <w:t>气象监测单元</w:t>
      </w:r>
    </w:p>
    <w:p w14:paraId="32219FE9">
      <w:pPr>
        <w:pStyle w:val="30"/>
        <w:numPr>
          <w:ilvl w:val="2"/>
          <w:numId w:val="0"/>
        </w:numPr>
        <w:jc w:val="both"/>
      </w:pPr>
      <w:r>
        <w:rPr>
          <w:rFonts w:hint="eastAsia"/>
        </w:rPr>
        <w:t xml:space="preserve">     气象监测单元由温度、湿度、气压、风速和风向五个参数的监测模块组成。</w:t>
      </w:r>
    </w:p>
    <w:p w14:paraId="4F0082EA">
      <w:pPr>
        <w:pStyle w:val="30"/>
        <w:ind w:left="0"/>
        <w:jc w:val="both"/>
      </w:pPr>
      <w:r>
        <w:rPr>
          <w:rFonts w:hint="eastAsia"/>
        </w:rPr>
        <w:t>数据采集与控制单元</w:t>
      </w:r>
    </w:p>
    <w:p w14:paraId="61AB199B">
      <w:pPr>
        <w:pStyle w:val="24"/>
        <w:rPr>
          <w:rFonts w:ascii="Times New Roman"/>
        </w:rPr>
      </w:pPr>
      <w:r>
        <w:rPr>
          <w:rFonts w:ascii="Times New Roman"/>
        </w:rPr>
        <w:t>数据采集与控制单元用于设置仪器参数、控制仪器、采集和存储监测数据。</w:t>
      </w:r>
    </w:p>
    <w:p w14:paraId="7C023DE6">
      <w:pPr>
        <w:pStyle w:val="30"/>
        <w:ind w:left="0"/>
        <w:jc w:val="both"/>
      </w:pPr>
      <w:r>
        <w:rPr>
          <w:rFonts w:hint="eastAsia"/>
        </w:rPr>
        <w:t>数据处理与通讯单元</w:t>
      </w:r>
    </w:p>
    <w:p w14:paraId="7D0DA4A6">
      <w:pPr>
        <w:pStyle w:val="24"/>
        <w:rPr>
          <w:rFonts w:ascii="Times New Roman"/>
        </w:rPr>
      </w:pPr>
      <w:r>
        <w:rPr>
          <w:rFonts w:ascii="Times New Roman"/>
        </w:rPr>
        <w:t>数据处理与通讯单元用于处理和传输监测数据。</w:t>
      </w:r>
    </w:p>
    <w:p w14:paraId="0F727D80">
      <w:pPr>
        <w:pStyle w:val="30"/>
        <w:ind w:left="0"/>
        <w:jc w:val="both"/>
      </w:pPr>
      <w:r>
        <w:rPr>
          <w:rFonts w:hint="eastAsia"/>
        </w:rPr>
        <w:t>辅助设备及试剂、耗材</w:t>
      </w:r>
    </w:p>
    <w:p w14:paraId="36456175">
      <w:pPr>
        <w:pStyle w:val="24"/>
      </w:pPr>
      <w:r>
        <w:rPr>
          <w:rFonts w:ascii="Times New Roman"/>
        </w:rPr>
        <w:t>包括</w:t>
      </w:r>
      <w:r>
        <w:rPr>
          <w:rFonts w:hint="eastAsia" w:ascii="Times New Roman"/>
        </w:rPr>
        <w:t>标准</w:t>
      </w:r>
      <w:r>
        <w:rPr>
          <w:rFonts w:ascii="Times New Roman"/>
        </w:rPr>
        <w:t>气体、除氧器、进样针、三脚架、气象传感器等。</w:t>
      </w:r>
    </w:p>
    <w:p w14:paraId="1EB883B2">
      <w:pPr>
        <w:pStyle w:val="28"/>
        <w:rPr>
          <w:rFonts w:ascii="Times New Roman"/>
        </w:rPr>
      </w:pPr>
      <w:bookmarkStart w:id="74" w:name="_Toc107"/>
      <w:bookmarkStart w:id="75" w:name="_Toc8136"/>
      <w:bookmarkStart w:id="76" w:name="_Toc8262"/>
      <w:r>
        <w:rPr>
          <w:rFonts w:hint="eastAsia" w:ascii="Times New Roman"/>
        </w:rPr>
        <w:t>技术性能要求</w:t>
      </w:r>
      <w:bookmarkEnd w:id="74"/>
      <w:bookmarkEnd w:id="75"/>
      <w:bookmarkEnd w:id="76"/>
    </w:p>
    <w:p w14:paraId="27A1145D">
      <w:pPr>
        <w:pStyle w:val="29"/>
        <w:jc w:val="both"/>
        <w:rPr>
          <w:rFonts w:hint="eastAsia" w:hAnsi="黑体"/>
        </w:rPr>
      </w:pPr>
      <w:bookmarkStart w:id="77" w:name="_Toc9745"/>
      <w:bookmarkStart w:id="78" w:name="_Toc128642746"/>
      <w:r>
        <w:rPr>
          <w:rFonts w:hint="eastAsia" w:hAnsi="黑体"/>
        </w:rPr>
        <w:t>温度测量示值误差</w:t>
      </w:r>
      <w:bookmarkEnd w:id="77"/>
      <w:bookmarkEnd w:id="78"/>
    </w:p>
    <w:p w14:paraId="6996FF50">
      <w:pPr>
        <w:pStyle w:val="24"/>
        <w:rPr>
          <w:rFonts w:hint="eastAsia" w:hAnsi="黑体"/>
        </w:rPr>
      </w:pPr>
      <w:r>
        <w:rPr>
          <w:rFonts w:ascii="Times New Roman"/>
        </w:rPr>
        <w:t>仪器与标准温度计的环境温度测量示值误差应在</w:t>
      </w:r>
      <w:r>
        <w:rPr>
          <w:rFonts w:ascii="仿宋" w:hAnsi="仿宋" w:eastAsia="仿宋" w:cs="仿宋"/>
        </w:rPr>
        <w:t>±</w:t>
      </w:r>
      <w:r>
        <w:rPr>
          <w:rFonts w:hint="eastAsia" w:ascii="Times New Roman" w:eastAsia="仿宋"/>
          <w:lang w:val="en-US" w:eastAsia="zh-CN"/>
        </w:rPr>
        <w:t>0.5</w:t>
      </w:r>
      <w:r>
        <w:rPr>
          <w:rFonts w:ascii="Times New Roman"/>
        </w:rPr>
        <w:t>℃范围内。</w:t>
      </w:r>
    </w:p>
    <w:p w14:paraId="60CD7D7F">
      <w:pPr>
        <w:pStyle w:val="29"/>
        <w:tabs>
          <w:tab w:val="center" w:pos="4201"/>
          <w:tab w:val="right" w:leader="dot" w:pos="9298"/>
        </w:tabs>
        <w:jc w:val="both"/>
        <w:rPr>
          <w:rFonts w:hint="eastAsia" w:hAnsi="黑体"/>
        </w:rPr>
      </w:pPr>
      <w:bookmarkStart w:id="79" w:name="_Toc128642747"/>
      <w:bookmarkStart w:id="80" w:name="_Toc30838"/>
      <w:r>
        <w:rPr>
          <w:rFonts w:hint="eastAsia" w:hAnsi="黑体"/>
        </w:rPr>
        <w:t>大气压测量示值误差</w:t>
      </w:r>
      <w:bookmarkEnd w:id="79"/>
      <w:bookmarkEnd w:id="80"/>
    </w:p>
    <w:p w14:paraId="46545E62">
      <w:pPr>
        <w:pStyle w:val="24"/>
        <w:rPr>
          <w:rFonts w:ascii="Times New Roman"/>
        </w:rPr>
      </w:pPr>
      <w:r>
        <w:rPr>
          <w:rFonts w:ascii="Times New Roman"/>
        </w:rPr>
        <w:t>仪器与标准气压计的环境大气压测量示值误差应在</w:t>
      </w:r>
      <w:r>
        <w:rPr>
          <w:rFonts w:hint="eastAsia" w:ascii="仿宋" w:hAnsi="仿宋" w:eastAsia="仿宋" w:cs="仿宋"/>
        </w:rPr>
        <w:t>±</w:t>
      </w:r>
      <w:r>
        <w:rPr>
          <w:rFonts w:ascii="Times New Roman"/>
        </w:rPr>
        <w:t>1kPa范围内。</w:t>
      </w:r>
    </w:p>
    <w:p w14:paraId="2DB5A900">
      <w:pPr>
        <w:pStyle w:val="29"/>
        <w:tabs>
          <w:tab w:val="center" w:pos="4201"/>
          <w:tab w:val="right" w:leader="dot" w:pos="9298"/>
        </w:tabs>
        <w:jc w:val="both"/>
        <w:rPr>
          <w:rFonts w:hint="eastAsia" w:hAnsi="黑体"/>
        </w:rPr>
      </w:pPr>
      <w:bookmarkStart w:id="81" w:name="_Toc19514"/>
      <w:bookmarkStart w:id="82" w:name="_Toc128642748"/>
      <w:r>
        <w:rPr>
          <w:rFonts w:hint="eastAsia" w:hAnsi="黑体"/>
        </w:rPr>
        <w:t>采样流量</w:t>
      </w:r>
      <w:bookmarkEnd w:id="81"/>
      <w:bookmarkEnd w:id="82"/>
    </w:p>
    <w:p w14:paraId="2D211ED9">
      <w:pPr>
        <w:pStyle w:val="24"/>
        <w:rPr>
          <w:rFonts w:ascii="Times New Roman"/>
        </w:rPr>
      </w:pPr>
      <w:r>
        <w:rPr>
          <w:rFonts w:ascii="Times New Roman"/>
        </w:rPr>
        <w:t>平均流量偏差应在</w:t>
      </w:r>
      <w:r>
        <w:rPr>
          <w:rFonts w:ascii="仿宋" w:hAnsi="仿宋" w:eastAsia="仿宋" w:cs="仿宋"/>
        </w:rPr>
        <w:t>±</w:t>
      </w:r>
      <w:r>
        <w:rPr>
          <w:rFonts w:ascii="Times New Roman"/>
        </w:rPr>
        <w:t>5%范围内；流量相对标准偏差应</w:t>
      </w:r>
      <w:r>
        <w:rPr>
          <w:rFonts w:ascii="仿宋" w:hAnsi="仿宋" w:eastAsia="仿宋" w:cs="仿宋"/>
        </w:rPr>
        <w:t>≤</w:t>
      </w:r>
      <w:r>
        <w:rPr>
          <w:rFonts w:ascii="Times New Roman"/>
        </w:rPr>
        <w:t>2%；平均流量示值误差应在</w:t>
      </w:r>
      <w:r>
        <w:rPr>
          <w:rFonts w:ascii="仿宋" w:hAnsi="仿宋" w:eastAsia="仿宋" w:cs="仿宋"/>
        </w:rPr>
        <w:t>±</w:t>
      </w:r>
      <w:r>
        <w:rPr>
          <w:rFonts w:ascii="Times New Roman"/>
        </w:rPr>
        <w:t>2%范围内。</w:t>
      </w:r>
    </w:p>
    <w:p w14:paraId="6AA926FF">
      <w:pPr>
        <w:pStyle w:val="29"/>
        <w:tabs>
          <w:tab w:val="center" w:pos="4201"/>
          <w:tab w:val="right" w:leader="dot" w:pos="9298"/>
        </w:tabs>
        <w:jc w:val="both"/>
        <w:rPr>
          <w:rFonts w:hint="eastAsia" w:hAnsi="黑体"/>
        </w:rPr>
      </w:pPr>
      <w:r>
        <w:rPr>
          <w:rFonts w:hint="eastAsia" w:hAnsi="黑体"/>
        </w:rPr>
        <w:t>分析流量</w:t>
      </w:r>
    </w:p>
    <w:p w14:paraId="7649FF5E">
      <w:pPr>
        <w:pStyle w:val="24"/>
        <w:rPr>
          <w:rFonts w:ascii="Times New Roman"/>
        </w:rPr>
      </w:pPr>
      <w:r>
        <w:rPr>
          <w:rFonts w:hint="eastAsia" w:ascii="Times New Roman"/>
        </w:rPr>
        <w:t>仪器分析流量一般在</w:t>
      </w:r>
      <w:r>
        <w:rPr>
          <w:rFonts w:ascii="Times New Roman"/>
        </w:rPr>
        <w:t>1</w:t>
      </w:r>
      <w:r>
        <w:rPr>
          <w:rFonts w:hint="eastAsia" w:ascii="Times New Roman"/>
        </w:rPr>
        <w:t>0</w:t>
      </w:r>
      <w:r>
        <w:rPr>
          <w:rFonts w:ascii="Times New Roman"/>
        </w:rPr>
        <w:t>0ml/min</w:t>
      </w:r>
      <w:r>
        <w:rPr>
          <w:rFonts w:hint="eastAsia" w:ascii="Times New Roman"/>
        </w:rPr>
        <w:t>~</w:t>
      </w:r>
      <w:r>
        <w:rPr>
          <w:rFonts w:ascii="Times New Roman"/>
        </w:rPr>
        <w:t>1</w:t>
      </w:r>
      <w:r>
        <w:rPr>
          <w:rFonts w:hint="eastAsia" w:ascii="Times New Roman"/>
        </w:rPr>
        <w:t>00</w:t>
      </w:r>
      <w:r>
        <w:rPr>
          <w:rFonts w:ascii="Times New Roman"/>
        </w:rPr>
        <w:t>0ml/min范围内</w:t>
      </w:r>
      <w:r>
        <w:rPr>
          <w:rFonts w:hint="eastAsia" w:ascii="Times New Roman"/>
        </w:rPr>
        <w:t>；平均流量偏差应在±5%范围内；</w:t>
      </w:r>
      <w:r>
        <w:rPr>
          <w:rFonts w:ascii="Times New Roman"/>
        </w:rPr>
        <w:t>流量相对标准偏差应</w:t>
      </w:r>
      <w:r>
        <w:rPr>
          <w:rFonts w:ascii="仿宋" w:hAnsi="仿宋" w:eastAsia="仿宋" w:cs="仿宋"/>
        </w:rPr>
        <w:t>≤</w:t>
      </w:r>
      <w:r>
        <w:rPr>
          <w:rFonts w:ascii="Times New Roman"/>
        </w:rPr>
        <w:t>2%；平均流量示值误差应在</w:t>
      </w:r>
      <w:r>
        <w:rPr>
          <w:rFonts w:ascii="仿宋" w:hAnsi="仿宋" w:eastAsia="仿宋" w:cs="仿宋"/>
        </w:rPr>
        <w:t>±</w:t>
      </w:r>
      <w:r>
        <w:rPr>
          <w:rFonts w:ascii="Times New Roman"/>
        </w:rPr>
        <w:t>2%范围内。</w:t>
      </w:r>
    </w:p>
    <w:p w14:paraId="0FD6A739">
      <w:pPr>
        <w:pStyle w:val="29"/>
        <w:tabs>
          <w:tab w:val="center" w:pos="4201"/>
          <w:tab w:val="right" w:leader="dot" w:pos="9298"/>
        </w:tabs>
        <w:jc w:val="both"/>
        <w:rPr>
          <w:rFonts w:hint="eastAsia" w:hAnsi="黑体"/>
        </w:rPr>
      </w:pPr>
      <w:bookmarkStart w:id="83" w:name="_Toc26510"/>
      <w:bookmarkStart w:id="84" w:name="_Toc128642750"/>
      <w:r>
        <w:rPr>
          <w:rFonts w:hint="eastAsia" w:hAnsi="黑体"/>
        </w:rPr>
        <w:t>精密度</w:t>
      </w:r>
      <w:bookmarkEnd w:id="83"/>
      <w:bookmarkEnd w:id="84"/>
    </w:p>
    <w:p w14:paraId="38D9E2BD">
      <w:pPr>
        <w:pStyle w:val="24"/>
        <w:rPr>
          <w:rFonts w:ascii="Times New Roman"/>
        </w:rPr>
      </w:pPr>
      <w:r>
        <w:rPr>
          <w:rFonts w:ascii="Times New Roman"/>
        </w:rPr>
        <w:t>仪器示值相对标准偏差应</w:t>
      </w:r>
      <w:r>
        <w:rPr>
          <w:rFonts w:ascii="仿宋" w:hAnsi="仿宋" w:eastAsia="仿宋" w:cs="仿宋"/>
        </w:rPr>
        <w:t>≤</w:t>
      </w:r>
      <w:r>
        <w:rPr>
          <w:rFonts w:ascii="Times New Roman"/>
        </w:rPr>
        <w:t>0.05%。</w:t>
      </w:r>
    </w:p>
    <w:p w14:paraId="19DC4CDF">
      <w:pPr>
        <w:pStyle w:val="29"/>
        <w:tabs>
          <w:tab w:val="center" w:pos="4201"/>
          <w:tab w:val="right" w:leader="dot" w:pos="9298"/>
        </w:tabs>
        <w:jc w:val="both"/>
        <w:rPr>
          <w:rFonts w:hint="eastAsia" w:hAnsi="黑体"/>
        </w:rPr>
      </w:pPr>
      <w:r>
        <w:rPr>
          <w:rFonts w:hint="eastAsia" w:hAnsi="黑体"/>
          <w:lang w:eastAsia="zh-CN"/>
        </w:rPr>
        <w:t>正确度</w:t>
      </w:r>
    </w:p>
    <w:p w14:paraId="337DC32E">
      <w:pPr>
        <w:pStyle w:val="24"/>
        <w:rPr>
          <w:rFonts w:ascii="Times New Roman"/>
        </w:rPr>
      </w:pPr>
      <w:r>
        <w:rPr>
          <w:rFonts w:ascii="Times New Roman"/>
        </w:rPr>
        <w:t>CO</w:t>
      </w:r>
      <w:r>
        <w:rPr>
          <w:rFonts w:ascii="Times New Roman"/>
          <w:vertAlign w:val="subscript"/>
        </w:rPr>
        <w:t>2</w:t>
      </w:r>
      <w:r>
        <w:rPr>
          <w:rFonts w:hint="eastAsia" w:ascii="Times New Roman"/>
        </w:rPr>
        <w:t>/</w:t>
      </w:r>
      <w:r>
        <w:rPr>
          <w:rFonts w:ascii="Times New Roman"/>
        </w:rPr>
        <w:t>CH</w:t>
      </w:r>
      <w:r>
        <w:rPr>
          <w:rFonts w:ascii="Times New Roman"/>
          <w:vertAlign w:val="subscript"/>
        </w:rPr>
        <w:t>4</w:t>
      </w:r>
      <w:r>
        <w:rPr>
          <w:rFonts w:ascii="Times New Roman"/>
        </w:rPr>
        <w:t>校准曲线相关系数r</w:t>
      </w:r>
      <w:r>
        <w:rPr>
          <w:rFonts w:hint="eastAsia" w:ascii="Times New Roman"/>
        </w:rPr>
        <w:t>＞</w:t>
      </w:r>
      <w:r>
        <w:rPr>
          <w:rFonts w:ascii="Times New Roman"/>
        </w:rPr>
        <w:t>0.99999。</w:t>
      </w:r>
    </w:p>
    <w:p w14:paraId="7AB59014">
      <w:pPr>
        <w:pStyle w:val="29"/>
        <w:tabs>
          <w:tab w:val="center" w:pos="4201"/>
          <w:tab w:val="right" w:leader="dot" w:pos="9298"/>
        </w:tabs>
        <w:jc w:val="both"/>
        <w:rPr>
          <w:rFonts w:hint="eastAsia" w:hAnsi="黑体"/>
        </w:rPr>
      </w:pPr>
      <w:r>
        <w:rPr>
          <w:rFonts w:hint="eastAsia" w:hAnsi="黑体"/>
        </w:rPr>
        <w:t>可比性</w:t>
      </w:r>
    </w:p>
    <w:p w14:paraId="22653D56">
      <w:pPr>
        <w:pStyle w:val="24"/>
      </w:pPr>
      <w:r>
        <w:rPr>
          <w:rFonts w:ascii="Times New Roman"/>
          <w:szCs w:val="21"/>
        </w:rPr>
        <w:t>CO</w:t>
      </w:r>
      <w:r>
        <w:rPr>
          <w:rFonts w:ascii="Times New Roman"/>
          <w:szCs w:val="21"/>
          <w:vertAlign w:val="subscript"/>
        </w:rPr>
        <w:t>2</w:t>
      </w:r>
      <w:r>
        <w:rPr>
          <w:rFonts w:ascii="Times New Roman"/>
          <w:szCs w:val="21"/>
        </w:rPr>
        <w:t>/CH</w:t>
      </w:r>
      <w:r>
        <w:rPr>
          <w:rFonts w:ascii="Times New Roman"/>
          <w:szCs w:val="21"/>
          <w:vertAlign w:val="subscript"/>
        </w:rPr>
        <w:t>4</w:t>
      </w:r>
      <w:r>
        <w:rPr>
          <w:rFonts w:hint="eastAsia" w:ascii="Times New Roman"/>
          <w:szCs w:val="21"/>
        </w:rPr>
        <w:t>的可比度≤</w:t>
      </w:r>
      <w:r>
        <w:rPr>
          <w:rFonts w:hint="eastAsia" w:asciiTheme="majorEastAsia" w:hAnsiTheme="majorEastAsia" w:eastAsiaTheme="majorEastAsia" w:cstheme="majorEastAsia"/>
          <w:szCs w:val="21"/>
        </w:rPr>
        <w:t>±</w:t>
      </w:r>
      <w:r>
        <w:rPr>
          <w:rFonts w:ascii="Times New Roman"/>
          <w:szCs w:val="21"/>
        </w:rPr>
        <w:t>0.2ppm/5ppb</w:t>
      </w:r>
      <w:r>
        <w:rPr>
          <w:rFonts w:hint="eastAsia" w:ascii="Times New Roman"/>
          <w:szCs w:val="21"/>
        </w:rPr>
        <w:t>。</w:t>
      </w:r>
    </w:p>
    <w:p w14:paraId="20EEDFA4">
      <w:pPr>
        <w:pStyle w:val="28"/>
        <w:rPr>
          <w:rFonts w:hint="eastAsia" w:hAnsi="宋体" w:cs="宋体"/>
        </w:rPr>
      </w:pPr>
      <w:bookmarkStart w:id="85" w:name="_Toc17701"/>
      <w:bookmarkStart w:id="86" w:name="_Toc19327"/>
      <w:bookmarkStart w:id="87" w:name="_Toc29155"/>
      <w:r>
        <w:rPr>
          <w:rFonts w:hint="eastAsia" w:ascii="Times New Roman"/>
        </w:rPr>
        <w:t>安装、调试与验收</w:t>
      </w:r>
      <w:bookmarkEnd w:id="85"/>
      <w:bookmarkEnd w:id="86"/>
      <w:bookmarkEnd w:id="87"/>
    </w:p>
    <w:p w14:paraId="0706506D">
      <w:pPr>
        <w:pStyle w:val="29"/>
        <w:tabs>
          <w:tab w:val="center" w:pos="4201"/>
          <w:tab w:val="right" w:leader="dot" w:pos="9298"/>
        </w:tabs>
        <w:jc w:val="both"/>
        <w:rPr>
          <w:rFonts w:hint="eastAsia" w:hAnsi="黑体"/>
        </w:rPr>
      </w:pPr>
      <w:bookmarkStart w:id="88" w:name="_Toc28254"/>
      <w:bookmarkStart w:id="89" w:name="_Toc128642753"/>
      <w:r>
        <w:rPr>
          <w:rFonts w:hint="eastAsia" w:hAnsi="黑体"/>
        </w:rPr>
        <w:t>监测点位</w:t>
      </w:r>
      <w:bookmarkEnd w:id="88"/>
      <w:bookmarkEnd w:id="89"/>
    </w:p>
    <w:p w14:paraId="184821C5">
      <w:pPr>
        <w:pStyle w:val="30"/>
        <w:ind w:left="0"/>
        <w:jc w:val="both"/>
      </w:pPr>
      <w:r>
        <w:rPr>
          <w:rFonts w:hint="eastAsia"/>
        </w:rPr>
        <w:t>布设要求</w:t>
      </w:r>
    </w:p>
    <w:p w14:paraId="22443093">
      <w:pPr>
        <w:pStyle w:val="30"/>
        <w:numPr>
          <w:ilvl w:val="3"/>
          <w:numId w:val="1"/>
        </w:numPr>
        <w:jc w:val="both"/>
      </w:pPr>
      <w:r>
        <w:rPr>
          <w:rFonts w:hint="eastAsia"/>
        </w:rPr>
        <w:t>城市点</w:t>
      </w:r>
    </w:p>
    <w:p w14:paraId="2D083F1C">
      <w:pPr>
        <w:pStyle w:val="30"/>
        <w:numPr>
          <w:ilvl w:val="0"/>
          <w:numId w:val="0"/>
        </w:numPr>
        <w:ind w:firstLine="420" w:firstLineChars="200"/>
        <w:jc w:val="both"/>
      </w:pPr>
      <w:r>
        <w:t>综合考虑城市环境条件、经济社会特点以及温室气体排放特征，新建或者依托城市现有符合要求的设施，在城市内合理布设点位</w:t>
      </w:r>
      <w:r>
        <w:rPr>
          <w:rFonts w:hint="eastAsia"/>
        </w:rPr>
        <w:t>。</w:t>
      </w:r>
    </w:p>
    <w:p w14:paraId="3069E87E">
      <w:pPr>
        <w:pStyle w:val="30"/>
        <w:numPr>
          <w:ilvl w:val="3"/>
          <w:numId w:val="1"/>
        </w:numPr>
        <w:jc w:val="both"/>
      </w:pPr>
      <w:r>
        <w:rPr>
          <w:rFonts w:hint="eastAsia"/>
        </w:rPr>
        <w:t>背景点</w:t>
      </w:r>
    </w:p>
    <w:p w14:paraId="6A090303">
      <w:pPr>
        <w:pStyle w:val="30"/>
        <w:numPr>
          <w:ilvl w:val="0"/>
          <w:numId w:val="0"/>
        </w:numPr>
        <w:ind w:firstLine="420" w:firstLineChars="200"/>
        <w:jc w:val="both"/>
      </w:pPr>
      <w:r>
        <w:t>综合考虑城市环境条件、经济社会特点以及温室气体排放特征，新建或者依托城市现有符合要求的设施，在远离温室气体排放源的地区合理布设点位。</w:t>
      </w:r>
    </w:p>
    <w:p w14:paraId="76C570BD">
      <w:pPr>
        <w:pStyle w:val="30"/>
        <w:numPr>
          <w:ilvl w:val="0"/>
          <w:numId w:val="0"/>
        </w:numPr>
        <w:ind w:firstLine="420" w:firstLineChars="200"/>
        <w:jc w:val="both"/>
      </w:pPr>
      <w:r>
        <w:t>背景点布设流程与城市点类似，但应注意如下事项。</w:t>
      </w:r>
    </w:p>
    <w:p w14:paraId="0F82FD05">
      <w:pPr>
        <w:pStyle w:val="30"/>
        <w:numPr>
          <w:ilvl w:val="1"/>
          <w:numId w:val="5"/>
        </w:numPr>
        <w:ind w:left="0" w:firstLine="420" w:firstLineChars="200"/>
        <w:jc w:val="both"/>
      </w:pPr>
      <w:r>
        <w:t>背景点布设应在城市点布设基础上进行。</w:t>
      </w:r>
    </w:p>
    <w:p w14:paraId="2F31741F">
      <w:pPr>
        <w:pStyle w:val="30"/>
        <w:numPr>
          <w:ilvl w:val="1"/>
          <w:numId w:val="5"/>
        </w:numPr>
        <w:ind w:left="0" w:firstLine="420" w:firstLineChars="200"/>
        <w:jc w:val="both"/>
      </w:pPr>
      <w:r>
        <w:t>实地勘察时应注意点位附近植被等对监测的影响。</w:t>
      </w:r>
    </w:p>
    <w:p w14:paraId="174091CC">
      <w:pPr>
        <w:pStyle w:val="30"/>
        <w:numPr>
          <w:ilvl w:val="1"/>
          <w:numId w:val="5"/>
        </w:numPr>
        <w:ind w:left="0" w:firstLine="420" w:firstLineChars="200"/>
        <w:jc w:val="both"/>
      </w:pPr>
      <w:r>
        <w:t>背景点应在远离城市内及区域主要温室气体排放源的地区布设。</w:t>
      </w:r>
    </w:p>
    <w:p w14:paraId="2325EBFE">
      <w:pPr>
        <w:pStyle w:val="30"/>
        <w:numPr>
          <w:ilvl w:val="3"/>
          <w:numId w:val="1"/>
        </w:numPr>
        <w:jc w:val="both"/>
      </w:pPr>
      <w:r>
        <w:rPr>
          <w:rFonts w:hint="eastAsia"/>
        </w:rPr>
        <w:t>边界点</w:t>
      </w:r>
    </w:p>
    <w:p w14:paraId="00DB418D">
      <w:pPr>
        <w:pStyle w:val="30"/>
        <w:numPr>
          <w:ilvl w:val="0"/>
          <w:numId w:val="0"/>
        </w:numPr>
        <w:ind w:firstLine="420" w:firstLineChars="200"/>
        <w:jc w:val="both"/>
      </w:pPr>
      <w:r>
        <w:rPr>
          <w:rFonts w:hint="eastAsia"/>
        </w:rPr>
        <w:t>综合考虑城市环境条件、经济社会特点以及温室气体排放特征，新建或者依托城市现有符合要求的设施，在城市边缘远离温室气体排放源的地区合理布设点位。</w:t>
      </w:r>
    </w:p>
    <w:p w14:paraId="766E5C44">
      <w:pPr>
        <w:pStyle w:val="30"/>
        <w:numPr>
          <w:ilvl w:val="0"/>
          <w:numId w:val="0"/>
        </w:numPr>
        <w:ind w:firstLine="420" w:firstLineChars="200"/>
        <w:jc w:val="both"/>
      </w:pPr>
      <w:r>
        <w:rPr>
          <w:rFonts w:hint="eastAsia"/>
        </w:rPr>
        <w:t>边界点布设流程与城市点类似，但应注意如下事项。</w:t>
      </w:r>
    </w:p>
    <w:p w14:paraId="02D696B1">
      <w:pPr>
        <w:pStyle w:val="30"/>
        <w:numPr>
          <w:ilvl w:val="1"/>
          <w:numId w:val="6"/>
        </w:numPr>
        <w:ind w:left="0" w:firstLine="420" w:firstLineChars="200"/>
        <w:jc w:val="both"/>
      </w:pPr>
      <w:r>
        <w:rPr>
          <w:rFonts w:hint="eastAsia"/>
        </w:rPr>
        <w:t>边界点布设应在城市点布设基础上进行。</w:t>
      </w:r>
    </w:p>
    <w:p w14:paraId="7D5FB839">
      <w:pPr>
        <w:pStyle w:val="30"/>
        <w:numPr>
          <w:ilvl w:val="1"/>
          <w:numId w:val="6"/>
        </w:numPr>
        <w:ind w:left="0" w:firstLine="420" w:firstLineChars="200"/>
        <w:jc w:val="both"/>
      </w:pPr>
      <w:r>
        <w:rPr>
          <w:rFonts w:hint="eastAsia"/>
        </w:rPr>
        <w:t>使用模式模拟计算方法开展点位精确筛选时，应最大限度地提高所选点位对区域外温室气体排放贡献的代表性，并使所选点位能较好反映区域外温室气体排放对城市点监测的影响。</w:t>
      </w:r>
    </w:p>
    <w:p w14:paraId="5C2B5E31">
      <w:pPr>
        <w:pStyle w:val="30"/>
        <w:numPr>
          <w:ilvl w:val="1"/>
          <w:numId w:val="6"/>
        </w:numPr>
        <w:ind w:left="0" w:firstLine="420" w:firstLineChars="200"/>
        <w:jc w:val="both"/>
      </w:pPr>
      <w:r>
        <w:rPr>
          <w:rFonts w:hint="eastAsia"/>
        </w:rPr>
        <w:t>实地勘察时应注意点位附近植被等对监测的影响。</w:t>
      </w:r>
    </w:p>
    <w:p w14:paraId="06C9558C">
      <w:pPr>
        <w:pStyle w:val="30"/>
        <w:ind w:left="0"/>
        <w:jc w:val="both"/>
      </w:pPr>
      <w:r>
        <w:rPr>
          <w:rFonts w:hint="eastAsia"/>
        </w:rPr>
        <w:t xml:space="preserve">点位布设数量要求 </w:t>
      </w:r>
    </w:p>
    <w:p w14:paraId="74E383DE">
      <w:pPr>
        <w:pStyle w:val="30"/>
        <w:numPr>
          <w:ilvl w:val="0"/>
          <w:numId w:val="0"/>
        </w:numPr>
        <w:ind w:firstLine="420" w:firstLineChars="200"/>
        <w:jc w:val="both"/>
      </w:pPr>
      <w:r>
        <w:rPr>
          <w:rFonts w:hint="eastAsia"/>
        </w:rPr>
        <w:t>结合城市大气温室气体监测目标、经费情况、技术力量等因素合理确定点位布设数量。</w:t>
      </w:r>
    </w:p>
    <w:p w14:paraId="5746DBB3">
      <w:pPr>
        <w:pStyle w:val="30"/>
        <w:numPr>
          <w:ilvl w:val="0"/>
          <w:numId w:val="0"/>
        </w:numPr>
        <w:ind w:firstLine="420" w:firstLineChars="200"/>
        <w:jc w:val="both"/>
      </w:pPr>
      <w:r>
        <w:rPr>
          <w:rFonts w:hint="eastAsia"/>
        </w:rPr>
        <w:t>一般情况，最小监测网络至少需要2个点位。在主导风的上、下风向各设置1个边界点。适用于前期试验性监测；中型监测网络需要4～6个点位。在主导风的上、下风向各设置1个边界点在城市内设置2～4个点位。适用于中小型城市，或主导风向明确、地势平坦、以服务业为主的大城市；大型监测网络需要超过8个点位。点位类型涵盖城市点、背景点和边界点，一般需要开展系统性的监测网络设计。适用于大型城市；城市重要温室气体排放源区大型电厂、工业园区等）可以补充布设适当数量的中精度传感器点位。城市点、背景点和边界点根据城市具体情况合理布设，处于上风向的边界点可兼具背景点功能。</w:t>
      </w:r>
    </w:p>
    <w:p w14:paraId="54674C33">
      <w:pPr>
        <w:pStyle w:val="30"/>
        <w:ind w:left="0"/>
        <w:jc w:val="both"/>
      </w:pPr>
      <w:r>
        <w:t>监测点周围环境要求</w:t>
      </w:r>
    </w:p>
    <w:p w14:paraId="19E32921">
      <w:pPr>
        <w:pStyle w:val="30"/>
        <w:numPr>
          <w:ilvl w:val="3"/>
          <w:numId w:val="1"/>
        </w:numPr>
        <w:jc w:val="both"/>
      </w:pPr>
      <w:r>
        <w:rPr>
          <w:rFonts w:hint="eastAsia"/>
        </w:rPr>
        <w:t>监测点与城市主要温室气体排放源保持至少</w:t>
      </w:r>
      <w:r>
        <w:t>1</w:t>
      </w:r>
      <w:r>
        <w:rPr>
          <w:rFonts w:hint="eastAsia"/>
        </w:rPr>
        <w:t>公里，背景点与城市主要温室气体排放源保持至少</w:t>
      </w:r>
      <w:r>
        <w:t>10</w:t>
      </w:r>
      <w:r>
        <w:rPr>
          <w:rFonts w:hint="eastAsia"/>
        </w:rPr>
        <w:t>公里。应采取措施保证监测点附近</w:t>
      </w:r>
      <w:r>
        <w:t>1</w:t>
      </w:r>
      <w:r>
        <w:rPr>
          <w:rFonts w:hint="eastAsia"/>
        </w:rPr>
        <w:t>公里内的土地使用状况相对稳定。</w:t>
      </w:r>
    </w:p>
    <w:p w14:paraId="3AADA058">
      <w:pPr>
        <w:pStyle w:val="30"/>
        <w:numPr>
          <w:ilvl w:val="3"/>
          <w:numId w:val="1"/>
        </w:numPr>
        <w:jc w:val="both"/>
      </w:pPr>
      <w:r>
        <w:rPr>
          <w:rFonts w:hint="eastAsia"/>
        </w:rPr>
        <w:t>监测点周围环境状况相对稳定，所在地质条件需长期稳定和足够坚实，所在地点应避免受山洪、雪崩、山林火灾和泥石流等局地灾害影响，安全和防火措施有保障。</w:t>
      </w:r>
    </w:p>
    <w:p w14:paraId="31ED2324">
      <w:pPr>
        <w:pStyle w:val="30"/>
        <w:numPr>
          <w:ilvl w:val="3"/>
          <w:numId w:val="1"/>
        </w:numPr>
        <w:jc w:val="both"/>
      </w:pPr>
      <w:r>
        <w:rPr>
          <w:rFonts w:hint="eastAsia"/>
        </w:rPr>
        <w:t>监测点附近无强大的电磁干扰，周围有稳定可靠的电力供应和避雷设备，通信线路容易安装和检修。</w:t>
      </w:r>
    </w:p>
    <w:p w14:paraId="7169E761">
      <w:pPr>
        <w:pStyle w:val="29"/>
        <w:tabs>
          <w:tab w:val="center" w:pos="4201"/>
          <w:tab w:val="right" w:leader="dot" w:pos="9298"/>
        </w:tabs>
        <w:jc w:val="both"/>
        <w:rPr>
          <w:rFonts w:hint="eastAsia" w:hAnsi="黑体"/>
        </w:rPr>
      </w:pPr>
      <w:r>
        <w:rPr>
          <w:rFonts w:hint="eastAsia" w:hAnsi="黑体"/>
        </w:rPr>
        <w:t>采样口要求</w:t>
      </w:r>
    </w:p>
    <w:p w14:paraId="06DE6323">
      <w:pPr>
        <w:pStyle w:val="30"/>
        <w:ind w:left="0"/>
        <w:jc w:val="both"/>
      </w:pPr>
      <w:r>
        <w:rPr>
          <w:rFonts w:hint="eastAsia"/>
        </w:rPr>
        <w:t>采样口周围水平面尽可能保证</w:t>
      </w:r>
      <w:r>
        <w:t>360</w:t>
      </w:r>
      <w:r>
        <w:rPr>
          <w:rFonts w:hint="eastAsia"/>
        </w:rPr>
        <w:t>°以上的捕集空间。</w:t>
      </w:r>
    </w:p>
    <w:p w14:paraId="1C8DE299">
      <w:pPr>
        <w:pStyle w:val="30"/>
        <w:ind w:left="0"/>
        <w:jc w:val="both"/>
      </w:pPr>
      <w:r>
        <w:rPr>
          <w:rFonts w:hint="eastAsia"/>
        </w:rPr>
        <w:t>采样口距采样塔塔基的相对高度应在</w:t>
      </w:r>
      <w:r>
        <w:t>50</w:t>
      </w:r>
      <w:r>
        <w:rPr>
          <w:rFonts w:hint="eastAsia"/>
        </w:rPr>
        <w:t>～1</w:t>
      </w:r>
      <w:r>
        <w:t>0</w:t>
      </w:r>
      <w:r>
        <w:rPr>
          <w:rFonts w:hint="eastAsia"/>
        </w:rPr>
        <w:t>0米，以保证采集充分混合的样气，避免局地人为和自然的源汇影响。下垫面情况简单的，可适度将采样高度调整到</w:t>
      </w:r>
      <w:r>
        <w:t>30</w:t>
      </w:r>
      <w:r>
        <w:rPr>
          <w:rFonts w:hint="eastAsia"/>
        </w:rPr>
        <w:t>～</w:t>
      </w:r>
      <w:r>
        <w:t>50</w:t>
      </w:r>
      <w:r>
        <w:rPr>
          <w:rFonts w:hint="eastAsia"/>
        </w:rPr>
        <w:t>米。</w:t>
      </w:r>
    </w:p>
    <w:p w14:paraId="0A3AD9DB">
      <w:pPr>
        <w:pStyle w:val="30"/>
        <w:ind w:left="0"/>
        <w:jc w:val="both"/>
      </w:pPr>
      <w:r>
        <w:rPr>
          <w:rFonts w:hint="eastAsia"/>
        </w:rPr>
        <w:t>优先新建铁塔或在已有的开放式高塔上采样。已有塔基平台优先选择气象塔、通信塔等不影响城市大气环流的公共设施，或雷达站、水塔等不受人为影响的公共设施，或厘清出气口影响的高建屋顶。</w:t>
      </w:r>
    </w:p>
    <w:p w14:paraId="0EC46AF9">
      <w:pPr>
        <w:pStyle w:val="29"/>
        <w:tabs>
          <w:tab w:val="center" w:pos="4201"/>
          <w:tab w:val="right" w:leader="dot" w:pos="9298"/>
        </w:tabs>
        <w:jc w:val="both"/>
        <w:rPr>
          <w:rFonts w:hint="eastAsia" w:hAnsi="黑体"/>
        </w:rPr>
      </w:pPr>
      <w:bookmarkStart w:id="90" w:name="_Toc128642754"/>
      <w:bookmarkStart w:id="91" w:name="_Toc23674"/>
      <w:r>
        <w:rPr>
          <w:rFonts w:hint="eastAsia" w:hAnsi="黑体"/>
        </w:rPr>
        <w:t>监测站房及辅助设施</w:t>
      </w:r>
      <w:bookmarkEnd w:id="90"/>
      <w:bookmarkEnd w:id="91"/>
    </w:p>
    <w:p w14:paraId="20487FB7">
      <w:pPr>
        <w:pStyle w:val="30"/>
        <w:ind w:left="0"/>
        <w:jc w:val="both"/>
      </w:pPr>
      <w:r>
        <w:rPr>
          <w:rFonts w:hint="eastAsia"/>
        </w:rPr>
        <w:t>站房内环境条件</w:t>
      </w:r>
    </w:p>
    <w:p w14:paraId="18585E3C">
      <w:pPr>
        <w:pStyle w:val="30"/>
        <w:numPr>
          <w:ilvl w:val="0"/>
          <w:numId w:val="0"/>
        </w:numPr>
        <w:ind w:firstLine="420" w:firstLineChars="200"/>
        <w:jc w:val="both"/>
      </w:pPr>
      <w:r>
        <w:t>站房内应安装温湿度控制设备，站房内温度应控制在（25</w:t>
      </w:r>
      <w:r>
        <w:rPr>
          <w:rFonts w:hint="eastAsia"/>
        </w:rPr>
        <w:t>±</w:t>
      </w:r>
      <w:r>
        <w:t>5）℃范围内，相对湿度应控制在80%以下，大气压应控制在（80</w:t>
      </w:r>
      <w:r>
        <w:rPr>
          <w:rFonts w:hint="eastAsia"/>
        </w:rPr>
        <w:t>-</w:t>
      </w:r>
      <w:r>
        <w:t>106）kPa范围内。</w:t>
      </w:r>
    </w:p>
    <w:p w14:paraId="1123D39B">
      <w:pPr>
        <w:pStyle w:val="24"/>
        <w:rPr>
          <w:rFonts w:hint="eastAsia" w:hAnsi="宋体"/>
        </w:rPr>
      </w:pPr>
      <w:r>
        <w:rPr>
          <w:rFonts w:hint="eastAsia" w:ascii="黑体" w:hAnsi="黑体" w:eastAsia="黑体" w:cs="黑体"/>
        </w:rPr>
        <w:t>注</w:t>
      </w:r>
      <w:r>
        <w:rPr>
          <w:rFonts w:hint="eastAsia" w:hAnsi="宋体"/>
        </w:rPr>
        <w:t>：低温、低压等特殊环境条件下，仪器的配置应满足当地环境条件的使用要求。</w:t>
      </w:r>
    </w:p>
    <w:p w14:paraId="26799071">
      <w:pPr>
        <w:pStyle w:val="30"/>
        <w:ind w:left="0"/>
        <w:jc w:val="both"/>
      </w:pPr>
      <w:r>
        <w:rPr>
          <w:rFonts w:hint="eastAsia"/>
        </w:rPr>
        <w:t>配电要求</w:t>
      </w:r>
    </w:p>
    <w:p w14:paraId="20A6FC32">
      <w:pPr>
        <w:pStyle w:val="30"/>
        <w:numPr>
          <w:ilvl w:val="3"/>
          <w:numId w:val="1"/>
        </w:numPr>
        <w:jc w:val="both"/>
      </w:pPr>
      <w:r>
        <w:t>站房供电系统采用三相五线供电，分相使用</w:t>
      </w:r>
      <w:r>
        <w:rPr>
          <w:rFonts w:hint="eastAsia"/>
        </w:rPr>
        <w:t>。</w:t>
      </w:r>
    </w:p>
    <w:p w14:paraId="4125C608">
      <w:pPr>
        <w:pStyle w:val="30"/>
        <w:numPr>
          <w:ilvl w:val="3"/>
          <w:numId w:val="1"/>
        </w:numPr>
        <w:jc w:val="both"/>
      </w:pPr>
      <w:r>
        <w:t>站房供电系统应配有电源过压、过载和漏电保护装置，电源电压波动不超过AC（220</w:t>
      </w:r>
      <w:r>
        <w:rPr>
          <w:rFonts w:hint="eastAsia"/>
        </w:rPr>
        <w:t>±</w:t>
      </w:r>
      <w:r>
        <w:t>22）V，频率波动不超过（50</w:t>
      </w:r>
      <w:r>
        <w:rPr>
          <w:rFonts w:hint="eastAsia"/>
        </w:rPr>
        <w:t>±</w:t>
      </w:r>
      <w:r>
        <w:t>1）Hz</w:t>
      </w:r>
      <w:r>
        <w:rPr>
          <w:rFonts w:hint="eastAsia"/>
        </w:rPr>
        <w:t>。</w:t>
      </w:r>
    </w:p>
    <w:p w14:paraId="612AFFC4">
      <w:pPr>
        <w:pStyle w:val="30"/>
        <w:numPr>
          <w:ilvl w:val="3"/>
          <w:numId w:val="1"/>
        </w:numPr>
        <w:jc w:val="both"/>
      </w:pPr>
      <w:r>
        <w:t>站房应有防雷电和防电磁波干扰的措施，应有良好的接地线路，接地电阻应</w:t>
      </w:r>
      <w:r>
        <w:rPr>
          <w:rFonts w:ascii="仿宋" w:hAnsi="仿宋" w:eastAsia="仿宋" w:cs="仿宋"/>
        </w:rPr>
        <w:t>＜</w:t>
      </w:r>
      <w:r>
        <w:t>4Ω</w:t>
      </w:r>
      <w:r>
        <w:rPr>
          <w:rFonts w:hint="eastAsia"/>
        </w:rPr>
        <w:t>。</w:t>
      </w:r>
    </w:p>
    <w:p w14:paraId="49A2DA65">
      <w:pPr>
        <w:pStyle w:val="30"/>
        <w:numPr>
          <w:ilvl w:val="3"/>
          <w:numId w:val="1"/>
        </w:numPr>
        <w:jc w:val="both"/>
      </w:pPr>
      <w:r>
        <w:t>有条件的站房可配备UPS电源。</w:t>
      </w:r>
    </w:p>
    <w:p w14:paraId="07A12684">
      <w:pPr>
        <w:pStyle w:val="30"/>
        <w:ind w:left="0"/>
        <w:jc w:val="both"/>
      </w:pPr>
      <w:r>
        <w:rPr>
          <w:rFonts w:hint="eastAsia"/>
        </w:rPr>
        <w:t>其他要求</w:t>
      </w:r>
    </w:p>
    <w:p w14:paraId="4C4F56EA">
      <w:pPr>
        <w:pStyle w:val="30"/>
        <w:numPr>
          <w:ilvl w:val="3"/>
          <w:numId w:val="1"/>
        </w:numPr>
        <w:jc w:val="both"/>
      </w:pPr>
      <w:r>
        <w:t>站房应配备实验台或机柜，用于安装监测仪器及辅助设备</w:t>
      </w:r>
      <w:r>
        <w:rPr>
          <w:rFonts w:hint="eastAsia"/>
        </w:rPr>
        <w:t>。</w:t>
      </w:r>
    </w:p>
    <w:p w14:paraId="1AC63B5B">
      <w:pPr>
        <w:pStyle w:val="30"/>
        <w:numPr>
          <w:ilvl w:val="3"/>
          <w:numId w:val="1"/>
        </w:numPr>
        <w:jc w:val="both"/>
      </w:pPr>
      <w:r>
        <w:t>站房应配备通风装置（排风扇）或</w:t>
      </w:r>
      <w:r>
        <w:rPr>
          <w:rFonts w:hint="eastAsia"/>
        </w:rPr>
        <w:t>排气</w:t>
      </w:r>
      <w:r>
        <w:t>口，保持室内空气清洁，排风扇要求带防尘百叶窗</w:t>
      </w:r>
      <w:r>
        <w:rPr>
          <w:rFonts w:hint="eastAsia"/>
        </w:rPr>
        <w:t>。</w:t>
      </w:r>
    </w:p>
    <w:p w14:paraId="41DFDE90">
      <w:pPr>
        <w:pStyle w:val="30"/>
        <w:numPr>
          <w:ilvl w:val="3"/>
          <w:numId w:val="1"/>
        </w:numPr>
        <w:jc w:val="both"/>
      </w:pPr>
      <w:r>
        <w:t>站房应设置气瓶放置间（柜）并安全放置气瓶；没有条件设置气瓶放置间（柜）时，应在特定位置放置气瓶并将其固定；站房内应安装气瓶漏气报警装置</w:t>
      </w:r>
      <w:r>
        <w:rPr>
          <w:rFonts w:hint="eastAsia"/>
        </w:rPr>
        <w:t>。</w:t>
      </w:r>
    </w:p>
    <w:p w14:paraId="4469FF3F">
      <w:pPr>
        <w:pStyle w:val="30"/>
        <w:numPr>
          <w:ilvl w:val="3"/>
          <w:numId w:val="1"/>
        </w:numPr>
        <w:jc w:val="both"/>
      </w:pPr>
      <w:r>
        <w:t>站房安装的冷暖式空调机出风口不能正对仪器和采样管，空调应具有来电自启功能</w:t>
      </w:r>
      <w:r>
        <w:rPr>
          <w:rFonts w:hint="eastAsia"/>
        </w:rPr>
        <w:t>。</w:t>
      </w:r>
    </w:p>
    <w:p w14:paraId="3171F1EC">
      <w:pPr>
        <w:pStyle w:val="30"/>
        <w:numPr>
          <w:ilvl w:val="3"/>
          <w:numId w:val="1"/>
        </w:numPr>
        <w:jc w:val="both"/>
      </w:pPr>
      <w:r>
        <w:t>站房应配置自动灭火装置。</w:t>
      </w:r>
    </w:p>
    <w:p w14:paraId="7B5AC2FF">
      <w:pPr>
        <w:pStyle w:val="29"/>
        <w:tabs>
          <w:tab w:val="center" w:pos="4201"/>
          <w:tab w:val="right" w:leader="dot" w:pos="9298"/>
        </w:tabs>
        <w:jc w:val="both"/>
        <w:rPr>
          <w:rFonts w:hint="eastAsia" w:hAnsi="黑体"/>
        </w:rPr>
      </w:pPr>
      <w:bookmarkStart w:id="92" w:name="_Toc30532"/>
      <w:bookmarkStart w:id="93" w:name="_Toc128642755"/>
      <w:r>
        <w:rPr>
          <w:rFonts w:hint="eastAsia" w:hAnsi="黑体"/>
        </w:rPr>
        <w:t>安装</w:t>
      </w:r>
      <w:bookmarkEnd w:id="92"/>
      <w:bookmarkEnd w:id="93"/>
    </w:p>
    <w:p w14:paraId="63F7AFCA">
      <w:pPr>
        <w:pStyle w:val="30"/>
        <w:ind w:left="0"/>
        <w:jc w:val="both"/>
      </w:pPr>
      <w:r>
        <w:rPr>
          <w:rFonts w:hint="eastAsia"/>
        </w:rPr>
        <w:t>一般要求</w:t>
      </w:r>
    </w:p>
    <w:p w14:paraId="301FBBAA">
      <w:pPr>
        <w:pStyle w:val="30"/>
        <w:numPr>
          <w:ilvl w:val="3"/>
          <w:numId w:val="1"/>
        </w:numPr>
        <w:jc w:val="both"/>
      </w:pPr>
      <w:r>
        <w:t>仪器铭牌上应标有仪器名称、型号、生产单位、出厂编号、生产日期等信息</w:t>
      </w:r>
      <w:r>
        <w:rPr>
          <w:rFonts w:hint="eastAsia"/>
        </w:rPr>
        <w:t>。</w:t>
      </w:r>
    </w:p>
    <w:p w14:paraId="4C6F3615">
      <w:pPr>
        <w:pStyle w:val="30"/>
        <w:numPr>
          <w:ilvl w:val="3"/>
          <w:numId w:val="1"/>
        </w:numPr>
        <w:jc w:val="both"/>
      </w:pPr>
      <w:r>
        <w:t>仪器各零部件应连接可靠，表面无明显缺陷，各操作旋钮或按键使用灵活，定位准确</w:t>
      </w:r>
      <w:r>
        <w:rPr>
          <w:rFonts w:hint="eastAsia"/>
        </w:rPr>
        <w:t>。</w:t>
      </w:r>
    </w:p>
    <w:p w14:paraId="617AAED9">
      <w:pPr>
        <w:pStyle w:val="30"/>
        <w:numPr>
          <w:ilvl w:val="3"/>
          <w:numId w:val="1"/>
        </w:numPr>
        <w:jc w:val="both"/>
      </w:pPr>
      <w:r>
        <w:t>仪器各显示部分的刻度、数字清晰，涂色牢固，不应有影响读数的缺陷</w:t>
      </w:r>
      <w:r>
        <w:rPr>
          <w:rFonts w:hint="eastAsia"/>
        </w:rPr>
        <w:t>。</w:t>
      </w:r>
    </w:p>
    <w:p w14:paraId="3A92B843">
      <w:pPr>
        <w:pStyle w:val="30"/>
        <w:numPr>
          <w:ilvl w:val="3"/>
          <w:numId w:val="1"/>
        </w:numPr>
        <w:jc w:val="both"/>
      </w:pPr>
      <w:r>
        <w:t>仪器应具备数字信号输出功能</w:t>
      </w:r>
      <w:r>
        <w:rPr>
          <w:rFonts w:hint="eastAsia"/>
        </w:rPr>
        <w:t>。</w:t>
      </w:r>
    </w:p>
    <w:p w14:paraId="29B3BEBA">
      <w:pPr>
        <w:pStyle w:val="30"/>
        <w:numPr>
          <w:ilvl w:val="3"/>
          <w:numId w:val="1"/>
        </w:numPr>
        <w:jc w:val="both"/>
      </w:pPr>
      <w:r>
        <w:t>仪器电源引入线与机壳之间的绝缘电阻应</w:t>
      </w:r>
      <w:r>
        <w:rPr>
          <w:rFonts w:hint="eastAsia"/>
        </w:rPr>
        <w:t>≥</w:t>
      </w:r>
      <w:r>
        <w:t>20MΩ</w:t>
      </w:r>
      <w:r>
        <w:rPr>
          <w:rFonts w:hint="eastAsia"/>
        </w:rPr>
        <w:t>。</w:t>
      </w:r>
    </w:p>
    <w:p w14:paraId="6FA8BDFC">
      <w:pPr>
        <w:pStyle w:val="30"/>
        <w:numPr>
          <w:ilvl w:val="3"/>
          <w:numId w:val="1"/>
        </w:numPr>
        <w:jc w:val="both"/>
      </w:pPr>
      <w:r>
        <w:t>电缆和管路的相关标识明显，电缆线路的施工应满足GB 50168的相关要求。</w:t>
      </w:r>
    </w:p>
    <w:p w14:paraId="378D5346">
      <w:pPr>
        <w:pStyle w:val="30"/>
        <w:ind w:left="0"/>
        <w:jc w:val="both"/>
      </w:pPr>
      <w:r>
        <w:rPr>
          <w:rFonts w:hint="eastAsia"/>
        </w:rPr>
        <w:t>具体要求</w:t>
      </w:r>
    </w:p>
    <w:p w14:paraId="43C07F78">
      <w:pPr>
        <w:pStyle w:val="30"/>
        <w:numPr>
          <w:ilvl w:val="3"/>
          <w:numId w:val="1"/>
        </w:numPr>
        <w:jc w:val="both"/>
      </w:pPr>
      <w:r>
        <w:t>依照仪器清单进行检查，要求所有零配件配备齐全</w:t>
      </w:r>
      <w:r>
        <w:rPr>
          <w:rFonts w:hint="eastAsia"/>
        </w:rPr>
        <w:t>。</w:t>
      </w:r>
    </w:p>
    <w:p w14:paraId="4AE6ECAB">
      <w:pPr>
        <w:pStyle w:val="30"/>
        <w:numPr>
          <w:ilvl w:val="3"/>
          <w:numId w:val="1"/>
        </w:numPr>
        <w:jc w:val="both"/>
      </w:pPr>
      <w:r>
        <w:t>仪器应安装在实验台上或机柜内，确保水平安装</w:t>
      </w:r>
      <w:r>
        <w:rPr>
          <w:rFonts w:hint="eastAsia"/>
        </w:rPr>
        <w:t>。</w:t>
      </w:r>
    </w:p>
    <w:p w14:paraId="1812404E">
      <w:pPr>
        <w:pStyle w:val="30"/>
        <w:numPr>
          <w:ilvl w:val="3"/>
          <w:numId w:val="1"/>
        </w:numPr>
        <w:jc w:val="both"/>
      </w:pPr>
      <w:r>
        <w:t>仪器安装完毕后，确保仪器后方有0.8m以上的操作维护空间，仪器采样入口和站房天花板之间有足够的空间安装溶蚀器、采样管等。</w:t>
      </w:r>
    </w:p>
    <w:p w14:paraId="0F399E32">
      <w:pPr>
        <w:pStyle w:val="30"/>
        <w:ind w:left="0"/>
        <w:jc w:val="both"/>
      </w:pPr>
      <w:r>
        <w:rPr>
          <w:rFonts w:hint="eastAsia"/>
        </w:rPr>
        <w:t>采样管安装</w:t>
      </w:r>
    </w:p>
    <w:p w14:paraId="30769DEF">
      <w:pPr>
        <w:pStyle w:val="30"/>
        <w:numPr>
          <w:ilvl w:val="3"/>
          <w:numId w:val="1"/>
        </w:numPr>
        <w:jc w:val="both"/>
      </w:pPr>
      <w:r>
        <w:t>采样管线安装在侧边，置于保护槽（管）内上从顶部沿引采样管线安装在采样塔侧边，置于保护槽（管）内，塔上采样管线从顶部沿保护槽（管）引下，保护槽（管）的直径不小于10厘米。多层气路管线布设尽量保持整齐和美观，并在适当位置采用卡箍固定，避免出现死弯及凹陷，导致管线内积水。根据实际情况选择地下管道或架空保护槽（管）引入监测室。若采用地下管道方式，为维护方便，尽量使用盖板地沟而非埋管方式架设，地下管道深度宜在0.5</w:t>
      </w:r>
      <w:r>
        <w:rPr>
          <w:rFonts w:hint="eastAsia"/>
          <w:lang w:val="en-US" w:eastAsia="zh-CN"/>
        </w:rPr>
        <w:t>米</w:t>
      </w:r>
      <w:r>
        <w:rPr>
          <w:rFonts w:hint="eastAsia"/>
        </w:rPr>
        <w:t>～</w:t>
      </w:r>
      <w:r>
        <w:t>0.8米，并有一定的向下倾斜角度。地下管道内应使用采样管线托架（杆）或保护槽（管），保护槽应做到防腐、防水、防鼠，并应在气路最低点设置冷凝水检查点。若采用架空保护槽（管）方式，架空高度应不小于2.5米，并有一定的向下倾斜角度。对于多层气路，每根管线间隔一定长度处米，并有一定的向下倾斜角度。对于多层气路，每根管线间隔一定长度处及进入仪器前应粘贴管线层高等说明标签。保护槽（管）应尽量使用不易老化的材质。</w:t>
      </w:r>
    </w:p>
    <w:p w14:paraId="5195B563">
      <w:pPr>
        <w:pStyle w:val="30"/>
        <w:numPr>
          <w:ilvl w:val="3"/>
          <w:numId w:val="1"/>
        </w:numPr>
        <w:jc w:val="both"/>
      </w:pPr>
      <w:r>
        <w:t>为断开金属导雷，实现防雷，进入站房前需断开黑胶铝塑采样管，换接1米左右与采样管同等直径的聚四氟乙烯管，断开处采用不锈钢接头连接，保证气密性符符合要求。进入站房的采样管室外部分应安装在保护管内，防止老化及磕碰。</w:t>
      </w:r>
    </w:p>
    <w:p w14:paraId="775C6F74">
      <w:pPr>
        <w:pStyle w:val="30"/>
        <w:numPr>
          <w:ilvl w:val="3"/>
          <w:numId w:val="1"/>
        </w:numPr>
        <w:jc w:val="both"/>
      </w:pPr>
      <w:r>
        <w:t>严禁重型物压过采样管，如大载货车等。</w:t>
      </w:r>
    </w:p>
    <w:p w14:paraId="302CA2D6">
      <w:pPr>
        <w:pStyle w:val="30"/>
        <w:numPr>
          <w:ilvl w:val="3"/>
          <w:numId w:val="1"/>
        </w:numPr>
        <w:jc w:val="both"/>
      </w:pPr>
      <w:r>
        <w:t>采样管路所在位置严禁挖掘施工，避免断气路。</w:t>
      </w:r>
    </w:p>
    <w:p w14:paraId="3B6FC296">
      <w:pPr>
        <w:pStyle w:val="30"/>
        <w:ind w:left="0"/>
        <w:jc w:val="both"/>
      </w:pPr>
      <w:r>
        <w:rPr>
          <w:rFonts w:hint="eastAsia"/>
        </w:rPr>
        <w:t>辅助设备安装</w:t>
      </w:r>
    </w:p>
    <w:p w14:paraId="4988BBF9">
      <w:pPr>
        <w:pStyle w:val="30"/>
        <w:numPr>
          <w:ilvl w:val="3"/>
          <w:numId w:val="1"/>
        </w:numPr>
        <w:jc w:val="both"/>
      </w:pPr>
      <w:r>
        <w:t>采样管支撑部件与房顶、采样管的连接应牢固、可靠，防止采样管摇摆</w:t>
      </w:r>
      <w:r>
        <w:rPr>
          <w:rFonts w:hint="eastAsia"/>
        </w:rPr>
        <w:t>。</w:t>
      </w:r>
    </w:p>
    <w:p w14:paraId="1DA0243D">
      <w:pPr>
        <w:pStyle w:val="30"/>
        <w:numPr>
          <w:ilvl w:val="3"/>
          <w:numId w:val="1"/>
        </w:numPr>
        <w:jc w:val="both"/>
      </w:pPr>
      <w:r>
        <w:t>采样辅助设备与采样管应连接可靠</w:t>
      </w:r>
      <w:r>
        <w:rPr>
          <w:rFonts w:hint="eastAsia"/>
        </w:rPr>
        <w:t>。</w:t>
      </w:r>
    </w:p>
    <w:p w14:paraId="239AF767">
      <w:pPr>
        <w:pStyle w:val="30"/>
        <w:numPr>
          <w:ilvl w:val="3"/>
          <w:numId w:val="1"/>
        </w:numPr>
        <w:jc w:val="both"/>
      </w:pPr>
      <w:r>
        <w:t>环境温湿度及大气压传感器应安装在采样入口附近，不干扰切割器的正常工作</w:t>
      </w:r>
      <w:r>
        <w:rPr>
          <w:rFonts w:hint="eastAsia"/>
        </w:rPr>
        <w:t>。</w:t>
      </w:r>
    </w:p>
    <w:p w14:paraId="0B11E996">
      <w:pPr>
        <w:pStyle w:val="30"/>
        <w:numPr>
          <w:ilvl w:val="3"/>
          <w:numId w:val="1"/>
        </w:numPr>
        <w:jc w:val="both"/>
      </w:pPr>
      <w:r>
        <w:t>环境温湿度及大气压传感器的信号传输线与站房连接处应符合防水要求</w:t>
      </w:r>
      <w:r>
        <w:rPr>
          <w:rFonts w:hint="eastAsia"/>
        </w:rPr>
        <w:t>。</w:t>
      </w:r>
    </w:p>
    <w:p w14:paraId="493AD7B0">
      <w:pPr>
        <w:pStyle w:val="30"/>
        <w:numPr>
          <w:ilvl w:val="3"/>
          <w:numId w:val="1"/>
        </w:numPr>
        <w:jc w:val="both"/>
      </w:pPr>
      <w:r>
        <w:t>环境温湿度传感器应防止太阳光直射，具备防雨、遮光的功能。</w:t>
      </w:r>
    </w:p>
    <w:p w14:paraId="71715D9E">
      <w:pPr>
        <w:pStyle w:val="30"/>
        <w:ind w:left="0"/>
        <w:jc w:val="both"/>
      </w:pPr>
      <w:r>
        <w:rPr>
          <w:rFonts w:hint="eastAsia"/>
        </w:rPr>
        <w:t>数据采集和传输设备安装</w:t>
      </w:r>
    </w:p>
    <w:p w14:paraId="252158B5">
      <w:pPr>
        <w:pStyle w:val="30"/>
        <w:numPr>
          <w:ilvl w:val="3"/>
          <w:numId w:val="1"/>
        </w:numPr>
        <w:jc w:val="both"/>
      </w:pPr>
      <w:r>
        <w:t>设备应采用无线或有线通信方式，数据可实时传输到服务器</w:t>
      </w:r>
      <w:r>
        <w:rPr>
          <w:rFonts w:hint="eastAsia"/>
        </w:rPr>
        <w:t>。</w:t>
      </w:r>
    </w:p>
    <w:p w14:paraId="0B54D739">
      <w:pPr>
        <w:pStyle w:val="30"/>
        <w:numPr>
          <w:ilvl w:val="3"/>
          <w:numId w:val="1"/>
        </w:numPr>
        <w:jc w:val="both"/>
      </w:pPr>
      <w:r>
        <w:t>设备应安装在实验台上或机柜内，确保安装牢固、可靠</w:t>
      </w:r>
      <w:r>
        <w:rPr>
          <w:rFonts w:hint="eastAsia"/>
        </w:rPr>
        <w:t>。</w:t>
      </w:r>
    </w:p>
    <w:p w14:paraId="50D1536A">
      <w:pPr>
        <w:pStyle w:val="30"/>
        <w:numPr>
          <w:ilvl w:val="3"/>
          <w:numId w:val="1"/>
        </w:numPr>
        <w:jc w:val="both"/>
      </w:pPr>
      <w:r>
        <w:t>设备应能正确记录、存储、显示数据和仪器状态</w:t>
      </w:r>
      <w:r>
        <w:rPr>
          <w:rFonts w:hint="eastAsia"/>
        </w:rPr>
        <w:t>。</w:t>
      </w:r>
    </w:p>
    <w:p w14:paraId="0979DBB5">
      <w:pPr>
        <w:pStyle w:val="30"/>
        <w:numPr>
          <w:ilvl w:val="3"/>
          <w:numId w:val="1"/>
        </w:numPr>
        <w:jc w:val="both"/>
      </w:pPr>
      <w:r>
        <w:t>设备线路应连接牢固。</w:t>
      </w:r>
    </w:p>
    <w:p w14:paraId="22EE6C32">
      <w:pPr>
        <w:pStyle w:val="29"/>
        <w:tabs>
          <w:tab w:val="center" w:pos="4201"/>
          <w:tab w:val="right" w:leader="dot" w:pos="9298"/>
        </w:tabs>
        <w:jc w:val="both"/>
        <w:rPr>
          <w:rFonts w:hint="eastAsia" w:hAnsi="黑体"/>
        </w:rPr>
      </w:pPr>
      <w:bookmarkStart w:id="94" w:name="_Toc20537"/>
      <w:bookmarkStart w:id="95" w:name="_Toc128642756"/>
      <w:r>
        <w:rPr>
          <w:rFonts w:hint="eastAsia" w:hAnsi="黑体"/>
        </w:rPr>
        <w:t>调试</w:t>
      </w:r>
      <w:bookmarkEnd w:id="94"/>
      <w:bookmarkEnd w:id="95"/>
    </w:p>
    <w:p w14:paraId="2FB991E8">
      <w:pPr>
        <w:pStyle w:val="30"/>
        <w:numPr>
          <w:ilvl w:val="0"/>
          <w:numId w:val="0"/>
        </w:numPr>
        <w:ind w:firstLine="420" w:firstLineChars="200"/>
        <w:jc w:val="both"/>
      </w:pPr>
      <w:r>
        <w:t>监测系统在现场安装并正常运行后，在验收前应进行调试，调试完成后的性能指标应满足调试检测指标及要求。调试检测可由系统制造者、供应者、用户或受委托的有检测能力的部门承担。</w:t>
      </w:r>
    </w:p>
    <w:p w14:paraId="7D1F3FA7">
      <w:pPr>
        <w:pStyle w:val="30"/>
        <w:ind w:left="0"/>
        <w:jc w:val="both"/>
      </w:pPr>
      <w:r>
        <w:rPr>
          <w:rFonts w:hint="eastAsia"/>
        </w:rPr>
        <w:t>调试检测的一般要求：</w:t>
      </w:r>
    </w:p>
    <w:p w14:paraId="32D9E9B9">
      <w:pPr>
        <w:pStyle w:val="30"/>
        <w:numPr>
          <w:ilvl w:val="3"/>
          <w:numId w:val="1"/>
        </w:numPr>
        <w:jc w:val="both"/>
      </w:pPr>
      <w:r>
        <w:t>在现场完成</w:t>
      </w:r>
      <w:r>
        <w:rPr>
          <w:rFonts w:hint="eastAsia"/>
        </w:rPr>
        <w:t>温室气体高精度</w:t>
      </w:r>
      <w:r>
        <w:t>连续自动监测系统安装、调试后投入试运行</w:t>
      </w:r>
      <w:r>
        <w:rPr>
          <w:rFonts w:hint="eastAsia"/>
        </w:rPr>
        <w:t>。</w:t>
      </w:r>
    </w:p>
    <w:p w14:paraId="6CE82204">
      <w:pPr>
        <w:pStyle w:val="30"/>
        <w:numPr>
          <w:ilvl w:val="3"/>
          <w:numId w:val="1"/>
        </w:numPr>
        <w:jc w:val="both"/>
      </w:pPr>
      <w:r>
        <w:t>系统连续运行24</w:t>
      </w:r>
      <w:r>
        <w:rPr>
          <w:rFonts w:hint="eastAsia"/>
          <w:lang w:val="en-US" w:eastAsia="zh-CN"/>
        </w:rPr>
        <w:t>小时</w:t>
      </w:r>
      <w:r>
        <w:rPr>
          <w:rFonts w:hint="eastAsia"/>
        </w:rPr>
        <w:t>～</w:t>
      </w:r>
      <w:r>
        <w:t>48</w:t>
      </w:r>
      <w:r>
        <w:rPr>
          <w:rFonts w:hint="eastAsia"/>
          <w:lang w:val="en-US" w:eastAsia="zh-CN"/>
        </w:rPr>
        <w:t>小时</w:t>
      </w:r>
      <w:r>
        <w:t>后，进行调试检测</w:t>
      </w:r>
      <w:r>
        <w:rPr>
          <w:rFonts w:hint="eastAsia"/>
        </w:rPr>
        <w:t>。</w:t>
      </w:r>
    </w:p>
    <w:p w14:paraId="206DDC0E">
      <w:pPr>
        <w:pStyle w:val="30"/>
        <w:numPr>
          <w:ilvl w:val="3"/>
          <w:numId w:val="1"/>
        </w:numPr>
        <w:jc w:val="both"/>
      </w:pPr>
      <w:r>
        <w:t>如果因系统故障、断电等原因造成调试检测中断，则需重新进行调试检测</w:t>
      </w:r>
      <w:r>
        <w:rPr>
          <w:rFonts w:hint="eastAsia"/>
        </w:rPr>
        <w:t>。</w:t>
      </w:r>
    </w:p>
    <w:p w14:paraId="319FCE71">
      <w:pPr>
        <w:pStyle w:val="30"/>
        <w:numPr>
          <w:ilvl w:val="3"/>
          <w:numId w:val="1"/>
        </w:numPr>
        <w:jc w:val="both"/>
      </w:pPr>
      <w:r>
        <w:t>调试检测后应编制安装调试报告。</w:t>
      </w:r>
    </w:p>
    <w:p w14:paraId="5ABF9838">
      <w:pPr>
        <w:pStyle w:val="30"/>
        <w:ind w:left="0"/>
        <w:jc w:val="both"/>
      </w:pPr>
      <w:r>
        <w:rPr>
          <w:rFonts w:hint="eastAsia"/>
        </w:rPr>
        <w:t>调试检测指标</w:t>
      </w:r>
    </w:p>
    <w:p w14:paraId="033F8E04">
      <w:pPr>
        <w:pStyle w:val="30"/>
        <w:numPr>
          <w:ilvl w:val="0"/>
          <w:numId w:val="0"/>
        </w:numPr>
        <w:ind w:firstLine="420" w:firstLineChars="200"/>
        <w:jc w:val="both"/>
      </w:pPr>
      <w:r>
        <w:t>调试监测指标按照本文5性能指标要求和8.4监测仪器的性能审核中相关内容完成。</w:t>
      </w:r>
    </w:p>
    <w:p w14:paraId="3837D19F">
      <w:pPr>
        <w:pStyle w:val="29"/>
        <w:tabs>
          <w:tab w:val="center" w:pos="4201"/>
          <w:tab w:val="right" w:leader="dot" w:pos="9298"/>
        </w:tabs>
        <w:jc w:val="both"/>
        <w:rPr>
          <w:rFonts w:hint="eastAsia" w:hAnsi="黑体"/>
        </w:rPr>
      </w:pPr>
      <w:bookmarkStart w:id="96" w:name="_Toc128642757"/>
      <w:bookmarkStart w:id="97" w:name="_Toc32587"/>
      <w:r>
        <w:rPr>
          <w:rFonts w:hint="eastAsia" w:hAnsi="黑体"/>
        </w:rPr>
        <w:t>试运行</w:t>
      </w:r>
      <w:bookmarkEnd w:id="96"/>
      <w:bookmarkEnd w:id="97"/>
    </w:p>
    <w:p w14:paraId="50719402">
      <w:pPr>
        <w:pStyle w:val="24"/>
        <w:rPr>
          <w:rFonts w:ascii="Times New Roman"/>
        </w:rPr>
      </w:pPr>
      <w:r>
        <w:rPr>
          <w:rFonts w:ascii="Times New Roman"/>
        </w:rPr>
        <w:t>温室气体高精度自动监测系统试运行至少30</w:t>
      </w:r>
      <w:r>
        <w:rPr>
          <w:rFonts w:hint="eastAsia" w:ascii="Times New Roman"/>
          <w:lang w:val="en-US" w:eastAsia="zh-CN"/>
        </w:rPr>
        <w:t>天</w:t>
      </w:r>
      <w:r>
        <w:rPr>
          <w:rFonts w:ascii="Times New Roman"/>
        </w:rPr>
        <w:t>。因系统故障等造成运行中断，恢复正常后，重新开始试运行。试运行结束时，</w:t>
      </w:r>
      <w:r>
        <w:rPr>
          <w:rFonts w:hint="eastAsia" w:ascii="Times New Roman"/>
        </w:rPr>
        <w:t>按以下公式</w:t>
      </w:r>
      <w:r>
        <w:rPr>
          <w:rFonts w:ascii="Times New Roman"/>
        </w:rPr>
        <w:t>计算系统数据获取率，数据获取率应</w:t>
      </w:r>
      <w:r>
        <w:rPr>
          <w:rFonts w:hint="eastAsia" w:ascii="Times New Roman"/>
        </w:rPr>
        <w:t>≥</w:t>
      </w:r>
      <w:r>
        <w:rPr>
          <w:rFonts w:ascii="Times New Roman"/>
        </w:rPr>
        <w:t>90%。根据试运行结果编制试运行报告。</w:t>
      </w:r>
    </w:p>
    <w:p w14:paraId="3047FA01">
      <w:pPr>
        <w:pStyle w:val="24"/>
        <w:jc w:val="center"/>
      </w:pPr>
      <w:r>
        <w:rPr>
          <w:rFonts w:hint="eastAsia"/>
        </w:rPr>
        <w:t></w:t>
      </w:r>
      <w:r>
        <w:rPr>
          <w:rFonts w:ascii="Times New Roman"/>
          <w:position w:val="-30"/>
        </w:rPr>
        <w:object>
          <v:shape id="_x0000_i1025" o:spt="75" type="#_x0000_t75" style="height:36pt;width:99pt;" o:ole="t" filled="f" o:preferrelative="t" stroked="f" coordsize="21600,21600">
            <v:path/>
            <v:fill on="f" focussize="0,0"/>
            <v:stroke on="f" joinstyle="miter"/>
            <v:imagedata r:id="rId9" o:title=""/>
            <o:lock v:ext="edit" aspectratio="t"/>
            <w10:wrap type="none"/>
            <w10:anchorlock/>
          </v:shape>
          <o:OLEObject Type="Embed" ProgID="Equation.KSEE3" ShapeID="_x0000_i1025" DrawAspect="Content" ObjectID="_1468075725" r:id="rId8">
            <o:LockedField>false</o:LockedField>
          </o:OLEObject>
        </w:object>
      </w:r>
    </w:p>
    <w:p w14:paraId="544EB3B5">
      <w:pPr>
        <w:pStyle w:val="24"/>
      </w:pPr>
      <w:r>
        <w:rPr>
          <w:rFonts w:hint="eastAsia"/>
        </w:rPr>
        <w:t>式中：</w:t>
      </w:r>
      <w:r>
        <w:rPr>
          <w:i/>
        </w:rPr>
        <w:t>R</w:t>
      </w:r>
      <w:r>
        <w:rPr>
          <w:rFonts w:hint="eastAsia"/>
          <w:i/>
        </w:rPr>
        <w:t>a</w:t>
      </w:r>
      <w:r>
        <w:rPr>
          <w:rFonts w:hint="eastAsia"/>
        </w:rPr>
        <w:t>——数据获取率，</w:t>
      </w:r>
      <w:r>
        <w:t>%</w:t>
      </w:r>
      <w:r>
        <w:rPr>
          <w:rFonts w:hint="eastAsia"/>
        </w:rPr>
        <w:t>；</w:t>
      </w:r>
    </w:p>
    <w:p w14:paraId="6A50FB32">
      <w:pPr>
        <w:pStyle w:val="24"/>
        <w:ind w:firstLine="1155" w:firstLineChars="550"/>
      </w:pPr>
      <w:r>
        <w:rPr>
          <w:i/>
        </w:rPr>
        <w:t>T</w:t>
      </w:r>
      <w:r>
        <w:rPr>
          <w:rFonts w:hint="eastAsia"/>
          <w:i/>
          <w:vertAlign w:val="subscript"/>
        </w:rPr>
        <w:t>t</w:t>
      </w:r>
      <w:r>
        <w:rPr>
          <w:rFonts w:hint="eastAsia"/>
        </w:rPr>
        <w:t>——试运行总小时数；</w:t>
      </w:r>
    </w:p>
    <w:p w14:paraId="3FC1A234">
      <w:pPr>
        <w:pStyle w:val="24"/>
        <w:ind w:firstLine="1050" w:firstLineChars="500"/>
      </w:pPr>
      <w:r>
        <w:rPr>
          <w:i/>
        </w:rPr>
        <w:t>T</w:t>
      </w:r>
      <w:r>
        <w:rPr>
          <w:i/>
          <w:vertAlign w:val="subscript"/>
        </w:rPr>
        <w:t>f</w:t>
      </w:r>
      <w:r>
        <w:rPr>
          <w:rFonts w:hint="eastAsia"/>
        </w:rPr>
        <w:t>——系统故障小时数。</w:t>
      </w:r>
    </w:p>
    <w:p w14:paraId="02787418">
      <w:pPr>
        <w:pStyle w:val="29"/>
        <w:tabs>
          <w:tab w:val="center" w:pos="4201"/>
          <w:tab w:val="right" w:leader="dot" w:pos="9298"/>
        </w:tabs>
        <w:jc w:val="both"/>
        <w:rPr>
          <w:rFonts w:hint="eastAsia" w:hAnsi="黑体"/>
        </w:rPr>
      </w:pPr>
      <w:bookmarkStart w:id="98" w:name="_Toc128642758"/>
      <w:bookmarkStart w:id="99" w:name="_Toc25200"/>
      <w:r>
        <w:rPr>
          <w:rFonts w:hint="eastAsia" w:hAnsi="黑体"/>
        </w:rPr>
        <w:t>验收</w:t>
      </w:r>
      <w:bookmarkEnd w:id="98"/>
      <w:bookmarkEnd w:id="99"/>
    </w:p>
    <w:p w14:paraId="620A6FF8">
      <w:pPr>
        <w:pStyle w:val="30"/>
        <w:ind w:left="0"/>
        <w:jc w:val="both"/>
      </w:pPr>
      <w:r>
        <w:rPr>
          <w:rFonts w:hint="eastAsia"/>
        </w:rPr>
        <w:t>验收准备与申请</w:t>
      </w:r>
    </w:p>
    <w:p w14:paraId="4576603A">
      <w:pPr>
        <w:pStyle w:val="30"/>
        <w:numPr>
          <w:ilvl w:val="3"/>
          <w:numId w:val="1"/>
        </w:numPr>
        <w:jc w:val="both"/>
      </w:pPr>
      <w:r>
        <w:rPr>
          <w:rFonts w:hint="eastAsia"/>
        </w:rPr>
        <w:t>验收准备</w:t>
      </w:r>
    </w:p>
    <w:p w14:paraId="69566776">
      <w:pPr>
        <w:pStyle w:val="24"/>
      </w:pPr>
      <w:r>
        <w:rPr>
          <w:rFonts w:hint="eastAsia"/>
        </w:rPr>
        <w:t>在申请验收前应做好以下准备工作：</w:t>
      </w:r>
    </w:p>
    <w:p w14:paraId="32CC0444">
      <w:pPr>
        <w:pStyle w:val="30"/>
        <w:numPr>
          <w:ilvl w:val="1"/>
          <w:numId w:val="7"/>
        </w:numPr>
        <w:ind w:left="0" w:firstLine="420" w:firstLineChars="200"/>
        <w:jc w:val="both"/>
      </w:pPr>
      <w:r>
        <w:t>提供</w:t>
      </w:r>
      <w:r>
        <w:rPr>
          <w:rFonts w:hint="eastAsia"/>
        </w:rPr>
        <w:t>温室气体高精度</w:t>
      </w:r>
      <w:r>
        <w:t>连续自动监测系统的安装调试报告、试运行报告和联网证明；</w:t>
      </w:r>
    </w:p>
    <w:p w14:paraId="57CC7BD8">
      <w:pPr>
        <w:pStyle w:val="30"/>
        <w:numPr>
          <w:ilvl w:val="1"/>
          <w:numId w:val="7"/>
        </w:numPr>
        <w:ind w:left="0" w:firstLine="420" w:firstLineChars="200"/>
        <w:jc w:val="both"/>
      </w:pPr>
      <w:r>
        <w:rPr>
          <w:rFonts w:hint="eastAsia"/>
        </w:rPr>
        <w:t>温室气体高精度</w:t>
      </w:r>
      <w:r>
        <w:t>连续自动监测系统已至少连续稳定运行30d，出具监测数据报表；</w:t>
      </w:r>
    </w:p>
    <w:p w14:paraId="5AB7F0D3">
      <w:pPr>
        <w:pStyle w:val="30"/>
        <w:numPr>
          <w:ilvl w:val="1"/>
          <w:numId w:val="7"/>
        </w:numPr>
        <w:ind w:left="0" w:firstLine="420" w:firstLineChars="200"/>
        <w:jc w:val="both"/>
      </w:pPr>
      <w:r>
        <w:t>提供质量保证和质量控制计划文档；</w:t>
      </w:r>
    </w:p>
    <w:p w14:paraId="5D9EA2F2">
      <w:pPr>
        <w:pStyle w:val="30"/>
        <w:numPr>
          <w:ilvl w:val="1"/>
          <w:numId w:val="7"/>
        </w:numPr>
        <w:ind w:left="0" w:firstLine="420" w:firstLineChars="200"/>
        <w:jc w:val="both"/>
      </w:pPr>
      <w:r>
        <w:t>建立完整的</w:t>
      </w:r>
      <w:r>
        <w:rPr>
          <w:rFonts w:hint="eastAsia"/>
        </w:rPr>
        <w:t>温室气体高精度</w:t>
      </w:r>
      <w:r>
        <w:t>连续自动监测系统的技术档案。</w:t>
      </w:r>
    </w:p>
    <w:p w14:paraId="29DE0504">
      <w:pPr>
        <w:pStyle w:val="30"/>
        <w:numPr>
          <w:ilvl w:val="3"/>
          <w:numId w:val="1"/>
        </w:numPr>
        <w:jc w:val="both"/>
      </w:pPr>
      <w:r>
        <w:rPr>
          <w:rFonts w:hint="eastAsia"/>
        </w:rPr>
        <w:t>验收申请</w:t>
      </w:r>
    </w:p>
    <w:p w14:paraId="457341E5">
      <w:pPr>
        <w:pStyle w:val="24"/>
      </w:pPr>
      <w:r>
        <w:rPr>
          <w:rFonts w:ascii="Times New Roman"/>
        </w:rPr>
        <w:t>温室气体连续自动监测系统完成安装、调试及试运行后提出验收申请，经验收单位核准符合验收条件后实施验收</w:t>
      </w:r>
      <w:r>
        <w:rPr>
          <w:rFonts w:hint="eastAsia"/>
        </w:rPr>
        <w:t>。</w:t>
      </w:r>
    </w:p>
    <w:p w14:paraId="71B3C70E">
      <w:pPr>
        <w:pStyle w:val="30"/>
        <w:ind w:left="0"/>
        <w:jc w:val="both"/>
      </w:pPr>
      <w:r>
        <w:rPr>
          <w:rFonts w:hint="eastAsia"/>
        </w:rPr>
        <w:t>验收内容</w:t>
      </w:r>
    </w:p>
    <w:p w14:paraId="18E84E43">
      <w:pPr>
        <w:pStyle w:val="30"/>
        <w:numPr>
          <w:ilvl w:val="3"/>
          <w:numId w:val="1"/>
        </w:numPr>
        <w:jc w:val="both"/>
      </w:pPr>
      <w:bookmarkStart w:id="100" w:name="_Hlk128638810"/>
      <w:r>
        <w:rPr>
          <w:rFonts w:hint="eastAsia"/>
        </w:rPr>
        <w:t>性能指标验收</w:t>
      </w:r>
    </w:p>
    <w:bookmarkEnd w:id="100"/>
    <w:p w14:paraId="230F22A7">
      <w:pPr>
        <w:pStyle w:val="24"/>
        <w:rPr>
          <w:rFonts w:ascii="Times New Roman"/>
        </w:rPr>
      </w:pPr>
      <w:r>
        <w:rPr>
          <w:rFonts w:ascii="Times New Roman"/>
        </w:rPr>
        <w:t>性能指标验收按照本文件5性能指标要求和8.4监测仪器的性能审核中相关内容完成。</w:t>
      </w:r>
    </w:p>
    <w:p w14:paraId="16B130FE">
      <w:pPr>
        <w:pStyle w:val="30"/>
        <w:numPr>
          <w:ilvl w:val="3"/>
          <w:numId w:val="1"/>
        </w:numPr>
        <w:jc w:val="both"/>
      </w:pPr>
      <w:r>
        <w:rPr>
          <w:rFonts w:hint="eastAsia"/>
        </w:rPr>
        <w:t>联网验收</w:t>
      </w:r>
    </w:p>
    <w:p w14:paraId="26B14F53">
      <w:pPr>
        <w:pStyle w:val="30"/>
        <w:numPr>
          <w:ilvl w:val="0"/>
          <w:numId w:val="0"/>
        </w:numPr>
        <w:ind w:left="420" w:leftChars="200"/>
        <w:jc w:val="both"/>
      </w:pPr>
      <w:r>
        <w:t>联网验收分为通信及数据传输验收、现场数据比对验收和联网稳定性验收三部分。</w:t>
      </w:r>
    </w:p>
    <w:p w14:paraId="7B3CEED4">
      <w:pPr>
        <w:pStyle w:val="30"/>
        <w:numPr>
          <w:ilvl w:val="1"/>
          <w:numId w:val="8"/>
        </w:numPr>
        <w:ind w:left="0" w:firstLine="420" w:firstLineChars="200"/>
        <w:jc w:val="both"/>
      </w:pPr>
      <w:r>
        <w:t>通信及数据传输验收：</w:t>
      </w:r>
    </w:p>
    <w:p w14:paraId="6BA32663">
      <w:pPr>
        <w:pStyle w:val="30"/>
        <w:numPr>
          <w:ilvl w:val="2"/>
          <w:numId w:val="0"/>
        </w:numPr>
        <w:ind w:firstLine="420" w:firstLineChars="200"/>
        <w:jc w:val="both"/>
      </w:pPr>
      <w:r>
        <w:t>数据采集和传输设备与监测仪器之间的通信应稳定，不出现经常性的通信连接中断、报文丢失、报文不完整等通信问题。为保证监测数据在公共数据网上传输的安全性，应进行加密传输。</w:t>
      </w:r>
    </w:p>
    <w:p w14:paraId="6D04890A">
      <w:pPr>
        <w:pStyle w:val="30"/>
        <w:numPr>
          <w:ilvl w:val="1"/>
          <w:numId w:val="8"/>
        </w:numPr>
        <w:ind w:left="0" w:firstLine="420" w:firstLineChars="200"/>
        <w:jc w:val="both"/>
        <w:rPr>
          <w:highlight w:val="none"/>
        </w:rPr>
      </w:pPr>
      <w:r>
        <w:rPr>
          <w:highlight w:val="none"/>
        </w:rPr>
        <w:t>现场数据比对验收：</w:t>
      </w:r>
    </w:p>
    <w:p w14:paraId="620A462F">
      <w:pPr>
        <w:pStyle w:val="30"/>
        <w:numPr>
          <w:ilvl w:val="2"/>
          <w:numId w:val="0"/>
        </w:numPr>
        <w:ind w:firstLine="420" w:firstLineChars="200"/>
        <w:jc w:val="both"/>
        <w:rPr>
          <w:highlight w:val="none"/>
        </w:rPr>
      </w:pPr>
      <w:r>
        <w:rPr>
          <w:highlight w:val="none"/>
        </w:rPr>
        <w:t>对数据进行抽样检查，随机抽取试运行期间7</w:t>
      </w:r>
      <w:r>
        <w:rPr>
          <w:rFonts w:hint="eastAsia"/>
          <w:highlight w:val="none"/>
          <w:lang w:val="en-US" w:eastAsia="zh-CN"/>
        </w:rPr>
        <w:t>天</w:t>
      </w:r>
      <w:r>
        <w:rPr>
          <w:highlight w:val="none"/>
        </w:rPr>
        <w:t>的监测数据，对比上位机接收到的数据和现场机存储的数据，数据传输正确率应</w:t>
      </w:r>
      <w:r>
        <w:rPr>
          <w:rFonts w:hint="eastAsia" w:ascii="仿宋" w:hAnsi="仿宋" w:eastAsia="仿宋" w:cs="仿宋"/>
          <w:highlight w:val="none"/>
        </w:rPr>
        <w:t>≥</w:t>
      </w:r>
      <w:r>
        <w:rPr>
          <w:highlight w:val="none"/>
        </w:rPr>
        <w:t>95%。</w:t>
      </w:r>
    </w:p>
    <w:p w14:paraId="3F335529">
      <w:pPr>
        <w:pStyle w:val="30"/>
        <w:numPr>
          <w:ilvl w:val="1"/>
          <w:numId w:val="8"/>
        </w:numPr>
        <w:ind w:left="0" w:firstLine="420" w:firstLineChars="200"/>
        <w:jc w:val="both"/>
        <w:rPr>
          <w:highlight w:val="none"/>
        </w:rPr>
      </w:pPr>
      <w:r>
        <w:rPr>
          <w:highlight w:val="none"/>
        </w:rPr>
        <w:t>联网稳定性验收：</w:t>
      </w:r>
    </w:p>
    <w:p w14:paraId="2F56E8CD">
      <w:pPr>
        <w:pStyle w:val="30"/>
        <w:numPr>
          <w:ilvl w:val="2"/>
          <w:numId w:val="0"/>
        </w:numPr>
        <w:ind w:firstLine="420" w:firstLineChars="200"/>
        <w:jc w:val="both"/>
        <w:rPr>
          <w:highlight w:val="none"/>
        </w:rPr>
      </w:pPr>
      <w:r>
        <w:rPr>
          <w:highlight w:val="none"/>
        </w:rPr>
        <w:t>在连续一个月内，数据采集和传输设备能稳定运行，不出现除通信稳定性、数据传输正确性以外的其他联网问题</w:t>
      </w:r>
      <w:r>
        <w:rPr>
          <w:rFonts w:hint="eastAsia"/>
          <w:highlight w:val="none"/>
        </w:rPr>
        <w:t>。</w:t>
      </w:r>
    </w:p>
    <w:p w14:paraId="342DD152">
      <w:pPr>
        <w:pStyle w:val="24"/>
        <w:rPr>
          <w:rFonts w:ascii="Times New Roman"/>
          <w:highlight w:val="none"/>
        </w:rPr>
      </w:pPr>
      <w:r>
        <w:rPr>
          <w:rFonts w:ascii="Times New Roman"/>
          <w:highlight w:val="none"/>
        </w:rPr>
        <w:t>联网验收技术指标见下表。</w:t>
      </w:r>
    </w:p>
    <w:p w14:paraId="5CC41041">
      <w:pPr>
        <w:pStyle w:val="24"/>
        <w:ind w:firstLine="360"/>
        <w:jc w:val="center"/>
        <w:rPr>
          <w:rFonts w:ascii="Times New Roman" w:eastAsia="黑体"/>
          <w:sz w:val="18"/>
          <w:szCs w:val="18"/>
          <w:highlight w:val="none"/>
        </w:rPr>
      </w:pPr>
      <w:r>
        <w:rPr>
          <w:rFonts w:ascii="Times New Roman" w:eastAsia="黑体"/>
          <w:sz w:val="18"/>
          <w:szCs w:val="18"/>
          <w:highlight w:val="none"/>
        </w:rPr>
        <w:t>表</w:t>
      </w:r>
      <w:r>
        <w:rPr>
          <w:rFonts w:hint="eastAsia" w:ascii="Times New Roman" w:eastAsia="黑体"/>
          <w:sz w:val="18"/>
          <w:szCs w:val="18"/>
          <w:highlight w:val="none"/>
        </w:rPr>
        <w:t>1</w:t>
      </w:r>
      <w:r>
        <w:rPr>
          <w:rFonts w:ascii="Times New Roman" w:eastAsia="黑体"/>
          <w:sz w:val="18"/>
          <w:szCs w:val="18"/>
          <w:highlight w:val="none"/>
        </w:rPr>
        <w:t xml:space="preserve"> 联网验收技术指标</w:t>
      </w:r>
    </w:p>
    <w:tbl>
      <w:tblPr>
        <w:tblStyle w:val="7"/>
        <w:tblW w:w="0" w:type="auto"/>
        <w:tblInd w:w="2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59"/>
        <w:gridCol w:w="7371"/>
      </w:tblGrid>
      <w:tr w14:paraId="0334C5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59" w:type="dxa"/>
            <w:vAlign w:val="center"/>
          </w:tcPr>
          <w:p w14:paraId="68B062CE">
            <w:pPr>
              <w:pStyle w:val="24"/>
              <w:ind w:firstLine="0" w:firstLineChars="0"/>
              <w:jc w:val="center"/>
              <w:rPr>
                <w:rFonts w:ascii="Times New Roman"/>
                <w:b/>
                <w:sz w:val="18"/>
                <w:szCs w:val="18"/>
                <w:highlight w:val="none"/>
              </w:rPr>
            </w:pPr>
            <w:r>
              <w:rPr>
                <w:rFonts w:ascii="Times New Roman"/>
                <w:b/>
                <w:sz w:val="18"/>
                <w:szCs w:val="18"/>
                <w:highlight w:val="none"/>
              </w:rPr>
              <w:t>验收检测项目</w:t>
            </w:r>
          </w:p>
        </w:tc>
        <w:tc>
          <w:tcPr>
            <w:tcW w:w="7371" w:type="dxa"/>
            <w:vAlign w:val="center"/>
          </w:tcPr>
          <w:p w14:paraId="51CB66D4">
            <w:pPr>
              <w:pStyle w:val="24"/>
              <w:ind w:firstLine="0" w:firstLineChars="0"/>
              <w:jc w:val="center"/>
              <w:rPr>
                <w:rFonts w:ascii="Times New Roman"/>
                <w:b/>
                <w:sz w:val="18"/>
                <w:szCs w:val="18"/>
                <w:highlight w:val="none"/>
              </w:rPr>
            </w:pPr>
            <w:r>
              <w:rPr>
                <w:rFonts w:ascii="Times New Roman"/>
                <w:b/>
                <w:sz w:val="18"/>
                <w:szCs w:val="18"/>
                <w:highlight w:val="none"/>
              </w:rPr>
              <w:t>考核指标</w:t>
            </w:r>
          </w:p>
        </w:tc>
      </w:tr>
      <w:tr w14:paraId="1BE4A5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59" w:type="dxa"/>
            <w:vAlign w:val="center"/>
          </w:tcPr>
          <w:p w14:paraId="1A92744C">
            <w:pPr>
              <w:pStyle w:val="24"/>
              <w:ind w:firstLine="0" w:firstLineChars="0"/>
              <w:jc w:val="center"/>
              <w:rPr>
                <w:rFonts w:ascii="Times New Roman"/>
                <w:sz w:val="18"/>
                <w:szCs w:val="18"/>
                <w:highlight w:val="none"/>
              </w:rPr>
            </w:pPr>
            <w:r>
              <w:rPr>
                <w:rFonts w:ascii="Times New Roman"/>
                <w:sz w:val="18"/>
                <w:szCs w:val="18"/>
                <w:highlight w:val="none"/>
              </w:rPr>
              <w:t>通信稳定性</w:t>
            </w:r>
          </w:p>
        </w:tc>
        <w:tc>
          <w:tcPr>
            <w:tcW w:w="7371" w:type="dxa"/>
          </w:tcPr>
          <w:p w14:paraId="7F844786">
            <w:pPr>
              <w:pStyle w:val="24"/>
              <w:ind w:firstLine="0" w:firstLineChars="0"/>
              <w:rPr>
                <w:rFonts w:ascii="Times New Roman"/>
                <w:sz w:val="18"/>
                <w:szCs w:val="18"/>
                <w:highlight w:val="none"/>
              </w:rPr>
            </w:pPr>
            <w:r>
              <w:rPr>
                <w:rFonts w:ascii="Times New Roman"/>
                <w:sz w:val="18"/>
                <w:szCs w:val="18"/>
                <w:highlight w:val="none"/>
              </w:rPr>
              <w:t>1．现场机在线率为90%以上；</w:t>
            </w:r>
          </w:p>
          <w:p w14:paraId="10B8CE34">
            <w:pPr>
              <w:pStyle w:val="24"/>
              <w:ind w:firstLine="0" w:firstLineChars="0"/>
              <w:rPr>
                <w:rFonts w:ascii="Times New Roman"/>
                <w:sz w:val="18"/>
                <w:szCs w:val="18"/>
                <w:highlight w:val="none"/>
              </w:rPr>
            </w:pPr>
            <w:r>
              <w:rPr>
                <w:rFonts w:ascii="Times New Roman"/>
                <w:sz w:val="18"/>
                <w:szCs w:val="18"/>
                <w:highlight w:val="none"/>
              </w:rPr>
              <w:t>2．正常情况下，掉线后，应在5</w:t>
            </w:r>
            <w:r>
              <w:rPr>
                <w:rFonts w:hint="eastAsia" w:ascii="Times New Roman"/>
                <w:sz w:val="18"/>
                <w:szCs w:val="18"/>
                <w:highlight w:val="none"/>
                <w:lang w:val="en-US" w:eastAsia="zh-CN"/>
              </w:rPr>
              <w:t>分钟</w:t>
            </w:r>
            <w:r>
              <w:rPr>
                <w:rFonts w:ascii="Times New Roman"/>
                <w:sz w:val="18"/>
                <w:szCs w:val="18"/>
                <w:highlight w:val="none"/>
              </w:rPr>
              <w:t>之内重新上线；</w:t>
            </w:r>
          </w:p>
          <w:p w14:paraId="1CCB515F">
            <w:pPr>
              <w:pStyle w:val="24"/>
              <w:ind w:firstLine="0" w:firstLineChars="0"/>
              <w:rPr>
                <w:rFonts w:ascii="Times New Roman"/>
                <w:sz w:val="18"/>
                <w:szCs w:val="18"/>
                <w:highlight w:val="none"/>
              </w:rPr>
            </w:pPr>
            <w:r>
              <w:rPr>
                <w:rFonts w:ascii="Times New Roman"/>
                <w:sz w:val="18"/>
                <w:szCs w:val="18"/>
                <w:highlight w:val="none"/>
              </w:rPr>
              <w:t>3．单台数据采集传输仪每日掉线次数在5次以内；</w:t>
            </w:r>
          </w:p>
          <w:p w14:paraId="3EFD70FE">
            <w:pPr>
              <w:pStyle w:val="24"/>
              <w:ind w:firstLine="0" w:firstLineChars="0"/>
              <w:rPr>
                <w:rFonts w:ascii="Times New Roman"/>
                <w:sz w:val="18"/>
                <w:szCs w:val="18"/>
                <w:highlight w:val="none"/>
              </w:rPr>
            </w:pPr>
            <w:r>
              <w:rPr>
                <w:rFonts w:ascii="Times New Roman"/>
                <w:sz w:val="18"/>
                <w:szCs w:val="18"/>
                <w:highlight w:val="none"/>
              </w:rPr>
              <w:t>4．报文传输稳定性在99%以上，当出现报文错误或丢失时，启动纠错逻辑，要求数据采集传输仪重新发送报文。</w:t>
            </w:r>
          </w:p>
        </w:tc>
      </w:tr>
      <w:tr w14:paraId="31D29F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59" w:type="dxa"/>
            <w:vAlign w:val="center"/>
          </w:tcPr>
          <w:p w14:paraId="2D9CC954">
            <w:pPr>
              <w:pStyle w:val="24"/>
              <w:ind w:firstLine="0" w:firstLineChars="0"/>
              <w:jc w:val="center"/>
              <w:rPr>
                <w:rFonts w:ascii="Times New Roman"/>
                <w:sz w:val="18"/>
                <w:szCs w:val="18"/>
                <w:highlight w:val="none"/>
              </w:rPr>
            </w:pPr>
            <w:r>
              <w:rPr>
                <w:rFonts w:ascii="Times New Roman"/>
                <w:sz w:val="18"/>
                <w:szCs w:val="18"/>
                <w:highlight w:val="none"/>
              </w:rPr>
              <w:t>数据传输安全性</w:t>
            </w:r>
          </w:p>
        </w:tc>
        <w:tc>
          <w:tcPr>
            <w:tcW w:w="7371" w:type="dxa"/>
          </w:tcPr>
          <w:p w14:paraId="72E45AAD">
            <w:pPr>
              <w:pStyle w:val="24"/>
              <w:ind w:firstLine="0" w:firstLineChars="0"/>
              <w:rPr>
                <w:rFonts w:ascii="Times New Roman"/>
                <w:sz w:val="18"/>
                <w:szCs w:val="18"/>
                <w:highlight w:val="none"/>
              </w:rPr>
            </w:pPr>
            <w:r>
              <w:rPr>
                <w:rFonts w:ascii="Times New Roman"/>
                <w:sz w:val="18"/>
                <w:szCs w:val="18"/>
                <w:highlight w:val="none"/>
              </w:rPr>
              <w:t>1．对所传输的数据应按照HJ 212中规定的加密方法进行处理，保证数据传输的安全性；</w:t>
            </w:r>
          </w:p>
          <w:p w14:paraId="3D77A3C5">
            <w:pPr>
              <w:pStyle w:val="24"/>
              <w:ind w:firstLine="0" w:firstLineChars="0"/>
              <w:rPr>
                <w:rFonts w:ascii="Times New Roman"/>
                <w:sz w:val="18"/>
                <w:szCs w:val="18"/>
                <w:highlight w:val="none"/>
              </w:rPr>
            </w:pPr>
            <w:r>
              <w:rPr>
                <w:rFonts w:ascii="Times New Roman"/>
                <w:sz w:val="18"/>
                <w:szCs w:val="18"/>
                <w:highlight w:val="none"/>
              </w:rPr>
              <w:t>2．服务器端对请求连接的客户端进行身份验证。</w:t>
            </w:r>
          </w:p>
        </w:tc>
      </w:tr>
      <w:tr w14:paraId="384904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59" w:type="dxa"/>
            <w:vAlign w:val="center"/>
          </w:tcPr>
          <w:p w14:paraId="7839D5EE">
            <w:pPr>
              <w:pStyle w:val="24"/>
              <w:ind w:firstLine="0" w:firstLineChars="0"/>
              <w:jc w:val="center"/>
              <w:rPr>
                <w:rFonts w:ascii="Times New Roman"/>
                <w:sz w:val="18"/>
                <w:szCs w:val="18"/>
                <w:highlight w:val="none"/>
              </w:rPr>
            </w:pPr>
            <w:r>
              <w:rPr>
                <w:rFonts w:ascii="Times New Roman"/>
                <w:sz w:val="18"/>
                <w:szCs w:val="18"/>
                <w:highlight w:val="none"/>
              </w:rPr>
              <w:t>通信协议正确性</w:t>
            </w:r>
          </w:p>
        </w:tc>
        <w:tc>
          <w:tcPr>
            <w:tcW w:w="7371" w:type="dxa"/>
          </w:tcPr>
          <w:p w14:paraId="5DD10F68">
            <w:pPr>
              <w:pStyle w:val="24"/>
              <w:ind w:firstLine="0" w:firstLineChars="0"/>
              <w:rPr>
                <w:rFonts w:ascii="Times New Roman"/>
                <w:sz w:val="18"/>
                <w:szCs w:val="18"/>
                <w:highlight w:val="none"/>
              </w:rPr>
            </w:pPr>
            <w:r>
              <w:rPr>
                <w:rFonts w:ascii="Times New Roman"/>
                <w:sz w:val="18"/>
                <w:szCs w:val="18"/>
                <w:highlight w:val="none"/>
              </w:rPr>
              <w:t>现场机和上位机的通信协议应符合HJ 212中的相关规定，正确率100%。</w:t>
            </w:r>
          </w:p>
        </w:tc>
      </w:tr>
      <w:tr w14:paraId="5CA69B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59" w:type="dxa"/>
            <w:vAlign w:val="center"/>
          </w:tcPr>
          <w:p w14:paraId="642CC5C1">
            <w:pPr>
              <w:pStyle w:val="24"/>
              <w:ind w:firstLine="0" w:firstLineChars="0"/>
              <w:jc w:val="center"/>
              <w:rPr>
                <w:rFonts w:ascii="Times New Roman"/>
                <w:sz w:val="18"/>
                <w:szCs w:val="18"/>
                <w:highlight w:val="none"/>
              </w:rPr>
            </w:pPr>
            <w:r>
              <w:rPr>
                <w:rFonts w:ascii="Times New Roman"/>
                <w:sz w:val="18"/>
                <w:szCs w:val="18"/>
                <w:highlight w:val="none"/>
              </w:rPr>
              <w:t>数据传输正确性</w:t>
            </w:r>
          </w:p>
        </w:tc>
        <w:tc>
          <w:tcPr>
            <w:tcW w:w="7371" w:type="dxa"/>
          </w:tcPr>
          <w:p w14:paraId="24AB59F4">
            <w:pPr>
              <w:pStyle w:val="24"/>
              <w:ind w:firstLine="0" w:firstLineChars="0"/>
              <w:rPr>
                <w:rFonts w:ascii="Times New Roman"/>
                <w:sz w:val="18"/>
                <w:szCs w:val="18"/>
                <w:highlight w:val="none"/>
              </w:rPr>
            </w:pPr>
            <w:r>
              <w:rPr>
                <w:rFonts w:ascii="Times New Roman"/>
                <w:sz w:val="18"/>
                <w:szCs w:val="18"/>
                <w:highlight w:val="none"/>
              </w:rPr>
              <w:t>随机抽取试运行期间7d的监测数据，对比上位机接收到的数据和现场机存储的数据，数据传输正确率应</w:t>
            </w:r>
            <w:r>
              <w:rPr>
                <w:rFonts w:hint="eastAsia" w:ascii="仿宋_GB2312" w:hAnsi="仿宋_GB2312" w:eastAsia="仿宋_GB2312" w:cs="仿宋_GB2312"/>
                <w:sz w:val="18"/>
                <w:szCs w:val="18"/>
                <w:highlight w:val="none"/>
              </w:rPr>
              <w:t>≥</w:t>
            </w:r>
            <w:r>
              <w:rPr>
                <w:rFonts w:ascii="Times New Roman"/>
                <w:sz w:val="18"/>
                <w:szCs w:val="18"/>
                <w:highlight w:val="none"/>
              </w:rPr>
              <w:t>95%。</w:t>
            </w:r>
          </w:p>
        </w:tc>
      </w:tr>
      <w:tr w14:paraId="41D41E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59" w:type="dxa"/>
            <w:vAlign w:val="center"/>
          </w:tcPr>
          <w:p w14:paraId="7E9A8213">
            <w:pPr>
              <w:pStyle w:val="24"/>
              <w:ind w:firstLine="0" w:firstLineChars="0"/>
              <w:jc w:val="center"/>
              <w:rPr>
                <w:rFonts w:ascii="Times New Roman"/>
                <w:sz w:val="18"/>
                <w:szCs w:val="18"/>
                <w:highlight w:val="none"/>
              </w:rPr>
            </w:pPr>
            <w:r>
              <w:rPr>
                <w:rFonts w:ascii="Times New Roman"/>
                <w:sz w:val="18"/>
                <w:szCs w:val="18"/>
                <w:highlight w:val="none"/>
              </w:rPr>
              <w:t>联网稳定性</w:t>
            </w:r>
          </w:p>
        </w:tc>
        <w:tc>
          <w:tcPr>
            <w:tcW w:w="7371" w:type="dxa"/>
          </w:tcPr>
          <w:p w14:paraId="087D167B">
            <w:pPr>
              <w:pStyle w:val="24"/>
              <w:ind w:firstLine="0" w:firstLineChars="0"/>
              <w:rPr>
                <w:rFonts w:ascii="Times New Roman"/>
                <w:sz w:val="18"/>
                <w:szCs w:val="18"/>
                <w:highlight w:val="none"/>
              </w:rPr>
            </w:pPr>
            <w:r>
              <w:rPr>
                <w:rFonts w:ascii="Times New Roman"/>
                <w:sz w:val="18"/>
                <w:szCs w:val="18"/>
                <w:highlight w:val="none"/>
              </w:rPr>
              <w:t>在连续一个月内，不出现除通信稳定性、数据传输正确性以外的其他联网问题。</w:t>
            </w:r>
          </w:p>
        </w:tc>
      </w:tr>
    </w:tbl>
    <w:p w14:paraId="01A91928">
      <w:pPr>
        <w:pStyle w:val="30"/>
        <w:numPr>
          <w:ilvl w:val="3"/>
          <w:numId w:val="1"/>
        </w:numPr>
        <w:jc w:val="both"/>
        <w:rPr>
          <w:highlight w:val="none"/>
        </w:rPr>
      </w:pPr>
      <w:r>
        <w:rPr>
          <w:rFonts w:hint="eastAsia"/>
          <w:highlight w:val="none"/>
        </w:rPr>
        <w:t>相关制度、记录和档案验收</w:t>
      </w:r>
    </w:p>
    <w:p w14:paraId="4F36CC40">
      <w:pPr>
        <w:pStyle w:val="24"/>
        <w:rPr>
          <w:rFonts w:ascii="Times New Roman"/>
          <w:highlight w:val="none"/>
        </w:rPr>
      </w:pPr>
      <w:r>
        <w:rPr>
          <w:rFonts w:ascii="Times New Roman"/>
          <w:highlight w:val="none"/>
        </w:rPr>
        <w:t>相关制度、记录和档案验收要求如下：</w:t>
      </w:r>
    </w:p>
    <w:p w14:paraId="0446A05A">
      <w:pPr>
        <w:pStyle w:val="30"/>
        <w:numPr>
          <w:ilvl w:val="1"/>
          <w:numId w:val="9"/>
        </w:numPr>
        <w:ind w:left="0" w:firstLine="420" w:firstLineChars="200"/>
        <w:jc w:val="both"/>
        <w:rPr>
          <w:highlight w:val="none"/>
        </w:rPr>
      </w:pPr>
      <w:r>
        <w:rPr>
          <w:highlight w:val="none"/>
        </w:rPr>
        <w:t>仪器操作和使用制度，包括仪器使用管理说明、系统运行操作规程等；</w:t>
      </w:r>
    </w:p>
    <w:p w14:paraId="24824742">
      <w:pPr>
        <w:pStyle w:val="30"/>
        <w:numPr>
          <w:ilvl w:val="1"/>
          <w:numId w:val="9"/>
        </w:numPr>
        <w:ind w:left="0" w:firstLine="420" w:firstLineChars="200"/>
        <w:jc w:val="both"/>
        <w:rPr>
          <w:highlight w:val="none"/>
        </w:rPr>
      </w:pPr>
      <w:r>
        <w:rPr>
          <w:highlight w:val="none"/>
        </w:rPr>
        <w:t>仪器质量保证和质量控制计划，包括日常巡检、定期维护、定期校验及校准、易损易耗品定期检查及更换等制度和相关记录；</w:t>
      </w:r>
    </w:p>
    <w:p w14:paraId="34F4690C">
      <w:pPr>
        <w:pStyle w:val="30"/>
        <w:numPr>
          <w:ilvl w:val="1"/>
          <w:numId w:val="9"/>
        </w:numPr>
        <w:ind w:left="0" w:firstLine="420" w:firstLineChars="200"/>
        <w:jc w:val="both"/>
        <w:rPr>
          <w:highlight w:val="none"/>
        </w:rPr>
      </w:pPr>
      <w:r>
        <w:rPr>
          <w:highlight w:val="none"/>
        </w:rPr>
        <w:t>仪器档案，包括仪器说明书、辅助器材及备品备件清单等档案。</w:t>
      </w:r>
    </w:p>
    <w:p w14:paraId="1F6EC26F">
      <w:pPr>
        <w:pStyle w:val="30"/>
        <w:ind w:left="0"/>
        <w:jc w:val="both"/>
        <w:rPr>
          <w:highlight w:val="none"/>
        </w:rPr>
      </w:pPr>
      <w:r>
        <w:rPr>
          <w:rFonts w:hint="eastAsia"/>
          <w:highlight w:val="none"/>
        </w:rPr>
        <w:t>验收报告</w:t>
      </w:r>
    </w:p>
    <w:p w14:paraId="7725E454">
      <w:pPr>
        <w:pStyle w:val="24"/>
        <w:rPr>
          <w:rFonts w:ascii="Times New Roman"/>
          <w:highlight w:val="none"/>
        </w:rPr>
      </w:pPr>
      <w:r>
        <w:rPr>
          <w:rFonts w:ascii="Times New Roman"/>
          <w:highlight w:val="none"/>
        </w:rPr>
        <w:t>验收报告应附安装调试报告、试运行报告和联网证明。</w:t>
      </w:r>
    </w:p>
    <w:p w14:paraId="03B559B7">
      <w:pPr>
        <w:pStyle w:val="28"/>
        <w:rPr>
          <w:rFonts w:ascii="Times New Roman"/>
          <w:highlight w:val="none"/>
        </w:rPr>
      </w:pPr>
      <w:bookmarkStart w:id="101" w:name="_Toc19809"/>
      <w:bookmarkStart w:id="102" w:name="_Toc31852"/>
      <w:bookmarkStart w:id="103" w:name="_Toc4590"/>
      <w:r>
        <w:rPr>
          <w:rFonts w:hint="eastAsia"/>
          <w:highlight w:val="none"/>
        </w:rPr>
        <w:t>系统日常维护</w:t>
      </w:r>
      <w:bookmarkEnd w:id="101"/>
      <w:bookmarkEnd w:id="102"/>
      <w:bookmarkEnd w:id="103"/>
    </w:p>
    <w:p w14:paraId="5F3F63DF">
      <w:pPr>
        <w:pStyle w:val="29"/>
        <w:tabs>
          <w:tab w:val="center" w:pos="4201"/>
          <w:tab w:val="right" w:leader="dot" w:pos="9298"/>
        </w:tabs>
        <w:jc w:val="both"/>
        <w:rPr>
          <w:highlight w:val="none"/>
        </w:rPr>
      </w:pPr>
      <w:bookmarkStart w:id="104" w:name="_Toc24352"/>
      <w:bookmarkStart w:id="105" w:name="_Toc128642760"/>
      <w:r>
        <w:rPr>
          <w:rFonts w:hint="eastAsia"/>
          <w:highlight w:val="none"/>
        </w:rPr>
        <w:t>基本要求</w:t>
      </w:r>
      <w:bookmarkEnd w:id="104"/>
      <w:bookmarkEnd w:id="105"/>
    </w:p>
    <w:p w14:paraId="1DE74A2A">
      <w:pPr>
        <w:pStyle w:val="30"/>
        <w:ind w:left="0"/>
        <w:jc w:val="both"/>
        <w:rPr>
          <w:highlight w:val="none"/>
        </w:rPr>
      </w:pPr>
      <w:r>
        <w:rPr>
          <w:highlight w:val="none"/>
        </w:rPr>
        <w:t>温室气体高精度自动监测仪器应全年365天连续运行，如出现故障等应采取有效措施及时恢复运行。</w:t>
      </w:r>
    </w:p>
    <w:p w14:paraId="4D14F32A">
      <w:pPr>
        <w:pStyle w:val="30"/>
        <w:ind w:left="0"/>
        <w:jc w:val="both"/>
        <w:rPr>
          <w:highlight w:val="none"/>
        </w:rPr>
      </w:pPr>
      <w:r>
        <w:rPr>
          <w:highlight w:val="none"/>
        </w:rPr>
        <w:t>监测仪器主要技术参数应与仪器说明书要求和系统安装验收时的设置值保持一致。如确需对主要技术参数进行调整应开展参数调整试验和仪器性能测试，记录测试结果并编制参数调整测试报告。</w:t>
      </w:r>
    </w:p>
    <w:p w14:paraId="37C17E28">
      <w:pPr>
        <w:pStyle w:val="29"/>
        <w:tabs>
          <w:tab w:val="center" w:pos="4201"/>
          <w:tab w:val="right" w:leader="dot" w:pos="9298"/>
        </w:tabs>
        <w:jc w:val="both"/>
        <w:rPr>
          <w:highlight w:val="none"/>
        </w:rPr>
      </w:pPr>
      <w:bookmarkStart w:id="106" w:name="_Toc128642761"/>
      <w:bookmarkStart w:id="107" w:name="_Toc17187"/>
      <w:r>
        <w:rPr>
          <w:rFonts w:hint="eastAsia"/>
          <w:highlight w:val="none"/>
        </w:rPr>
        <w:t>仪器操作维护</w:t>
      </w:r>
      <w:bookmarkEnd w:id="106"/>
      <w:bookmarkEnd w:id="107"/>
    </w:p>
    <w:p w14:paraId="15118D97">
      <w:pPr>
        <w:pStyle w:val="30"/>
        <w:ind w:left="0"/>
        <w:jc w:val="both"/>
        <w:rPr>
          <w:highlight w:val="none"/>
        </w:rPr>
      </w:pPr>
      <w:r>
        <w:rPr>
          <w:rFonts w:hint="eastAsia"/>
          <w:highlight w:val="none"/>
        </w:rPr>
        <w:t>监测站房及辅助设备日常巡检</w:t>
      </w:r>
    </w:p>
    <w:p w14:paraId="5D719127">
      <w:pPr>
        <w:pStyle w:val="30"/>
        <w:numPr>
          <w:ilvl w:val="3"/>
          <w:numId w:val="1"/>
        </w:numPr>
        <w:jc w:val="both"/>
        <w:rPr>
          <w:highlight w:val="none"/>
        </w:rPr>
      </w:pPr>
      <w:r>
        <w:rPr>
          <w:highlight w:val="none"/>
        </w:rPr>
        <w:t>对子站站房及辅助设备定期巡检，每周至少巡检1次</w:t>
      </w:r>
      <w:r>
        <w:rPr>
          <w:rFonts w:hint="eastAsia"/>
          <w:highlight w:val="none"/>
        </w:rPr>
        <w:t>。</w:t>
      </w:r>
    </w:p>
    <w:p w14:paraId="68DA60F4">
      <w:pPr>
        <w:pStyle w:val="30"/>
        <w:numPr>
          <w:ilvl w:val="3"/>
          <w:numId w:val="1"/>
        </w:numPr>
        <w:jc w:val="both"/>
        <w:rPr>
          <w:highlight w:val="none"/>
        </w:rPr>
      </w:pPr>
      <w:r>
        <w:rPr>
          <w:highlight w:val="none"/>
        </w:rPr>
        <w:t>检查站房内温度是否保持在25℃</w:t>
      </w:r>
      <w:r>
        <w:rPr>
          <w:rFonts w:hint="eastAsia" w:asciiTheme="majorEastAsia" w:hAnsiTheme="majorEastAsia" w:eastAsiaTheme="majorEastAsia" w:cstheme="majorEastAsia"/>
          <w:highlight w:val="none"/>
        </w:rPr>
        <w:t>±</w:t>
      </w:r>
      <w:r>
        <w:rPr>
          <w:highlight w:val="none"/>
        </w:rPr>
        <w:t>5℃</w:t>
      </w:r>
      <w:r>
        <w:rPr>
          <w:rFonts w:hint="eastAsia"/>
          <w:highlight w:val="none"/>
          <w:lang w:eastAsia="zh-CN"/>
        </w:rPr>
        <w:t>（</w:t>
      </w:r>
      <w:r>
        <w:rPr>
          <w:highlight w:val="none"/>
        </w:rPr>
        <w:t>建议24小时变化幅度不超过2</w:t>
      </w:r>
      <w:r>
        <w:rPr>
          <w:rFonts w:hint="eastAsia"/>
          <w:highlight w:val="none"/>
          <w:lang w:val="en-US" w:eastAsia="zh-CN"/>
        </w:rPr>
        <w:t>℃</w:t>
      </w:r>
      <w:r>
        <w:rPr>
          <w:rFonts w:hint="eastAsia"/>
          <w:highlight w:val="none"/>
          <w:lang w:eastAsia="zh-CN"/>
        </w:rPr>
        <w:t>）</w:t>
      </w:r>
      <w:r>
        <w:rPr>
          <w:rFonts w:hint="eastAsia"/>
          <w:highlight w:val="none"/>
          <w:lang w:val="en-US" w:eastAsia="zh-CN"/>
        </w:rPr>
        <w:t>，</w:t>
      </w:r>
      <w:r>
        <w:rPr>
          <w:highlight w:val="none"/>
        </w:rPr>
        <w:t>相对湿度保持在80%以下。在冬、夏季节应注意站房内外温差，及时调整站房温度或对采样管采取适当的温控措施，防止因温差造成采样装置出现冷凝水的现象。</w:t>
      </w:r>
    </w:p>
    <w:p w14:paraId="1CC65E0A">
      <w:pPr>
        <w:pStyle w:val="30"/>
        <w:numPr>
          <w:ilvl w:val="3"/>
          <w:numId w:val="1"/>
        </w:numPr>
        <w:jc w:val="both"/>
        <w:rPr>
          <w:highlight w:val="none"/>
        </w:rPr>
      </w:pPr>
      <w:r>
        <w:rPr>
          <w:highlight w:val="none"/>
        </w:rPr>
        <w:t>检查采样管进气、排气是否正常。检查抽气泵工作是否正常。若配有阀箱，应检查阀箱是否正常，多口阀切换是否正常。</w:t>
      </w:r>
    </w:p>
    <w:p w14:paraId="0112609B">
      <w:pPr>
        <w:pStyle w:val="30"/>
        <w:numPr>
          <w:ilvl w:val="3"/>
          <w:numId w:val="1"/>
        </w:numPr>
        <w:jc w:val="both"/>
        <w:rPr>
          <w:highlight w:val="none"/>
        </w:rPr>
      </w:pPr>
      <w:r>
        <w:rPr>
          <w:highlight w:val="none"/>
        </w:rPr>
        <w:t>检查站房排风排气装置工作是否正常。</w:t>
      </w:r>
    </w:p>
    <w:p w14:paraId="3910CBE9">
      <w:pPr>
        <w:pStyle w:val="30"/>
        <w:numPr>
          <w:ilvl w:val="3"/>
          <w:numId w:val="1"/>
        </w:numPr>
        <w:jc w:val="both"/>
        <w:rPr>
          <w:highlight w:val="none"/>
        </w:rPr>
      </w:pPr>
      <w:r>
        <w:rPr>
          <w:highlight w:val="none"/>
        </w:rPr>
        <w:t>检查标气瓶是否漏气，检查标气消耗情况，压力值接近500psi时需更换标气瓶。检查标气瓶二级分压是否在正常范围（一般在15psi</w:t>
      </w:r>
      <w:r>
        <w:rPr>
          <w:rFonts w:hint="eastAsia"/>
          <w:highlight w:val="none"/>
          <w:lang w:eastAsia="zh-CN"/>
        </w:rPr>
        <w:t>～</w:t>
      </w:r>
      <w:r>
        <w:rPr>
          <w:highlight w:val="none"/>
        </w:rPr>
        <w:t>20psi）内，并与样气进样压力保持一致。若分析仪测量水汽浓度，则应检查标气水汽浓度值（一般在0</w:t>
      </w:r>
      <w:r>
        <w:rPr>
          <w:rFonts w:hint="eastAsia"/>
          <w:highlight w:val="none"/>
          <w:lang w:eastAsia="zh-CN"/>
        </w:rPr>
        <w:t>%～</w:t>
      </w:r>
      <w:r>
        <w:rPr>
          <w:highlight w:val="none"/>
        </w:rPr>
        <w:t>0.008%）如出现水汽浓度值显著增高应检查瓶阀、管路、进样系统是否漏气。</w:t>
      </w:r>
    </w:p>
    <w:p w14:paraId="546B8CED">
      <w:pPr>
        <w:pStyle w:val="30"/>
        <w:numPr>
          <w:ilvl w:val="3"/>
          <w:numId w:val="1"/>
        </w:numPr>
        <w:jc w:val="both"/>
        <w:rPr>
          <w:highlight w:val="none"/>
        </w:rPr>
      </w:pPr>
      <w:r>
        <w:rPr>
          <w:highlight w:val="none"/>
        </w:rPr>
        <w:t>检查数据采集、传输与网络通讯是否正常。</w:t>
      </w:r>
    </w:p>
    <w:p w14:paraId="3D0A38E3">
      <w:pPr>
        <w:pStyle w:val="30"/>
        <w:numPr>
          <w:ilvl w:val="3"/>
          <w:numId w:val="1"/>
        </w:numPr>
        <w:jc w:val="both"/>
        <w:rPr>
          <w:highlight w:val="none"/>
        </w:rPr>
      </w:pPr>
      <w:r>
        <w:rPr>
          <w:highlight w:val="none"/>
        </w:rPr>
        <w:t>检查各种运维工具、仪器耗材、备件是否完好齐全。</w:t>
      </w:r>
    </w:p>
    <w:p w14:paraId="4C353FAB">
      <w:pPr>
        <w:pStyle w:val="30"/>
        <w:numPr>
          <w:ilvl w:val="3"/>
          <w:numId w:val="1"/>
        </w:numPr>
        <w:jc w:val="both"/>
        <w:rPr>
          <w:highlight w:val="none"/>
        </w:rPr>
      </w:pPr>
      <w:r>
        <w:rPr>
          <w:highlight w:val="none"/>
        </w:rPr>
        <w:t>检查空调、电源等辅助设备的运行状况是否正常，检查站房空调机的过滤网是否清洁，必要时进行清洗。</w:t>
      </w:r>
    </w:p>
    <w:p w14:paraId="31D86FD8">
      <w:pPr>
        <w:pStyle w:val="30"/>
        <w:numPr>
          <w:ilvl w:val="3"/>
          <w:numId w:val="1"/>
        </w:numPr>
        <w:jc w:val="both"/>
        <w:rPr>
          <w:highlight w:val="none"/>
        </w:rPr>
      </w:pPr>
      <w:r>
        <w:rPr>
          <w:highlight w:val="none"/>
        </w:rPr>
        <w:t>检查各种消防、安全设施是否完好齐全。</w:t>
      </w:r>
    </w:p>
    <w:p w14:paraId="56D654BB">
      <w:pPr>
        <w:pStyle w:val="30"/>
        <w:numPr>
          <w:ilvl w:val="3"/>
          <w:numId w:val="1"/>
        </w:numPr>
        <w:jc w:val="both"/>
        <w:rPr>
          <w:highlight w:val="none"/>
        </w:rPr>
      </w:pPr>
      <w:r>
        <w:rPr>
          <w:highlight w:val="none"/>
        </w:rPr>
        <w:t>对站房周围的杂草和积水应及时清除对站房周围的杂草和积水应及时清除，对监测有影响的树枝应及时进行剪除。</w:t>
      </w:r>
    </w:p>
    <w:p w14:paraId="6C316478">
      <w:pPr>
        <w:pStyle w:val="30"/>
        <w:numPr>
          <w:ilvl w:val="3"/>
          <w:numId w:val="1"/>
        </w:numPr>
        <w:jc w:val="both"/>
        <w:rPr>
          <w:highlight w:val="none"/>
        </w:rPr>
      </w:pPr>
      <w:r>
        <w:rPr>
          <w:rFonts w:hint="eastAsia"/>
          <w:highlight w:val="none"/>
        </w:rPr>
        <w:t>检查避雷设施是否检查避雷设施是否正常，子站房屋是否有漏雨现象，子站房屋是否有漏雨现象。</w:t>
      </w:r>
    </w:p>
    <w:p w14:paraId="3DE82F81">
      <w:pPr>
        <w:pStyle w:val="30"/>
        <w:numPr>
          <w:ilvl w:val="3"/>
          <w:numId w:val="1"/>
        </w:numPr>
        <w:jc w:val="both"/>
        <w:rPr>
          <w:highlight w:val="none"/>
        </w:rPr>
      </w:pPr>
      <w:r>
        <w:rPr>
          <w:rFonts w:hint="eastAsia"/>
          <w:highlight w:val="none"/>
        </w:rPr>
        <w:t>每年检查采样塔、每年检查采样塔、采样管线等辅助设施。</w:t>
      </w:r>
    </w:p>
    <w:p w14:paraId="0F732E86">
      <w:pPr>
        <w:pStyle w:val="30"/>
        <w:numPr>
          <w:ilvl w:val="3"/>
          <w:numId w:val="1"/>
        </w:numPr>
        <w:jc w:val="both"/>
        <w:rPr>
          <w:highlight w:val="none"/>
        </w:rPr>
      </w:pPr>
      <w:r>
        <w:rPr>
          <w:rFonts w:hint="eastAsia"/>
          <w:highlight w:val="none"/>
        </w:rPr>
        <w:t>记录巡检情况。</w:t>
      </w:r>
    </w:p>
    <w:p w14:paraId="50CC892B">
      <w:pPr>
        <w:pStyle w:val="30"/>
        <w:ind w:left="0"/>
        <w:jc w:val="both"/>
        <w:rPr>
          <w:highlight w:val="none"/>
        </w:rPr>
      </w:pPr>
      <w:r>
        <w:rPr>
          <w:rFonts w:hint="eastAsia"/>
          <w:highlight w:val="none"/>
        </w:rPr>
        <w:t>监测仪器日常维护</w:t>
      </w:r>
    </w:p>
    <w:p w14:paraId="51B72331">
      <w:pPr>
        <w:pStyle w:val="30"/>
        <w:numPr>
          <w:ilvl w:val="3"/>
          <w:numId w:val="1"/>
        </w:numPr>
        <w:jc w:val="both"/>
        <w:rPr>
          <w:highlight w:val="none"/>
        </w:rPr>
      </w:pPr>
      <w:r>
        <w:rPr>
          <w:rFonts w:hint="eastAsia"/>
          <w:highlight w:val="none"/>
        </w:rPr>
        <w:t>应对监测子站的仪器设备进行定期维护。</w:t>
      </w:r>
    </w:p>
    <w:p w14:paraId="79CDF034">
      <w:pPr>
        <w:pStyle w:val="30"/>
        <w:numPr>
          <w:ilvl w:val="3"/>
          <w:numId w:val="1"/>
        </w:numPr>
        <w:jc w:val="both"/>
        <w:rPr>
          <w:highlight w:val="none"/>
        </w:rPr>
      </w:pPr>
      <w:r>
        <w:rPr>
          <w:rFonts w:hint="eastAsia"/>
          <w:highlight w:val="none"/>
        </w:rPr>
        <w:t>每日远程查看监测数据及仪器工作状态参数，发现异常时，应及时至现场进行故障检测及排除。</w:t>
      </w:r>
    </w:p>
    <w:p w14:paraId="6C850030">
      <w:pPr>
        <w:pStyle w:val="30"/>
        <w:numPr>
          <w:ilvl w:val="3"/>
          <w:numId w:val="1"/>
        </w:numPr>
        <w:jc w:val="both"/>
        <w:rPr>
          <w:highlight w:val="none"/>
        </w:rPr>
      </w:pPr>
      <w:r>
        <w:rPr>
          <w:rFonts w:hint="eastAsia"/>
          <w:highlight w:val="none"/>
        </w:rPr>
        <w:t>每周进行仪器、数据采集系统时钟检查，确保时钟偏差不超过30秒。应注意时区设置情况，监测仪器可使用自带时区，数据采集系统应使用北京时区。</w:t>
      </w:r>
    </w:p>
    <w:p w14:paraId="456510AC">
      <w:pPr>
        <w:pStyle w:val="30"/>
        <w:numPr>
          <w:ilvl w:val="3"/>
          <w:numId w:val="1"/>
        </w:numPr>
        <w:jc w:val="both"/>
        <w:rPr>
          <w:highlight w:val="none"/>
        </w:rPr>
      </w:pPr>
      <w:r>
        <w:rPr>
          <w:rFonts w:hint="eastAsia"/>
          <w:highlight w:val="none"/>
        </w:rPr>
        <w:t>每周检查仪器配备的干燥系统等，包括设备工作状态参数、干燥后水汽浓度、耗材使用情况、积水情况等，及时维护、更换耗材。</w:t>
      </w:r>
    </w:p>
    <w:p w14:paraId="513D6B3A">
      <w:pPr>
        <w:pStyle w:val="30"/>
        <w:numPr>
          <w:ilvl w:val="3"/>
          <w:numId w:val="1"/>
        </w:numPr>
        <w:jc w:val="both"/>
        <w:rPr>
          <w:highlight w:val="none"/>
        </w:rPr>
      </w:pPr>
      <w:r>
        <w:rPr>
          <w:rFonts w:hint="eastAsia"/>
          <w:highlight w:val="none"/>
        </w:rPr>
        <w:t>每季度检查抽气泵泵膜、阀片，必要时更换；每年至少更换1次。</w:t>
      </w:r>
    </w:p>
    <w:p w14:paraId="3C477A9E">
      <w:pPr>
        <w:pStyle w:val="30"/>
        <w:numPr>
          <w:ilvl w:val="3"/>
          <w:numId w:val="1"/>
        </w:numPr>
        <w:jc w:val="both"/>
        <w:rPr>
          <w:highlight w:val="none"/>
        </w:rPr>
      </w:pPr>
      <w:r>
        <w:rPr>
          <w:rFonts w:hint="eastAsia"/>
          <w:highlight w:val="none"/>
        </w:rPr>
        <w:t>每季度使用检漏液对气路正压部分进行气密性检查。</w:t>
      </w:r>
    </w:p>
    <w:p w14:paraId="1D37E47B">
      <w:pPr>
        <w:pStyle w:val="30"/>
        <w:numPr>
          <w:ilvl w:val="2"/>
          <w:numId w:val="0"/>
        </w:numPr>
        <w:ind w:firstLine="420" w:firstLineChars="200"/>
        <w:jc w:val="both"/>
        <w:rPr>
          <w:highlight w:val="none"/>
        </w:rPr>
      </w:pPr>
      <w:r>
        <w:rPr>
          <w:rFonts w:hint="eastAsia"/>
          <w:highlight w:val="none"/>
        </w:rPr>
        <w:t>注：使用检漏液查看连接处是否漏气，漏气则有气泡出现。检漏液必须使用对连接处无腐蚀、无污染的专用液体。</w:t>
      </w:r>
    </w:p>
    <w:p w14:paraId="0444F770">
      <w:pPr>
        <w:pStyle w:val="30"/>
        <w:numPr>
          <w:ilvl w:val="3"/>
          <w:numId w:val="1"/>
        </w:numPr>
        <w:jc w:val="both"/>
        <w:rPr>
          <w:highlight w:val="none"/>
        </w:rPr>
      </w:pPr>
      <w:r>
        <w:rPr>
          <w:rFonts w:hint="eastAsia"/>
          <w:highlight w:val="none"/>
        </w:rPr>
        <w:t>根据仪器说明书的要求，定期更换和清洁仪器设备中的过滤装置。采样入口处和采样管路中的过滤器至少每年更换1次，颗粒物浓度较高地区或浓度较高季节，应视颗粒物过滤膜实际污染情况加大更换频次。</w:t>
      </w:r>
    </w:p>
    <w:p w14:paraId="64D5325E">
      <w:pPr>
        <w:pStyle w:val="30"/>
        <w:numPr>
          <w:ilvl w:val="3"/>
          <w:numId w:val="1"/>
        </w:numPr>
        <w:jc w:val="both"/>
        <w:rPr>
          <w:highlight w:val="none"/>
        </w:rPr>
      </w:pPr>
      <w:r>
        <w:rPr>
          <w:rFonts w:hint="eastAsia"/>
          <w:highlight w:val="none"/>
        </w:rPr>
        <w:t>颗粒物浓度较高地区建议每年清洁1次室外采样管，其他地区视情况开展。每次清洁后，应进行检漏测试。</w:t>
      </w:r>
    </w:p>
    <w:p w14:paraId="61FA2034">
      <w:pPr>
        <w:pStyle w:val="30"/>
        <w:numPr>
          <w:ilvl w:val="0"/>
          <w:numId w:val="0"/>
        </w:numPr>
        <w:ind w:firstLine="420" w:firstLineChars="200"/>
        <w:jc w:val="both"/>
        <w:rPr>
          <w:highlight w:val="none"/>
        </w:rPr>
      </w:pPr>
      <w:r>
        <w:rPr>
          <w:rFonts w:hint="eastAsia" w:ascii="黑体" w:hAnsi="黑体" w:eastAsia="黑体" w:cs="黑体"/>
          <w:highlight w:val="none"/>
        </w:rPr>
        <w:t>注：</w:t>
      </w:r>
      <w:r>
        <w:rPr>
          <w:rFonts w:hint="eastAsia"/>
          <w:highlight w:val="none"/>
        </w:rPr>
        <w:t>（1）使用超纯水冲洗，并用大流量泵抽干（连续抽0.5天），抽干后分析仪水汽含量测定应&lt;0.05%。（2）检漏测试方法为将采样管上的一个支路接头接上压力计，并将其他支路接头和采样口封死，然后抽真空至大约1.25hPa，将抽气口密封，使整个采样系统不与外界相通，15分钟内真空度不应有变化。</w:t>
      </w:r>
    </w:p>
    <w:p w14:paraId="53B265D9">
      <w:pPr>
        <w:pStyle w:val="30"/>
        <w:numPr>
          <w:ilvl w:val="3"/>
          <w:numId w:val="1"/>
        </w:numPr>
        <w:jc w:val="both"/>
        <w:rPr>
          <w:highlight w:val="none"/>
        </w:rPr>
      </w:pPr>
      <w:r>
        <w:rPr>
          <w:rFonts w:hint="eastAsia"/>
          <w:highlight w:val="none"/>
        </w:rPr>
        <w:t>根据仪器说明书的要求，定期检查、清洗、更换仪器重要部件。</w:t>
      </w:r>
    </w:p>
    <w:p w14:paraId="7DFA1271">
      <w:pPr>
        <w:pStyle w:val="30"/>
        <w:ind w:left="0"/>
        <w:jc w:val="both"/>
        <w:rPr>
          <w:highlight w:val="none"/>
        </w:rPr>
      </w:pPr>
      <w:r>
        <w:rPr>
          <w:rFonts w:hint="eastAsia"/>
          <w:highlight w:val="none"/>
        </w:rPr>
        <w:t>故障检修</w:t>
      </w:r>
    </w:p>
    <w:p w14:paraId="7DA2665E">
      <w:pPr>
        <w:pStyle w:val="30"/>
        <w:numPr>
          <w:ilvl w:val="3"/>
          <w:numId w:val="1"/>
        </w:numPr>
        <w:jc w:val="both"/>
        <w:rPr>
          <w:highlight w:val="none"/>
        </w:rPr>
      </w:pPr>
      <w:r>
        <w:rPr>
          <w:rFonts w:hint="eastAsia"/>
          <w:highlight w:val="none"/>
        </w:rPr>
        <w:t>对出现故障的仪器设备应及时进行针对性的检查和维修。</w:t>
      </w:r>
    </w:p>
    <w:p w14:paraId="5A3E24F3">
      <w:pPr>
        <w:pStyle w:val="30"/>
        <w:numPr>
          <w:ilvl w:val="3"/>
          <w:numId w:val="1"/>
        </w:numPr>
        <w:jc w:val="both"/>
        <w:rPr>
          <w:highlight w:val="none"/>
        </w:rPr>
      </w:pPr>
      <w:r>
        <w:rPr>
          <w:rFonts w:hint="eastAsia"/>
          <w:highlight w:val="none"/>
        </w:rPr>
        <w:t>应在24小时内响应，原则上7天内完成修复。</w:t>
      </w:r>
    </w:p>
    <w:p w14:paraId="1D1C6169">
      <w:pPr>
        <w:pStyle w:val="30"/>
        <w:numPr>
          <w:ilvl w:val="3"/>
          <w:numId w:val="1"/>
        </w:numPr>
        <w:jc w:val="both"/>
        <w:rPr>
          <w:highlight w:val="none"/>
        </w:rPr>
      </w:pPr>
      <w:r>
        <w:rPr>
          <w:rFonts w:hint="eastAsia"/>
          <w:highlight w:val="none"/>
        </w:rPr>
        <w:t>根据仪器制造商提供的维修手册要求，开展故障判断和检修。</w:t>
      </w:r>
    </w:p>
    <w:p w14:paraId="64D1B888">
      <w:pPr>
        <w:pStyle w:val="30"/>
        <w:numPr>
          <w:ilvl w:val="3"/>
          <w:numId w:val="1"/>
        </w:numPr>
        <w:jc w:val="both"/>
        <w:rPr>
          <w:highlight w:val="none"/>
        </w:rPr>
      </w:pPr>
      <w:r>
        <w:rPr>
          <w:rFonts w:hint="eastAsia"/>
          <w:highlight w:val="none"/>
        </w:rPr>
        <w:t>对于在现场能够诊断明确，并且可以通过简单更换备件解决的故障，如电磁阀控制失灵、抽气泵泵膜破损、气路堵塞等，应及时检修并尽快恢复正常运行。</w:t>
      </w:r>
    </w:p>
    <w:p w14:paraId="5CA12CDF">
      <w:pPr>
        <w:pStyle w:val="30"/>
        <w:numPr>
          <w:ilvl w:val="3"/>
          <w:numId w:val="1"/>
        </w:numPr>
        <w:jc w:val="both"/>
        <w:rPr>
          <w:highlight w:val="none"/>
        </w:rPr>
      </w:pPr>
      <w:r>
        <w:rPr>
          <w:rFonts w:hint="eastAsia"/>
          <w:highlight w:val="none"/>
        </w:rPr>
        <w:t>对于不能在现场完成故障检修的仪器，应送至系统支持实验室进行检查和维修并及时采用备用仪器开展监测。</w:t>
      </w:r>
    </w:p>
    <w:p w14:paraId="2E433D55">
      <w:pPr>
        <w:pStyle w:val="30"/>
        <w:numPr>
          <w:ilvl w:val="3"/>
          <w:numId w:val="1"/>
        </w:numPr>
        <w:jc w:val="both"/>
        <w:rPr>
          <w:highlight w:val="none"/>
        </w:rPr>
      </w:pPr>
      <w:r>
        <w:rPr>
          <w:rFonts w:hint="eastAsia"/>
          <w:highlight w:val="none"/>
        </w:rPr>
        <w:t>对泵膜、散热风扇、气路接头、颗粒物过滤器或接插件等普通易损件维修后，应进行目标气检查。对机械部件、光学部件、检测部件和信号处理部件等关键部件维修后应进行仪器性能测试，测试合格后，方可投入使用。</w:t>
      </w:r>
    </w:p>
    <w:p w14:paraId="6494A2F2">
      <w:pPr>
        <w:pStyle w:val="30"/>
        <w:numPr>
          <w:ilvl w:val="3"/>
          <w:numId w:val="1"/>
        </w:numPr>
        <w:jc w:val="both"/>
        <w:rPr>
          <w:highlight w:val="none"/>
        </w:rPr>
      </w:pPr>
      <w:r>
        <w:rPr>
          <w:rFonts w:hint="eastAsia"/>
          <w:highlight w:val="none"/>
        </w:rPr>
        <w:t>每次故障检修完成后，应对检修、校准和测试情况进行记录并存档。每次故障检修完成后，应对检修、校准和测试情况进行记录并存档。</w:t>
      </w:r>
    </w:p>
    <w:p w14:paraId="353BF92D">
      <w:pPr>
        <w:pStyle w:val="28"/>
        <w:rPr>
          <w:highlight w:val="none"/>
        </w:rPr>
      </w:pPr>
      <w:bookmarkStart w:id="108" w:name="_Toc13989"/>
      <w:bookmarkStart w:id="109" w:name="_Toc26827"/>
      <w:bookmarkStart w:id="110" w:name="_Toc22661"/>
      <w:r>
        <w:rPr>
          <w:rFonts w:hint="eastAsia"/>
          <w:highlight w:val="none"/>
        </w:rPr>
        <w:t>质量保证和质量控制</w:t>
      </w:r>
      <w:bookmarkEnd w:id="108"/>
      <w:bookmarkEnd w:id="109"/>
      <w:bookmarkEnd w:id="110"/>
    </w:p>
    <w:p w14:paraId="58D31654">
      <w:pPr>
        <w:pStyle w:val="29"/>
        <w:tabs>
          <w:tab w:val="center" w:pos="4201"/>
          <w:tab w:val="right" w:leader="dot" w:pos="9298"/>
        </w:tabs>
        <w:jc w:val="both"/>
        <w:rPr>
          <w:highlight w:val="none"/>
        </w:rPr>
      </w:pPr>
      <w:bookmarkStart w:id="111" w:name="_Toc128642763"/>
      <w:bookmarkStart w:id="112" w:name="_Toc27790"/>
      <w:r>
        <w:rPr>
          <w:rFonts w:hint="eastAsia"/>
          <w:highlight w:val="none"/>
        </w:rPr>
        <w:t>量值溯源和传递</w:t>
      </w:r>
      <w:bookmarkEnd w:id="111"/>
      <w:bookmarkEnd w:id="112"/>
    </w:p>
    <w:p w14:paraId="350C6C55">
      <w:pPr>
        <w:pStyle w:val="30"/>
        <w:ind w:left="0"/>
        <w:jc w:val="both"/>
        <w:rPr>
          <w:highlight w:val="none"/>
        </w:rPr>
      </w:pPr>
      <w:r>
        <w:rPr>
          <w:rFonts w:hint="eastAsia"/>
          <w:highlight w:val="none"/>
        </w:rPr>
        <w:t>量值溯源和传递要求精密度检查</w:t>
      </w:r>
    </w:p>
    <w:p w14:paraId="38A4CE39">
      <w:pPr>
        <w:pStyle w:val="30"/>
        <w:numPr>
          <w:ilvl w:val="3"/>
          <w:numId w:val="1"/>
        </w:numPr>
        <w:jc w:val="both"/>
        <w:rPr>
          <w:highlight w:val="none"/>
        </w:rPr>
      </w:pPr>
      <w:r>
        <w:rPr>
          <w:rFonts w:hint="eastAsia"/>
          <w:highlight w:val="none"/>
        </w:rPr>
        <w:t>用于量值传递的计量器具，如流量计、气压表、压力计、真空表、温度计等，应按计量检定规程的要求进行周期性检定。</w:t>
      </w:r>
    </w:p>
    <w:p w14:paraId="25883647">
      <w:pPr>
        <w:pStyle w:val="30"/>
        <w:numPr>
          <w:ilvl w:val="3"/>
          <w:numId w:val="1"/>
        </w:numPr>
        <w:jc w:val="both"/>
        <w:rPr>
          <w:highlight w:val="none"/>
        </w:rPr>
      </w:pPr>
      <w:r>
        <w:rPr>
          <w:rFonts w:hint="eastAsia"/>
          <w:highlight w:val="none"/>
        </w:rPr>
        <w:t>标准气体应储存于高压铝合金气瓶中。气瓶阀门应为非密闭黄铜或不锈钢材质内有带PCTFE、PA66、PEEK垫片或金属阀座。</w:t>
      </w:r>
    </w:p>
    <w:p w14:paraId="759705E6">
      <w:pPr>
        <w:pStyle w:val="30"/>
        <w:numPr>
          <w:ilvl w:val="3"/>
          <w:numId w:val="1"/>
        </w:numPr>
        <w:jc w:val="both"/>
        <w:rPr>
          <w:highlight w:val="none"/>
        </w:rPr>
      </w:pPr>
      <w:r>
        <w:rPr>
          <w:rFonts w:hint="eastAsia"/>
          <w:highlight w:val="none"/>
        </w:rPr>
        <w:t>标准气体应溯源至我国温室气体测量基准标尺，并在有效期内使用。</w:t>
      </w:r>
    </w:p>
    <w:p w14:paraId="3DCA4D07">
      <w:pPr>
        <w:pStyle w:val="30"/>
        <w:ind w:left="0"/>
        <w:jc w:val="both"/>
        <w:rPr>
          <w:highlight w:val="none"/>
        </w:rPr>
      </w:pPr>
      <w:r>
        <w:rPr>
          <w:rFonts w:hint="eastAsia"/>
          <w:highlight w:val="none"/>
        </w:rPr>
        <w:t>标准气体管理要求</w:t>
      </w:r>
    </w:p>
    <w:p w14:paraId="14F9E4C8">
      <w:pPr>
        <w:pStyle w:val="30"/>
        <w:numPr>
          <w:ilvl w:val="3"/>
          <w:numId w:val="1"/>
        </w:numPr>
        <w:jc w:val="both"/>
        <w:rPr>
          <w:highlight w:val="none"/>
        </w:rPr>
      </w:pPr>
      <w:r>
        <w:rPr>
          <w:rFonts w:hint="eastAsia"/>
          <w:highlight w:val="none"/>
        </w:rPr>
        <w:t>城市地区使用2瓶工作气（1瓶高浓度气、1瓶低浓度气）和1瓶目标气。工作气应涵盖所监测地区被测气体浓度范围，建议高浓度工作气浓度在全年小时浓度的90百分位附近，低浓度工作气浓度在全年小时浓度的10百分位附近。建议目标气在全年小时浓度的50百分位附近。</w:t>
      </w:r>
    </w:p>
    <w:p w14:paraId="51CA7AF6">
      <w:pPr>
        <w:pStyle w:val="30"/>
        <w:numPr>
          <w:ilvl w:val="3"/>
          <w:numId w:val="1"/>
        </w:numPr>
        <w:jc w:val="both"/>
        <w:rPr>
          <w:highlight w:val="none"/>
        </w:rPr>
      </w:pPr>
      <w:r>
        <w:rPr>
          <w:rFonts w:hint="eastAsia"/>
          <w:highlight w:val="none"/>
        </w:rPr>
        <w:t>本底（背景）地区被测气体浓度变化范围较小时，可使用1瓶工作气、1瓶目标气。工作气、目标气浓度建议在全年小时浓度的50百分位附近。</w:t>
      </w:r>
    </w:p>
    <w:p w14:paraId="5FDC12F2">
      <w:pPr>
        <w:pStyle w:val="30"/>
        <w:numPr>
          <w:ilvl w:val="3"/>
          <w:numId w:val="1"/>
        </w:numPr>
        <w:jc w:val="both"/>
        <w:rPr>
          <w:highlight w:val="none"/>
        </w:rPr>
      </w:pPr>
      <w:r>
        <w:rPr>
          <w:rFonts w:hint="eastAsia"/>
          <w:highlight w:val="none"/>
        </w:rPr>
        <w:t>工作气与目标气不应同时更换。建议有条件时增配1组备用标气。</w:t>
      </w:r>
    </w:p>
    <w:p w14:paraId="18CFB71E">
      <w:pPr>
        <w:pStyle w:val="30"/>
        <w:numPr>
          <w:ilvl w:val="3"/>
          <w:numId w:val="1"/>
        </w:numPr>
        <w:jc w:val="both"/>
        <w:rPr>
          <w:highlight w:val="none"/>
        </w:rPr>
      </w:pPr>
      <w:r>
        <w:rPr>
          <w:rFonts w:hint="eastAsia"/>
          <w:highlight w:val="none"/>
        </w:rPr>
        <w:t>标气瓶使用两级减压调节阀控制，以保证输出标气的压力恒定。</w:t>
      </w:r>
    </w:p>
    <w:p w14:paraId="73B0AE45">
      <w:pPr>
        <w:pStyle w:val="30"/>
        <w:numPr>
          <w:ilvl w:val="3"/>
          <w:numId w:val="1"/>
        </w:numPr>
        <w:jc w:val="both"/>
        <w:rPr>
          <w:highlight w:val="none"/>
        </w:rPr>
      </w:pPr>
      <w:r>
        <w:rPr>
          <w:rFonts w:hint="eastAsia"/>
          <w:highlight w:val="none"/>
        </w:rPr>
        <w:t>标气瓶建议固定放置在站房使用。确需移动时应携带减压阀，并保持减压阀内有一定正压移动后至少静置24小时方可使用；连接气路后应检查气路是否漏气，并冲洗管路至少4次，减压阀和管路应在充气条件下静置6小时。</w:t>
      </w:r>
    </w:p>
    <w:p w14:paraId="5C1A8BFE">
      <w:pPr>
        <w:pStyle w:val="30"/>
        <w:numPr>
          <w:ilvl w:val="3"/>
          <w:numId w:val="1"/>
        </w:numPr>
        <w:jc w:val="both"/>
        <w:rPr>
          <w:highlight w:val="none"/>
        </w:rPr>
      </w:pPr>
      <w:r>
        <w:rPr>
          <w:rFonts w:hint="eastAsia"/>
          <w:highlight w:val="none"/>
        </w:rPr>
        <w:t>标气瓶应放置在站房内温度和湿度稳定处，或保存在气瓶柜中，并避免空调直吹。标气瓶应水平固定放置，避免碰倒或剧烈震动。</w:t>
      </w:r>
    </w:p>
    <w:p w14:paraId="01798417">
      <w:pPr>
        <w:pStyle w:val="30"/>
        <w:numPr>
          <w:ilvl w:val="3"/>
          <w:numId w:val="1"/>
        </w:numPr>
        <w:jc w:val="both"/>
        <w:rPr>
          <w:highlight w:val="none"/>
        </w:rPr>
      </w:pPr>
      <w:r>
        <w:rPr>
          <w:rFonts w:hint="eastAsia"/>
          <w:highlight w:val="none"/>
        </w:rPr>
        <w:t>标气瓶压力值低于500psi时，应及时更换新的标气。</w:t>
      </w:r>
    </w:p>
    <w:p w14:paraId="2DCD20A7">
      <w:pPr>
        <w:pStyle w:val="30"/>
        <w:numPr>
          <w:ilvl w:val="3"/>
          <w:numId w:val="1"/>
        </w:numPr>
        <w:jc w:val="both"/>
        <w:rPr>
          <w:highlight w:val="none"/>
        </w:rPr>
      </w:pPr>
      <w:r>
        <w:rPr>
          <w:rFonts w:hint="eastAsia"/>
          <w:highlight w:val="none"/>
        </w:rPr>
        <w:t>标气使用超出证书有效期时，应重新定值。</w:t>
      </w:r>
    </w:p>
    <w:p w14:paraId="316A6649">
      <w:pPr>
        <w:pStyle w:val="29"/>
        <w:tabs>
          <w:tab w:val="center" w:pos="4201"/>
          <w:tab w:val="right" w:leader="dot" w:pos="9298"/>
        </w:tabs>
        <w:jc w:val="both"/>
        <w:rPr>
          <w:highlight w:val="none"/>
        </w:rPr>
      </w:pPr>
      <w:bookmarkStart w:id="113" w:name="_Toc10904"/>
      <w:bookmarkStart w:id="114" w:name="_Toc128642764"/>
      <w:r>
        <w:rPr>
          <w:rFonts w:hint="eastAsia"/>
          <w:highlight w:val="none"/>
        </w:rPr>
        <w:t>采样周期要求</w:t>
      </w:r>
      <w:bookmarkEnd w:id="113"/>
      <w:bookmarkEnd w:id="114"/>
    </w:p>
    <w:p w14:paraId="59E2C5AA">
      <w:pPr>
        <w:pStyle w:val="30"/>
        <w:ind w:left="0"/>
        <w:jc w:val="both"/>
        <w:rPr>
          <w:highlight w:val="none"/>
        </w:rPr>
      </w:pPr>
      <w:r>
        <w:rPr>
          <w:rFonts w:hint="eastAsia"/>
          <w:highlight w:val="none"/>
        </w:rPr>
        <w:t>样气通过采样管路时间不超过</w:t>
      </w:r>
      <w:r>
        <w:rPr>
          <w:highlight w:val="none"/>
        </w:rPr>
        <w:t>1</w:t>
      </w:r>
      <w:r>
        <w:rPr>
          <w:rFonts w:hint="eastAsia"/>
          <w:highlight w:val="none"/>
        </w:rPr>
        <w:t>分钟。</w:t>
      </w:r>
    </w:p>
    <w:p w14:paraId="6BC5E35C">
      <w:pPr>
        <w:pStyle w:val="30"/>
        <w:ind w:left="0"/>
        <w:jc w:val="both"/>
        <w:rPr>
          <w:highlight w:val="none"/>
        </w:rPr>
      </w:pPr>
      <w:r>
        <w:rPr>
          <w:rFonts w:hint="eastAsia"/>
          <w:highlight w:val="none"/>
        </w:rPr>
        <w:t>开展单层采样时应保证监测系统连续自动采样。</w:t>
      </w:r>
    </w:p>
    <w:p w14:paraId="21B0256D">
      <w:pPr>
        <w:pStyle w:val="30"/>
        <w:ind w:left="0"/>
        <w:jc w:val="both"/>
        <w:rPr>
          <w:highlight w:val="none"/>
        </w:rPr>
      </w:pPr>
      <w:r>
        <w:rPr>
          <w:rFonts w:hint="eastAsia"/>
          <w:highlight w:val="none"/>
        </w:rPr>
        <w:t>开展多层采样时，应尽量平均设置各层采样时间，切换不同高度样气后应充分冲洗管路。建议每层采样时间</w:t>
      </w:r>
      <w:r>
        <w:rPr>
          <w:highlight w:val="none"/>
        </w:rPr>
        <w:t>5</w:t>
      </w:r>
      <w:r>
        <w:rPr>
          <w:rFonts w:hint="eastAsia"/>
          <w:highlight w:val="none"/>
        </w:rPr>
        <w:t>分钟，前</w:t>
      </w:r>
      <w:r>
        <w:rPr>
          <w:highlight w:val="none"/>
        </w:rPr>
        <w:t>2</w:t>
      </w:r>
      <w:r>
        <w:rPr>
          <w:rFonts w:hint="eastAsia"/>
          <w:highlight w:val="none"/>
        </w:rPr>
        <w:t>分钟冲洗管路，后</w:t>
      </w:r>
      <w:r>
        <w:rPr>
          <w:highlight w:val="none"/>
        </w:rPr>
        <w:t>3</w:t>
      </w:r>
      <w:r>
        <w:rPr>
          <w:rFonts w:hint="eastAsia"/>
          <w:highlight w:val="none"/>
        </w:rPr>
        <w:t>分钟采样。</w:t>
      </w:r>
    </w:p>
    <w:p w14:paraId="7D989ABD">
      <w:pPr>
        <w:pStyle w:val="30"/>
        <w:ind w:left="0"/>
        <w:jc w:val="both"/>
        <w:rPr>
          <w:highlight w:val="none"/>
        </w:rPr>
      </w:pPr>
      <w:r>
        <w:rPr>
          <w:rFonts w:hint="eastAsia"/>
          <w:highlight w:val="none"/>
        </w:rPr>
        <w:t>进气管路通完标气后，需用样气冲洗管路</w:t>
      </w:r>
      <w:r>
        <w:rPr>
          <w:highlight w:val="none"/>
        </w:rPr>
        <w:t>2</w:t>
      </w:r>
      <w:r>
        <w:rPr>
          <w:rFonts w:hint="eastAsia"/>
          <w:highlight w:val="none"/>
        </w:rPr>
        <w:t>分钟。</w:t>
      </w:r>
    </w:p>
    <w:p w14:paraId="62754430">
      <w:pPr>
        <w:pStyle w:val="29"/>
        <w:tabs>
          <w:tab w:val="center" w:pos="4201"/>
          <w:tab w:val="right" w:leader="dot" w:pos="9298"/>
        </w:tabs>
        <w:jc w:val="both"/>
        <w:rPr>
          <w:highlight w:val="none"/>
        </w:rPr>
      </w:pPr>
      <w:bookmarkStart w:id="115" w:name="_Toc24056"/>
      <w:bookmarkStart w:id="116" w:name="_Toc128642765"/>
      <w:r>
        <w:rPr>
          <w:rFonts w:hint="eastAsia"/>
          <w:highlight w:val="none"/>
        </w:rPr>
        <w:t>监测仪器的校准周期和要求</w:t>
      </w:r>
      <w:bookmarkEnd w:id="115"/>
      <w:bookmarkEnd w:id="116"/>
    </w:p>
    <w:p w14:paraId="47C5C545">
      <w:pPr>
        <w:pStyle w:val="30"/>
        <w:ind w:left="0"/>
        <w:jc w:val="both"/>
        <w:rPr>
          <w:highlight w:val="none"/>
        </w:rPr>
      </w:pPr>
      <w:r>
        <w:rPr>
          <w:rFonts w:hint="eastAsia"/>
          <w:highlight w:val="none"/>
        </w:rPr>
        <w:t>监测系统应具备自动校准条件。工作气校准周期可根据仪器运行状态调整，校准周期建议不超过仪器漂移达到限值时所用时间的一半。</w:t>
      </w:r>
    </w:p>
    <w:p w14:paraId="092DCE1F">
      <w:pPr>
        <w:pStyle w:val="30"/>
        <w:ind w:left="0"/>
        <w:jc w:val="both"/>
        <w:rPr>
          <w:highlight w:val="none"/>
        </w:rPr>
      </w:pPr>
      <w:r>
        <w:rPr>
          <w:rFonts w:hint="eastAsia"/>
          <w:highlight w:val="none"/>
        </w:rPr>
        <w:t>运行状态不稳定的仪器工作气校准周期频次应加密，运行状态稳定的仪器工作气校准周期频次可适当降低。工作气校准周期建议不超过</w:t>
      </w:r>
      <w:r>
        <w:rPr>
          <w:highlight w:val="none"/>
        </w:rPr>
        <w:t>7</w:t>
      </w:r>
      <w:r>
        <w:rPr>
          <w:rFonts w:hint="eastAsia"/>
          <w:highlight w:val="none"/>
        </w:rPr>
        <w:t>天。</w:t>
      </w:r>
    </w:p>
    <w:p w14:paraId="3D493DE0">
      <w:pPr>
        <w:pStyle w:val="30"/>
        <w:ind w:left="0"/>
        <w:jc w:val="both"/>
        <w:rPr>
          <w:highlight w:val="none"/>
        </w:rPr>
      </w:pPr>
      <w:r>
        <w:rPr>
          <w:rFonts w:hint="eastAsia"/>
          <w:highlight w:val="none"/>
        </w:rPr>
        <w:t>通过工作气校准，得到校准方程，期间仪器不做任何调整。校准方程用于仪器监测数据的修正。</w:t>
      </w:r>
      <w:r>
        <w:rPr>
          <w:rFonts w:hint="eastAsia"/>
          <w:highlight w:val="none"/>
          <w:lang w:val="en-US" w:eastAsia="zh-CN"/>
        </w:rPr>
        <w:t>校准方法及</w:t>
      </w:r>
      <w:r>
        <w:rPr>
          <w:rFonts w:hint="eastAsia"/>
          <w:highlight w:val="none"/>
        </w:rPr>
        <w:t>计算方法详见附录</w:t>
      </w:r>
      <w:r>
        <w:rPr>
          <w:highlight w:val="none"/>
        </w:rPr>
        <w:t>A</w:t>
      </w:r>
      <w:r>
        <w:rPr>
          <w:rFonts w:hint="eastAsia"/>
          <w:highlight w:val="none"/>
          <w:lang w:val="en-US" w:eastAsia="zh-CN"/>
        </w:rPr>
        <w:t>和附录B</w:t>
      </w:r>
      <w:r>
        <w:rPr>
          <w:rFonts w:hint="eastAsia"/>
          <w:highlight w:val="none"/>
        </w:rPr>
        <w:t>。</w:t>
      </w:r>
    </w:p>
    <w:p w14:paraId="3DD78035">
      <w:pPr>
        <w:pStyle w:val="30"/>
        <w:ind w:left="0"/>
        <w:jc w:val="both"/>
        <w:rPr>
          <w:highlight w:val="none"/>
        </w:rPr>
      </w:pPr>
      <w:r>
        <w:rPr>
          <w:rFonts w:hint="eastAsia"/>
          <w:highlight w:val="none"/>
        </w:rPr>
        <w:t>每间隔</w:t>
      </w:r>
      <w:r>
        <w:rPr>
          <w:highlight w:val="none"/>
        </w:rPr>
        <w:t>12</w:t>
      </w:r>
      <w:r>
        <w:rPr>
          <w:rFonts w:hint="eastAsia"/>
          <w:highlight w:val="none"/>
        </w:rPr>
        <w:t>小时进行</w:t>
      </w:r>
      <w:r>
        <w:rPr>
          <w:highlight w:val="none"/>
        </w:rPr>
        <w:t>1</w:t>
      </w:r>
      <w:r>
        <w:rPr>
          <w:rFonts w:hint="eastAsia"/>
          <w:highlight w:val="none"/>
        </w:rPr>
        <w:t>次目标气检查。当发现漂移超过要求时，认为监测系统处于异常状态，应及时检查和维护。</w:t>
      </w:r>
    </w:p>
    <w:p w14:paraId="0F5E5630">
      <w:pPr>
        <w:pStyle w:val="30"/>
        <w:ind w:left="0"/>
        <w:jc w:val="both"/>
        <w:rPr>
          <w:highlight w:val="none"/>
        </w:rPr>
      </w:pPr>
      <w:r>
        <w:rPr>
          <w:rFonts w:hint="eastAsia"/>
          <w:highlight w:val="none"/>
        </w:rPr>
        <w:t>工作气和目标气通气时间不少于</w:t>
      </w:r>
      <w:r>
        <w:rPr>
          <w:highlight w:val="none"/>
        </w:rPr>
        <w:t>15</w:t>
      </w:r>
      <w:r>
        <w:rPr>
          <w:rFonts w:hint="eastAsia"/>
          <w:highlight w:val="none"/>
        </w:rPr>
        <w:t>分钟，前</w:t>
      </w:r>
      <w:r>
        <w:rPr>
          <w:highlight w:val="none"/>
        </w:rPr>
        <w:t>10</w:t>
      </w:r>
      <w:r>
        <w:rPr>
          <w:rFonts w:hint="eastAsia"/>
          <w:highlight w:val="none"/>
        </w:rPr>
        <w:t>分钟冲洗管路。通气时间一般选在整点时刻前后，以尽量保证数据有效性。</w:t>
      </w:r>
    </w:p>
    <w:p w14:paraId="311D1640">
      <w:pPr>
        <w:pStyle w:val="29"/>
        <w:tabs>
          <w:tab w:val="center" w:pos="4201"/>
          <w:tab w:val="right" w:leader="dot" w:pos="9298"/>
        </w:tabs>
        <w:jc w:val="both"/>
        <w:rPr>
          <w:highlight w:val="none"/>
        </w:rPr>
      </w:pPr>
      <w:bookmarkStart w:id="117" w:name="_Toc128642766"/>
      <w:bookmarkStart w:id="118" w:name="_Toc10128"/>
      <w:r>
        <w:rPr>
          <w:rFonts w:hint="eastAsia"/>
          <w:highlight w:val="none"/>
        </w:rPr>
        <w:t>监测仪器的性能审核</w:t>
      </w:r>
      <w:bookmarkEnd w:id="117"/>
      <w:bookmarkEnd w:id="118"/>
    </w:p>
    <w:p w14:paraId="43EB7289">
      <w:pPr>
        <w:pStyle w:val="30"/>
        <w:ind w:left="0"/>
        <w:jc w:val="both"/>
        <w:rPr>
          <w:highlight w:val="none"/>
        </w:rPr>
      </w:pPr>
      <w:r>
        <w:rPr>
          <w:rFonts w:hint="eastAsia"/>
          <w:highlight w:val="none"/>
        </w:rPr>
        <w:t>精密度审核</w:t>
      </w:r>
    </w:p>
    <w:p w14:paraId="3A95D114">
      <w:pPr>
        <w:pStyle w:val="30"/>
        <w:numPr>
          <w:ilvl w:val="3"/>
          <w:numId w:val="1"/>
        </w:numPr>
        <w:jc w:val="both"/>
        <w:rPr>
          <w:highlight w:val="none"/>
        </w:rPr>
      </w:pPr>
      <w:r>
        <w:rPr>
          <w:rFonts w:hint="eastAsia"/>
          <w:highlight w:val="none"/>
        </w:rPr>
        <w:t>精密度审核的方法见附录</w:t>
      </w:r>
      <w:r>
        <w:rPr>
          <w:rFonts w:hint="eastAsia"/>
          <w:highlight w:val="none"/>
          <w:lang w:val="en-US" w:eastAsia="zh-CN"/>
        </w:rPr>
        <w:t>B</w:t>
      </w:r>
      <w:r>
        <w:rPr>
          <w:rFonts w:hint="eastAsia"/>
          <w:highlight w:val="none"/>
        </w:rPr>
        <w:t>。</w:t>
      </w:r>
    </w:p>
    <w:p w14:paraId="2082C7E8">
      <w:pPr>
        <w:pStyle w:val="30"/>
        <w:numPr>
          <w:ilvl w:val="3"/>
          <w:numId w:val="1"/>
        </w:numPr>
        <w:jc w:val="both"/>
        <w:rPr>
          <w:highlight w:val="none"/>
        </w:rPr>
      </w:pPr>
      <w:r>
        <w:rPr>
          <w:rFonts w:hint="eastAsia"/>
          <w:highlight w:val="none"/>
        </w:rPr>
        <w:t>在精密度审核之前，不能改动监测仪器的任何设置参数。</w:t>
      </w:r>
    </w:p>
    <w:p w14:paraId="543BC860">
      <w:pPr>
        <w:pStyle w:val="30"/>
        <w:numPr>
          <w:ilvl w:val="3"/>
          <w:numId w:val="1"/>
        </w:numPr>
        <w:jc w:val="both"/>
        <w:rPr>
          <w:highlight w:val="none"/>
        </w:rPr>
      </w:pPr>
      <w:r>
        <w:rPr>
          <w:rFonts w:hint="eastAsia"/>
          <w:highlight w:val="none"/>
        </w:rPr>
        <w:t>精密度审核时，仪器示值相对标准偏差应≤0.05%。</w:t>
      </w:r>
    </w:p>
    <w:p w14:paraId="1482F474">
      <w:pPr>
        <w:pStyle w:val="30"/>
        <w:numPr>
          <w:ilvl w:val="3"/>
          <w:numId w:val="1"/>
        </w:numPr>
        <w:jc w:val="both"/>
        <w:rPr>
          <w:highlight w:val="none"/>
        </w:rPr>
      </w:pPr>
      <w:r>
        <w:rPr>
          <w:rFonts w:hint="eastAsia"/>
          <w:highlight w:val="none"/>
        </w:rPr>
        <w:t>每台监测仪器至少每年进行1次精密度审核。</w:t>
      </w:r>
    </w:p>
    <w:p w14:paraId="7EE8B6FE">
      <w:pPr>
        <w:pStyle w:val="30"/>
        <w:numPr>
          <w:ilvl w:val="3"/>
          <w:numId w:val="1"/>
        </w:numPr>
        <w:jc w:val="both"/>
        <w:rPr>
          <w:highlight w:val="none"/>
        </w:rPr>
      </w:pPr>
      <w:r>
        <w:rPr>
          <w:rFonts w:hint="eastAsia"/>
          <w:highlight w:val="none"/>
        </w:rPr>
        <w:t>精密度审核用于对监测系统进行外部质量控制，审核人员不从事所审核仪器的日常操作和维护。用于精密度审核的标准物质不得用于日常的质量控制。</w:t>
      </w:r>
    </w:p>
    <w:p w14:paraId="40C11899">
      <w:pPr>
        <w:pStyle w:val="30"/>
        <w:ind w:left="0"/>
        <w:jc w:val="both"/>
        <w:rPr>
          <w:highlight w:val="none"/>
        </w:rPr>
      </w:pPr>
      <w:bookmarkStart w:id="119" w:name="_Hlk128638297"/>
      <w:r>
        <w:rPr>
          <w:rFonts w:hint="eastAsia"/>
          <w:highlight w:val="none"/>
        </w:rPr>
        <w:t>正确度审核</w:t>
      </w:r>
    </w:p>
    <w:bookmarkEnd w:id="119"/>
    <w:p w14:paraId="4AD975D4">
      <w:pPr>
        <w:pStyle w:val="30"/>
        <w:numPr>
          <w:ilvl w:val="3"/>
          <w:numId w:val="1"/>
        </w:numPr>
        <w:jc w:val="both"/>
        <w:rPr>
          <w:highlight w:val="none"/>
        </w:rPr>
      </w:pPr>
      <w:r>
        <w:rPr>
          <w:rFonts w:hint="eastAsia"/>
          <w:highlight w:val="none"/>
        </w:rPr>
        <w:t>正确度审核的方法见附录</w:t>
      </w:r>
      <w:r>
        <w:rPr>
          <w:rFonts w:hint="eastAsia"/>
          <w:highlight w:val="none"/>
          <w:lang w:val="en-US" w:eastAsia="zh-CN"/>
        </w:rPr>
        <w:t>B</w:t>
      </w:r>
      <w:r>
        <w:rPr>
          <w:rFonts w:hint="eastAsia"/>
          <w:highlight w:val="none"/>
        </w:rPr>
        <w:t>。</w:t>
      </w:r>
    </w:p>
    <w:p w14:paraId="138A3477">
      <w:pPr>
        <w:pStyle w:val="30"/>
        <w:numPr>
          <w:ilvl w:val="3"/>
          <w:numId w:val="1"/>
        </w:numPr>
        <w:jc w:val="both"/>
        <w:rPr>
          <w:highlight w:val="none"/>
        </w:rPr>
      </w:pPr>
      <w:r>
        <w:rPr>
          <w:rFonts w:hint="eastAsia"/>
          <w:highlight w:val="none"/>
        </w:rPr>
        <w:t>在正确度审核之前，不能改动监测仪器的任何设置参数。</w:t>
      </w:r>
    </w:p>
    <w:p w14:paraId="380B62AB">
      <w:pPr>
        <w:pStyle w:val="30"/>
        <w:numPr>
          <w:ilvl w:val="3"/>
          <w:numId w:val="1"/>
        </w:numPr>
        <w:jc w:val="both"/>
        <w:rPr>
          <w:highlight w:val="none"/>
        </w:rPr>
      </w:pPr>
      <w:r>
        <w:rPr>
          <w:rFonts w:hint="eastAsia"/>
          <w:highlight w:val="none"/>
        </w:rPr>
        <w:t>正确度审核使用最小二乘法做出多点校准曲线，用相关系数和工作气检查结果对仪器的正确度进行评价。应符合以下要求：CO</w:t>
      </w:r>
      <w:r>
        <w:rPr>
          <w:rFonts w:hint="eastAsia"/>
          <w:highlight w:val="none"/>
          <w:vertAlign w:val="subscript"/>
        </w:rPr>
        <w:t>2</w:t>
      </w:r>
      <w:r>
        <w:rPr>
          <w:rFonts w:hint="eastAsia"/>
          <w:highlight w:val="none"/>
        </w:rPr>
        <w:t>/CH</w:t>
      </w:r>
      <w:r>
        <w:rPr>
          <w:rFonts w:hint="eastAsia"/>
          <w:highlight w:val="none"/>
          <w:vertAlign w:val="subscript"/>
        </w:rPr>
        <w:t>4</w:t>
      </w:r>
      <w:r>
        <w:rPr>
          <w:rFonts w:hint="eastAsia"/>
          <w:highlight w:val="none"/>
        </w:rPr>
        <w:t>校准曲线相关系数r＞0.99999；使用校准曲线的拟合方程计算站点工作气的修正浓度值CO</w:t>
      </w:r>
      <w:r>
        <w:rPr>
          <w:rFonts w:hint="eastAsia"/>
          <w:highlight w:val="none"/>
          <w:vertAlign w:val="subscript"/>
        </w:rPr>
        <w:t>2</w:t>
      </w:r>
      <w:r>
        <w:rPr>
          <w:rFonts w:hint="eastAsia"/>
          <w:highlight w:val="none"/>
        </w:rPr>
        <w:t>/CH</w:t>
      </w:r>
      <w:r>
        <w:rPr>
          <w:rFonts w:hint="eastAsia"/>
          <w:highlight w:val="none"/>
          <w:vertAlign w:val="subscript"/>
        </w:rPr>
        <w:t>4</w:t>
      </w:r>
      <w:r>
        <w:rPr>
          <w:rFonts w:hint="eastAsia"/>
          <w:highlight w:val="none"/>
        </w:rPr>
        <w:t>修正浓度值与标称浓度值的差值应不超过±0.2ppm/5ppb/，有条件的进一步提升为不超过±0.1ppm/2ppb。</w:t>
      </w:r>
    </w:p>
    <w:p w14:paraId="27D4FEC2">
      <w:pPr>
        <w:pStyle w:val="30"/>
        <w:numPr>
          <w:ilvl w:val="3"/>
          <w:numId w:val="1"/>
        </w:numPr>
        <w:jc w:val="both"/>
        <w:rPr>
          <w:highlight w:val="none"/>
        </w:rPr>
      </w:pPr>
      <w:r>
        <w:rPr>
          <w:rFonts w:hint="eastAsia"/>
          <w:highlight w:val="none"/>
        </w:rPr>
        <w:t>每台监测仪器至少每年进行1次正确度审核。</w:t>
      </w:r>
    </w:p>
    <w:p w14:paraId="313E1AA4">
      <w:pPr>
        <w:pStyle w:val="30"/>
        <w:numPr>
          <w:ilvl w:val="3"/>
          <w:numId w:val="1"/>
        </w:numPr>
        <w:jc w:val="both"/>
        <w:rPr>
          <w:highlight w:val="none"/>
        </w:rPr>
      </w:pPr>
      <w:r>
        <w:rPr>
          <w:rFonts w:hint="eastAsia"/>
          <w:highlight w:val="none"/>
        </w:rPr>
        <w:t>正确度审核用于对监测系统进行外部质量控制，审核人员不从事所审核仪器的日常操作和维护。</w:t>
      </w:r>
    </w:p>
    <w:p w14:paraId="3690C7F7">
      <w:pPr>
        <w:pStyle w:val="30"/>
        <w:numPr>
          <w:ilvl w:val="3"/>
          <w:numId w:val="1"/>
        </w:numPr>
        <w:jc w:val="both"/>
        <w:rPr>
          <w:highlight w:val="none"/>
        </w:rPr>
      </w:pPr>
      <w:r>
        <w:rPr>
          <w:rFonts w:hint="eastAsia"/>
          <w:highlight w:val="none"/>
        </w:rPr>
        <w:t>用于正确度审核的标准物质不得用于日常的质量控制。</w:t>
      </w:r>
    </w:p>
    <w:p w14:paraId="6B542605">
      <w:pPr>
        <w:pStyle w:val="30"/>
        <w:numPr>
          <w:ilvl w:val="3"/>
          <w:numId w:val="1"/>
        </w:numPr>
        <w:jc w:val="both"/>
        <w:rPr>
          <w:highlight w:val="none"/>
        </w:rPr>
      </w:pPr>
      <w:r>
        <w:rPr>
          <w:rFonts w:hint="eastAsia"/>
          <w:highlight w:val="none"/>
        </w:rPr>
        <w:t xml:space="preserve">可比性审核 </w:t>
      </w:r>
    </w:p>
    <w:p w14:paraId="16437F1C">
      <w:pPr>
        <w:pStyle w:val="30"/>
        <w:numPr>
          <w:ilvl w:val="3"/>
          <w:numId w:val="1"/>
        </w:numPr>
        <w:jc w:val="both"/>
        <w:rPr>
          <w:highlight w:val="none"/>
        </w:rPr>
      </w:pPr>
      <w:r>
        <w:rPr>
          <w:rFonts w:hint="eastAsia"/>
          <w:highlight w:val="none"/>
        </w:rPr>
        <w:t>可比性审核的方法见附录</w:t>
      </w:r>
      <w:r>
        <w:rPr>
          <w:rFonts w:hint="eastAsia"/>
          <w:highlight w:val="none"/>
          <w:lang w:val="en-US" w:eastAsia="zh-CN"/>
        </w:rPr>
        <w:t>B</w:t>
      </w:r>
      <w:r>
        <w:rPr>
          <w:rFonts w:hint="eastAsia"/>
          <w:highlight w:val="none"/>
        </w:rPr>
        <w:t xml:space="preserve">。 </w:t>
      </w:r>
    </w:p>
    <w:p w14:paraId="3670213A">
      <w:pPr>
        <w:pStyle w:val="30"/>
        <w:numPr>
          <w:ilvl w:val="3"/>
          <w:numId w:val="1"/>
        </w:numPr>
        <w:jc w:val="both"/>
        <w:rPr>
          <w:highlight w:val="none"/>
        </w:rPr>
      </w:pPr>
      <w:r>
        <w:rPr>
          <w:rFonts w:hint="eastAsia"/>
          <w:highlight w:val="none"/>
        </w:rPr>
        <w:t xml:space="preserve">在可比性审核之前，不能改动监测仪器的任何设置参数。 </w:t>
      </w:r>
    </w:p>
    <w:p w14:paraId="06B76F90">
      <w:pPr>
        <w:pStyle w:val="30"/>
        <w:numPr>
          <w:ilvl w:val="3"/>
          <w:numId w:val="1"/>
        </w:numPr>
        <w:jc w:val="both"/>
        <w:rPr>
          <w:highlight w:val="none"/>
        </w:rPr>
      </w:pPr>
      <w:r>
        <w:rPr>
          <w:rFonts w:hint="eastAsia"/>
          <w:highlight w:val="none"/>
        </w:rPr>
        <w:t>可比性审核时，审核用标准气体的修正浓度值与标称浓度值的差值应符合以下要求 CO</w:t>
      </w:r>
      <w:r>
        <w:rPr>
          <w:rFonts w:hint="eastAsia"/>
          <w:highlight w:val="none"/>
          <w:vertAlign w:val="subscript"/>
        </w:rPr>
        <w:t>2</w:t>
      </w:r>
      <w:r>
        <w:rPr>
          <w:rFonts w:hint="eastAsia"/>
          <w:highlight w:val="none"/>
        </w:rPr>
        <w:t>/CH</w:t>
      </w:r>
      <w:r>
        <w:rPr>
          <w:rFonts w:hint="eastAsia"/>
          <w:highlight w:val="none"/>
          <w:vertAlign w:val="subscript"/>
        </w:rPr>
        <w:t>4</w:t>
      </w:r>
      <w:r>
        <w:rPr>
          <w:rFonts w:hint="eastAsia"/>
          <w:highlight w:val="none"/>
        </w:rPr>
        <w:t>差值应不超过±0.2ppm/5ppb，有条件的进一步提升为不超过±0.1ppm/2ppb。</w:t>
      </w:r>
    </w:p>
    <w:p w14:paraId="463F9159">
      <w:pPr>
        <w:pStyle w:val="30"/>
        <w:numPr>
          <w:ilvl w:val="3"/>
          <w:numId w:val="1"/>
        </w:numPr>
        <w:jc w:val="both"/>
        <w:rPr>
          <w:highlight w:val="none"/>
        </w:rPr>
      </w:pPr>
      <w:r>
        <w:rPr>
          <w:rFonts w:hint="eastAsia"/>
          <w:highlight w:val="none"/>
        </w:rPr>
        <w:t>每台监测仪器至少每年进行1次监测系统可比性审核。</w:t>
      </w:r>
    </w:p>
    <w:p w14:paraId="0FB7D95A">
      <w:pPr>
        <w:pStyle w:val="30"/>
        <w:numPr>
          <w:ilvl w:val="3"/>
          <w:numId w:val="1"/>
        </w:numPr>
        <w:jc w:val="both"/>
        <w:rPr>
          <w:highlight w:val="none"/>
        </w:rPr>
      </w:pPr>
      <w:r>
        <w:rPr>
          <w:rFonts w:hint="eastAsia"/>
          <w:highlight w:val="none"/>
        </w:rPr>
        <w:t>可比性审核用于对监测系统进行外部质量控制，审核人员不从事所审核仪器的日常操作和维护。</w:t>
      </w:r>
    </w:p>
    <w:p w14:paraId="1B1A1941">
      <w:pPr>
        <w:pStyle w:val="30"/>
        <w:numPr>
          <w:ilvl w:val="3"/>
          <w:numId w:val="1"/>
        </w:numPr>
        <w:jc w:val="both"/>
        <w:rPr>
          <w:highlight w:val="none"/>
        </w:rPr>
      </w:pPr>
      <w:r>
        <w:rPr>
          <w:rFonts w:hint="eastAsia"/>
          <w:highlight w:val="none"/>
        </w:rPr>
        <w:t>用于监测系统可比性审核的标准物质不得用于日常的质量控制。</w:t>
      </w:r>
    </w:p>
    <w:p w14:paraId="534797FF">
      <w:pPr>
        <w:pStyle w:val="28"/>
        <w:rPr>
          <w:highlight w:val="none"/>
        </w:rPr>
      </w:pPr>
      <w:bookmarkStart w:id="120" w:name="_Toc8558"/>
      <w:bookmarkStart w:id="121" w:name="_Toc21352"/>
      <w:bookmarkStart w:id="122" w:name="_Toc23311"/>
      <w:r>
        <w:rPr>
          <w:rFonts w:hint="eastAsia"/>
          <w:highlight w:val="none"/>
        </w:rPr>
        <w:t>数据有效性判断</w:t>
      </w:r>
      <w:bookmarkEnd w:id="120"/>
      <w:bookmarkEnd w:id="121"/>
      <w:bookmarkEnd w:id="122"/>
    </w:p>
    <w:p w14:paraId="7C9EF31D">
      <w:pPr>
        <w:pStyle w:val="2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监测系统正常运行时的所有监测数据均为有效数据。</w:t>
      </w:r>
    </w:p>
    <w:p w14:paraId="78E1ABCC">
      <w:pPr>
        <w:pStyle w:val="2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仪器产生的原始监测数据需使用校准方程计算得到修正浓度值，数据统计分析均使用修正浓度值。</w:t>
      </w:r>
    </w:p>
    <w:p w14:paraId="0488B284">
      <w:pPr>
        <w:pStyle w:val="2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对仪器进行检查、校准、维护保养或仪器出现故障等非正常监测期间的数据为无效数据；仪器启动至仪器预热完成时段内的数据为无效数据；样气或标准气体冲洗管路期间的数据为无效数据。</w:t>
      </w:r>
    </w:p>
    <w:p w14:paraId="0B3519BE">
      <w:pPr>
        <w:pStyle w:val="2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若目标气检查不合格，且判断为因监测系统故障导致，则从上次目标气检查合格的结束时刻算起，到监测系统故障解决完成时间为止，该时段内的监测数据为无效数据。</w:t>
      </w:r>
    </w:p>
    <w:p w14:paraId="0F2952D0">
      <w:pPr>
        <w:pStyle w:val="2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应标记受局地污染事件、人为与自然干扰情况等影响的监测数据，数据有效但不参与统计。</w:t>
      </w:r>
    </w:p>
    <w:p w14:paraId="3F5A9F4C">
      <w:pPr>
        <w:pStyle w:val="2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对于缺失和判断为无效的数据均应注明原因，并保留原始记录。</w:t>
      </w:r>
    </w:p>
    <w:p w14:paraId="129E071F">
      <w:pPr>
        <w:pStyle w:val="2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监测数据浓度单位及保留小数位数要求如下：</w:t>
      </w:r>
    </w:p>
    <w:p w14:paraId="5383E1F0">
      <w:pPr>
        <w:pStyle w:val="30"/>
        <w:numPr>
          <w:ilvl w:val="0"/>
          <w:numId w:val="0"/>
        </w:numPr>
        <w:ind w:left="420"/>
        <w:jc w:val="center"/>
        <w:rPr>
          <w:rFonts w:hint="eastAsia" w:ascii="黑体" w:hAnsi="黑体" w:eastAsia="黑体"/>
          <w:sz w:val="18"/>
          <w:szCs w:val="18"/>
          <w:highlight w:val="none"/>
        </w:rPr>
      </w:pPr>
      <w:r>
        <w:rPr>
          <w:rFonts w:hint="eastAsia" w:ascii="黑体" w:hAnsi="黑体" w:eastAsia="黑体"/>
          <w:sz w:val="18"/>
          <w:szCs w:val="18"/>
          <w:highlight w:val="none"/>
        </w:rPr>
        <w:t>表2 数据单位和保留小数位要求</w:t>
      </w:r>
    </w:p>
    <w:tbl>
      <w:tblPr>
        <w:tblStyle w:val="7"/>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190"/>
        <w:gridCol w:w="3190"/>
        <w:gridCol w:w="3191"/>
      </w:tblGrid>
      <w:tr w14:paraId="4EAE16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90" w:type="dxa"/>
            <w:vAlign w:val="center"/>
          </w:tcPr>
          <w:p w14:paraId="057F9E71">
            <w:pPr>
              <w:pStyle w:val="30"/>
              <w:numPr>
                <w:ilvl w:val="0"/>
                <w:numId w:val="0"/>
              </w:numPr>
              <w:jc w:val="center"/>
              <w:rPr>
                <w:b/>
                <w:sz w:val="15"/>
                <w:szCs w:val="15"/>
                <w:highlight w:val="none"/>
              </w:rPr>
            </w:pPr>
            <w:r>
              <w:rPr>
                <w:rFonts w:hint="eastAsia"/>
                <w:b/>
                <w:sz w:val="15"/>
                <w:szCs w:val="15"/>
                <w:highlight w:val="none"/>
              </w:rPr>
              <w:t>监测项目</w:t>
            </w:r>
          </w:p>
        </w:tc>
        <w:tc>
          <w:tcPr>
            <w:tcW w:w="3190" w:type="dxa"/>
            <w:vAlign w:val="center"/>
          </w:tcPr>
          <w:p w14:paraId="0BEDF7E5">
            <w:pPr>
              <w:pStyle w:val="30"/>
              <w:numPr>
                <w:ilvl w:val="0"/>
                <w:numId w:val="0"/>
              </w:numPr>
              <w:jc w:val="center"/>
              <w:rPr>
                <w:b/>
                <w:sz w:val="15"/>
                <w:szCs w:val="15"/>
                <w:highlight w:val="none"/>
              </w:rPr>
            </w:pPr>
            <w:r>
              <w:rPr>
                <w:rFonts w:hint="eastAsia"/>
                <w:b/>
                <w:sz w:val="15"/>
                <w:szCs w:val="15"/>
                <w:highlight w:val="none"/>
              </w:rPr>
              <w:t>单位</w:t>
            </w:r>
          </w:p>
        </w:tc>
        <w:tc>
          <w:tcPr>
            <w:tcW w:w="3191" w:type="dxa"/>
            <w:vAlign w:val="center"/>
          </w:tcPr>
          <w:p w14:paraId="434BD16D">
            <w:pPr>
              <w:pStyle w:val="30"/>
              <w:numPr>
                <w:ilvl w:val="0"/>
                <w:numId w:val="0"/>
              </w:numPr>
              <w:jc w:val="center"/>
              <w:rPr>
                <w:b/>
                <w:sz w:val="15"/>
                <w:szCs w:val="15"/>
                <w:highlight w:val="none"/>
              </w:rPr>
            </w:pPr>
            <w:r>
              <w:rPr>
                <w:rFonts w:hint="eastAsia"/>
                <w:b/>
                <w:sz w:val="15"/>
                <w:szCs w:val="15"/>
                <w:highlight w:val="none"/>
              </w:rPr>
              <w:t>保留小数位数</w:t>
            </w:r>
          </w:p>
        </w:tc>
      </w:tr>
      <w:tr w14:paraId="0323EB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90" w:type="dxa"/>
            <w:vAlign w:val="center"/>
          </w:tcPr>
          <w:p w14:paraId="0794513A">
            <w:pPr>
              <w:pStyle w:val="30"/>
              <w:numPr>
                <w:ilvl w:val="0"/>
                <w:numId w:val="0"/>
              </w:numPr>
              <w:jc w:val="center"/>
              <w:rPr>
                <w:sz w:val="15"/>
                <w:szCs w:val="15"/>
                <w:highlight w:val="none"/>
              </w:rPr>
            </w:pPr>
            <w:r>
              <w:rPr>
                <w:rFonts w:hint="eastAsia"/>
                <w:sz w:val="15"/>
                <w:szCs w:val="15"/>
                <w:highlight w:val="none"/>
              </w:rPr>
              <w:t>二氧化碳</w:t>
            </w:r>
          </w:p>
        </w:tc>
        <w:tc>
          <w:tcPr>
            <w:tcW w:w="3190" w:type="dxa"/>
            <w:vAlign w:val="center"/>
          </w:tcPr>
          <w:p w14:paraId="5FFCD1FE">
            <w:pPr>
              <w:pStyle w:val="30"/>
              <w:numPr>
                <w:ilvl w:val="0"/>
                <w:numId w:val="0"/>
              </w:numPr>
              <w:jc w:val="center"/>
              <w:rPr>
                <w:sz w:val="15"/>
                <w:szCs w:val="15"/>
                <w:highlight w:val="none"/>
              </w:rPr>
            </w:pPr>
            <w:r>
              <w:rPr>
                <w:sz w:val="15"/>
                <w:szCs w:val="15"/>
                <w:highlight w:val="none"/>
              </w:rPr>
              <w:t>ppm</w:t>
            </w:r>
          </w:p>
        </w:tc>
        <w:tc>
          <w:tcPr>
            <w:tcW w:w="3191" w:type="dxa"/>
            <w:vAlign w:val="center"/>
          </w:tcPr>
          <w:p w14:paraId="0110F8C2">
            <w:pPr>
              <w:pStyle w:val="30"/>
              <w:numPr>
                <w:ilvl w:val="0"/>
                <w:numId w:val="0"/>
              </w:numPr>
              <w:jc w:val="center"/>
              <w:rPr>
                <w:sz w:val="15"/>
                <w:szCs w:val="15"/>
                <w:highlight w:val="none"/>
              </w:rPr>
            </w:pPr>
            <w:r>
              <w:rPr>
                <w:rFonts w:hint="eastAsia"/>
                <w:sz w:val="15"/>
                <w:szCs w:val="15"/>
                <w:highlight w:val="none"/>
              </w:rPr>
              <w:t>2</w:t>
            </w:r>
          </w:p>
        </w:tc>
      </w:tr>
      <w:tr w14:paraId="61C3C5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90" w:type="dxa"/>
            <w:vAlign w:val="center"/>
          </w:tcPr>
          <w:p w14:paraId="1400948E">
            <w:pPr>
              <w:pStyle w:val="30"/>
              <w:numPr>
                <w:ilvl w:val="0"/>
                <w:numId w:val="0"/>
              </w:numPr>
              <w:jc w:val="center"/>
              <w:rPr>
                <w:sz w:val="15"/>
                <w:szCs w:val="15"/>
                <w:highlight w:val="none"/>
              </w:rPr>
            </w:pPr>
            <w:r>
              <w:rPr>
                <w:rFonts w:hint="eastAsia"/>
                <w:sz w:val="15"/>
                <w:szCs w:val="15"/>
                <w:highlight w:val="none"/>
              </w:rPr>
              <w:t>甲烷</w:t>
            </w:r>
          </w:p>
        </w:tc>
        <w:tc>
          <w:tcPr>
            <w:tcW w:w="3190" w:type="dxa"/>
            <w:vAlign w:val="center"/>
          </w:tcPr>
          <w:p w14:paraId="754FCDB4">
            <w:pPr>
              <w:pStyle w:val="30"/>
              <w:numPr>
                <w:ilvl w:val="0"/>
                <w:numId w:val="0"/>
              </w:numPr>
              <w:jc w:val="center"/>
              <w:rPr>
                <w:sz w:val="15"/>
                <w:szCs w:val="15"/>
                <w:highlight w:val="none"/>
              </w:rPr>
            </w:pPr>
            <w:r>
              <w:rPr>
                <w:sz w:val="15"/>
                <w:szCs w:val="15"/>
                <w:highlight w:val="none"/>
              </w:rPr>
              <w:t>ppb</w:t>
            </w:r>
          </w:p>
        </w:tc>
        <w:tc>
          <w:tcPr>
            <w:tcW w:w="3191" w:type="dxa"/>
            <w:vAlign w:val="center"/>
          </w:tcPr>
          <w:p w14:paraId="11937A34">
            <w:pPr>
              <w:pStyle w:val="30"/>
              <w:numPr>
                <w:ilvl w:val="0"/>
                <w:numId w:val="0"/>
              </w:numPr>
              <w:jc w:val="center"/>
              <w:rPr>
                <w:sz w:val="15"/>
                <w:szCs w:val="15"/>
                <w:highlight w:val="none"/>
              </w:rPr>
            </w:pPr>
            <w:r>
              <w:rPr>
                <w:rFonts w:hint="eastAsia"/>
                <w:sz w:val="15"/>
                <w:szCs w:val="15"/>
                <w:highlight w:val="none"/>
              </w:rPr>
              <w:t>1</w:t>
            </w:r>
          </w:p>
        </w:tc>
      </w:tr>
    </w:tbl>
    <w:p w14:paraId="12A04D21">
      <w:pPr>
        <w:pStyle w:val="30"/>
        <w:numPr>
          <w:ilvl w:val="0"/>
          <w:numId w:val="0"/>
        </w:numPr>
        <w:ind w:left="420"/>
        <w:jc w:val="both"/>
        <w:rPr>
          <w:highlight w:val="none"/>
        </w:rPr>
      </w:pPr>
    </w:p>
    <w:p w14:paraId="2ABBABCE">
      <w:pPr>
        <w:widowControl/>
        <w:jc w:val="left"/>
        <w:rPr>
          <w:rFonts w:ascii="宋体"/>
          <w:kern w:val="0"/>
          <w:szCs w:val="20"/>
          <w:highlight w:val="none"/>
        </w:rPr>
      </w:pPr>
      <w:r>
        <w:rPr>
          <w:highlight w:val="none"/>
        </w:rPr>
        <w:br w:type="page"/>
      </w:r>
    </w:p>
    <w:p w14:paraId="4E7B2E67">
      <w:pPr>
        <w:pStyle w:val="35"/>
        <w:rPr>
          <w:rFonts w:hint="default" w:eastAsia="黑体"/>
          <w:highlight w:val="none"/>
          <w:lang w:val="en-US" w:eastAsia="zh-CN"/>
        </w:rPr>
      </w:pPr>
      <w:bookmarkStart w:id="123" w:name="_Toc7531"/>
      <w:bookmarkEnd w:id="123"/>
      <w:bookmarkStart w:id="124" w:name="_Toc21340"/>
      <w:bookmarkEnd w:id="124"/>
      <w:bookmarkStart w:id="125" w:name="_Toc8805"/>
      <w:bookmarkEnd w:id="125"/>
      <w:bookmarkStart w:id="126" w:name="_Toc128642769"/>
      <w:bookmarkEnd w:id="126"/>
      <w:bookmarkStart w:id="127" w:name="_Toc128642768"/>
      <w:bookmarkEnd w:id="127"/>
      <w:bookmarkStart w:id="128" w:name="_Toc22204"/>
      <w:bookmarkEnd w:id="128"/>
      <w:bookmarkStart w:id="129" w:name="_Toc19635"/>
      <w:bookmarkStart w:id="130" w:name="_Toc20500"/>
      <w:bookmarkStart w:id="131" w:name="_Toc9417"/>
      <w:r>
        <w:rPr>
          <w:rFonts w:hint="eastAsia"/>
          <w:highlight w:val="none"/>
          <w:lang w:val="en-US" w:eastAsia="zh-CN"/>
        </w:rPr>
        <w:t>附  录  A</w:t>
      </w:r>
      <w:bookmarkEnd w:id="129"/>
      <w:bookmarkEnd w:id="130"/>
    </w:p>
    <w:p w14:paraId="66AFFC68">
      <w:pPr>
        <w:pStyle w:val="35"/>
        <w:rPr>
          <w:rFonts w:hint="eastAsia"/>
          <w:highlight w:val="none"/>
        </w:rPr>
      </w:pPr>
      <w:bookmarkStart w:id="132" w:name="_Toc8203"/>
      <w:bookmarkStart w:id="133" w:name="_Toc17955"/>
      <w:r>
        <w:rPr>
          <w:rFonts w:hint="eastAsia"/>
          <w:highlight w:val="none"/>
        </w:rPr>
        <w:t>（资料性附录）</w:t>
      </w:r>
      <w:bookmarkEnd w:id="132"/>
      <w:bookmarkEnd w:id="133"/>
    </w:p>
    <w:p w14:paraId="2EE82F5C">
      <w:pPr>
        <w:pStyle w:val="35"/>
        <w:shd w:val="clear" w:color="FFFFFF" w:fill="FFFFFF"/>
        <w:rPr>
          <w:rFonts w:hint="default"/>
          <w:highlight w:val="none"/>
          <w:lang w:val="en-US" w:eastAsia="zh-CN"/>
        </w:rPr>
      </w:pPr>
      <w:bookmarkStart w:id="134" w:name="_Toc12527"/>
      <w:bookmarkStart w:id="135" w:name="_Toc26748"/>
      <w:r>
        <w:rPr>
          <w:rFonts w:hint="eastAsia"/>
          <w:highlight w:val="none"/>
          <w:lang w:val="en-US" w:eastAsia="zh-CN"/>
        </w:rPr>
        <w:t>工作气、标准气的校准方法</w:t>
      </w:r>
      <w:bookmarkEnd w:id="134"/>
      <w:bookmarkEnd w:id="135"/>
    </w:p>
    <w:p w14:paraId="7206AA13">
      <w:pPr>
        <w:pStyle w:val="36"/>
        <w:bidi w:val="0"/>
        <w:rPr>
          <w:rFonts w:hint="eastAsia"/>
          <w:lang w:val="en-US" w:eastAsia="zh-CN"/>
        </w:rPr>
      </w:pPr>
      <w:bookmarkStart w:id="136" w:name="_Toc5650"/>
      <w:bookmarkStart w:id="137" w:name="_Toc16878"/>
      <w:r>
        <w:rPr>
          <w:rFonts w:hint="eastAsia"/>
          <w:lang w:val="en-US" w:eastAsia="zh-CN"/>
        </w:rPr>
        <w:t>工作气校准方法</w:t>
      </w:r>
      <w:bookmarkEnd w:id="136"/>
      <w:bookmarkEnd w:id="137"/>
    </w:p>
    <w:p w14:paraId="355CB114">
      <w:pPr>
        <w:pStyle w:val="37"/>
        <w:bidi w:val="0"/>
      </w:pPr>
      <w:r>
        <w:t>单点校准</w:t>
      </w:r>
    </w:p>
    <w:p w14:paraId="44D423A8">
      <w:pPr>
        <w:ind w:firstLine="420" w:firstLineChars="200"/>
        <w:rPr>
          <w:highlight w:val="none"/>
        </w:rPr>
      </w:pPr>
      <w:r>
        <w:rPr>
          <w:highlight w:val="none"/>
        </w:rPr>
        <w:t>适用于被测气体浓度变化幅度较小的清洁区域。工作气浓度建议在全年小时浓度的 50百分位附近。校准方法如下</w:t>
      </w:r>
    </w:p>
    <w:p w14:paraId="1968B5B5">
      <w:pPr>
        <w:ind w:firstLine="420" w:firstLineChars="200"/>
        <w:rPr>
          <w:highlight w:val="none"/>
        </w:rPr>
      </w:pPr>
      <w:r>
        <w:rPr>
          <w:highlight w:val="none"/>
        </w:rPr>
        <w:t>1）向监测系统通入工作气，每次通气15分钟，取后5分钟监测数据均值为记录结果。</w:t>
      </w:r>
    </w:p>
    <w:p w14:paraId="610F93C7">
      <w:pPr>
        <w:pStyle w:val="24"/>
        <w:rPr>
          <w:rFonts w:ascii="Times New Roman"/>
          <w:highlight w:val="none"/>
        </w:rPr>
      </w:pPr>
      <w:r>
        <w:rPr>
          <w:rFonts w:ascii="Times New Roman"/>
          <w:highlight w:val="none"/>
        </w:rPr>
        <w:t>2）用公式A.1计算 校准系数 。</w:t>
      </w:r>
    </w:p>
    <w:p w14:paraId="44205789">
      <w:pPr>
        <w:widowControl/>
        <w:jc w:val="right"/>
        <w:textAlignment w:val="center"/>
        <w:rPr>
          <w:kern w:val="0"/>
          <w:sz w:val="24"/>
          <w:highlight w:val="none"/>
        </w:rPr>
      </w:pPr>
      <w:r>
        <w:rPr>
          <w:rFonts w:hint="eastAsia"/>
          <w:kern w:val="0"/>
          <w:sz w:val="24"/>
          <w:highlight w:val="none"/>
        </w:rPr>
        <w:t>K=S/S´</w:t>
      </w:r>
      <w:r>
        <w:rPr>
          <w:kern w:val="0"/>
          <w:sz w:val="24"/>
          <w:highlight w:val="none"/>
        </w:rPr>
        <w:t xml:space="preserve">                            （A.1）</w:t>
      </w:r>
    </w:p>
    <w:p w14:paraId="3257F230">
      <w:pPr>
        <w:pStyle w:val="24"/>
        <w:rPr>
          <w:rFonts w:ascii="Times New Roman"/>
          <w:highlight w:val="none"/>
        </w:rPr>
      </w:pPr>
      <w:r>
        <w:rPr>
          <w:rFonts w:ascii="Times New Roman"/>
          <w:highlight w:val="none"/>
        </w:rPr>
        <w:t>式中：K—校准系数；</w:t>
      </w:r>
    </w:p>
    <w:p w14:paraId="35019319">
      <w:pPr>
        <w:pStyle w:val="24"/>
        <w:ind w:firstLine="991" w:firstLineChars="472"/>
        <w:rPr>
          <w:rFonts w:hint="eastAsia" w:ascii="Times New Roman"/>
          <w:highlight w:val="none"/>
        </w:rPr>
      </w:pPr>
      <w:r>
        <w:rPr>
          <w:rFonts w:hint="eastAsia" w:ascii="Times New Roman"/>
          <w:highlight w:val="none"/>
        </w:rPr>
        <w:t>S—标气的标称浓度值ppb或ppm</w:t>
      </w:r>
    </w:p>
    <w:p w14:paraId="5A25944B">
      <w:pPr>
        <w:pStyle w:val="24"/>
        <w:ind w:firstLine="991" w:firstLineChars="472"/>
        <w:rPr>
          <w:rFonts w:ascii="Times New Roman"/>
          <w:highlight w:val="none"/>
        </w:rPr>
      </w:pPr>
      <w:r>
        <w:rPr>
          <w:rFonts w:hint="eastAsia" w:ascii="Times New Roman"/>
          <w:highlight w:val="none"/>
        </w:rPr>
        <w:t>S´—监测仪器对标气的响应浓度值ppb或 ppm。</w:t>
      </w:r>
    </w:p>
    <w:p w14:paraId="393E62E5">
      <w:pPr>
        <w:pStyle w:val="24"/>
        <w:rPr>
          <w:rFonts w:ascii="Times New Roman"/>
          <w:highlight w:val="none"/>
        </w:rPr>
      </w:pPr>
      <w:r>
        <w:rPr>
          <w:rFonts w:ascii="Times New Roman"/>
          <w:highlight w:val="none"/>
        </w:rPr>
        <w:t>3）用公式 A.2计算 修正浓度值。</w:t>
      </w:r>
    </w:p>
    <w:p w14:paraId="102B9346">
      <w:pPr>
        <w:widowControl/>
        <w:jc w:val="right"/>
        <w:textAlignment w:val="center"/>
        <w:rPr>
          <w:kern w:val="0"/>
          <w:sz w:val="24"/>
          <w:highlight w:val="none"/>
        </w:rPr>
      </w:pPr>
      <w:r>
        <w:rPr>
          <w:rFonts w:hint="eastAsia"/>
          <w:kern w:val="0"/>
          <w:sz w:val="24"/>
          <w:highlight w:val="none"/>
        </w:rPr>
        <w:t>C=KC´</w:t>
      </w:r>
      <w:r>
        <w:rPr>
          <w:kern w:val="0"/>
          <w:sz w:val="24"/>
          <w:highlight w:val="none"/>
        </w:rPr>
        <w:t xml:space="preserve">                            （A.2）</w:t>
      </w:r>
    </w:p>
    <w:p w14:paraId="700EBEB7">
      <w:pPr>
        <w:pStyle w:val="24"/>
        <w:rPr>
          <w:rFonts w:ascii="Times New Roman"/>
          <w:highlight w:val="none"/>
        </w:rPr>
      </w:pPr>
      <w:r>
        <w:rPr>
          <w:rFonts w:ascii="Times New Roman"/>
          <w:highlight w:val="none"/>
        </w:rPr>
        <w:t>式中：C—监测数据的修正浓度值ppb或ppm</w:t>
      </w:r>
    </w:p>
    <w:p w14:paraId="1EEA14F8">
      <w:pPr>
        <w:pStyle w:val="24"/>
        <w:ind w:firstLine="1050" w:firstLineChars="500"/>
        <w:rPr>
          <w:rFonts w:ascii="Times New Roman"/>
          <w:highlight w:val="none"/>
        </w:rPr>
      </w:pPr>
      <w:r>
        <w:rPr>
          <w:rFonts w:ascii="Times New Roman"/>
          <w:highlight w:val="none"/>
        </w:rPr>
        <w:t>K—校准系数</w:t>
      </w:r>
    </w:p>
    <w:p w14:paraId="1D19F7DB">
      <w:pPr>
        <w:pStyle w:val="24"/>
        <w:ind w:firstLine="1050" w:firstLineChars="500"/>
        <w:rPr>
          <w:rFonts w:ascii="Times New Roman"/>
          <w:b/>
          <w:bCs/>
          <w:highlight w:val="none"/>
        </w:rPr>
      </w:pPr>
      <w:r>
        <w:rPr>
          <w:rFonts w:ascii="Times New Roman"/>
          <w:highlight w:val="none"/>
        </w:rPr>
        <w:t>C´—监测仪器对样气的响应浓度值ppb或ppm。</w:t>
      </w:r>
    </w:p>
    <w:p w14:paraId="0D5F9771">
      <w:pPr>
        <w:pStyle w:val="37"/>
        <w:bidi w:val="0"/>
      </w:pPr>
      <w:r>
        <w:t>两点校准</w:t>
      </w:r>
    </w:p>
    <w:p w14:paraId="54ADF367">
      <w:pPr>
        <w:pStyle w:val="24"/>
        <w:rPr>
          <w:rFonts w:ascii="Times New Roman"/>
          <w:kern w:val="2"/>
          <w:szCs w:val="24"/>
          <w:highlight w:val="none"/>
        </w:rPr>
      </w:pPr>
      <w:r>
        <w:rPr>
          <w:rFonts w:ascii="Times New Roman"/>
          <w:kern w:val="2"/>
          <w:szCs w:val="24"/>
          <w:highlight w:val="none"/>
        </w:rPr>
        <w:t>适用被测气体浓度波动范围较大的地区。工作气应涵盖所监测地区被测气体浓度范围，建议高浓度工作气在全年小时浓度的90百分位附近，低浓度工作气在全年小时浓度的10百分位附近。校准方法如下：</w:t>
      </w:r>
    </w:p>
    <w:p w14:paraId="1DBAC174">
      <w:pPr>
        <w:pStyle w:val="24"/>
        <w:numPr>
          <w:ilvl w:val="0"/>
          <w:numId w:val="10"/>
        </w:numPr>
        <w:rPr>
          <w:rFonts w:hint="eastAsia" w:ascii="Times New Roman"/>
          <w:highlight w:val="none"/>
        </w:rPr>
      </w:pPr>
      <w:r>
        <w:rPr>
          <w:rFonts w:hint="eastAsia" w:ascii="Times New Roman"/>
          <w:highlight w:val="none"/>
        </w:rPr>
        <w:t>向监测系统先后通入低浓度工作气和高浓度工作气，每次通气15分钟，待读数稳定后分别记录监测仪器对各浓度标气的响应浓度值，取后5分钟均值为记录结果。</w:t>
      </w:r>
    </w:p>
    <w:p w14:paraId="4C67FF8E">
      <w:pPr>
        <w:pStyle w:val="24"/>
        <w:numPr>
          <w:ilvl w:val="0"/>
          <w:numId w:val="10"/>
        </w:numPr>
        <w:rPr>
          <w:rFonts w:ascii="Times New Roman"/>
          <w:highlight w:val="none"/>
        </w:rPr>
      </w:pPr>
      <w:r>
        <w:rPr>
          <w:rFonts w:ascii="Times New Roman"/>
          <w:highlight w:val="none"/>
        </w:rPr>
        <w:t>用最小二乘法获得校准曲线的拟合方程Y=aX+b，其中X为监测仪器对标气的响应浓度值，Y为标气 的标称浓度值，a为斜率，b为截距；使用r代表最小二乘法计算得到的相关系数 。</w:t>
      </w:r>
    </w:p>
    <w:p w14:paraId="12D97A33">
      <w:pPr>
        <w:pStyle w:val="24"/>
        <w:numPr>
          <w:ilvl w:val="0"/>
          <w:numId w:val="10"/>
        </w:numPr>
        <w:rPr>
          <w:rFonts w:ascii="Times New Roman"/>
          <w:highlight w:val="none"/>
        </w:rPr>
      </w:pPr>
      <w:r>
        <w:rPr>
          <w:rFonts w:ascii="Times New Roman"/>
          <w:highlight w:val="none"/>
        </w:rPr>
        <w:t>用公式A.3计算修正浓度值。</w:t>
      </w:r>
    </w:p>
    <w:p w14:paraId="46369BE6">
      <w:pPr>
        <w:widowControl/>
        <w:jc w:val="right"/>
        <w:textAlignment w:val="center"/>
        <w:rPr>
          <w:kern w:val="0"/>
          <w:sz w:val="24"/>
          <w:highlight w:val="none"/>
        </w:rPr>
      </w:pPr>
      <w:r>
        <w:rPr>
          <w:kern w:val="0"/>
          <w:szCs w:val="21"/>
          <w:highlight w:val="none"/>
        </w:rPr>
        <w:t>C=</w:t>
      </w:r>
      <w:r>
        <w:rPr>
          <w:rFonts w:hint="eastAsia"/>
          <w:kern w:val="0"/>
          <w:szCs w:val="21"/>
          <w:highlight w:val="none"/>
          <w:lang w:val="en-US" w:eastAsia="zh-CN"/>
        </w:rPr>
        <w:t>a</w:t>
      </w:r>
      <w:r>
        <w:rPr>
          <w:szCs w:val="21"/>
          <w:highlight w:val="none"/>
        </w:rPr>
        <w:t>C´+</w:t>
      </w:r>
      <w:r>
        <w:rPr>
          <w:rFonts w:hint="eastAsia"/>
          <w:szCs w:val="21"/>
          <w:highlight w:val="none"/>
          <w:lang w:val="en-US" w:eastAsia="zh-CN"/>
        </w:rPr>
        <w:t>b</w:t>
      </w:r>
      <w:r>
        <w:rPr>
          <w:kern w:val="0"/>
          <w:sz w:val="24"/>
          <w:highlight w:val="none"/>
        </w:rPr>
        <w:t xml:space="preserve">                         （A.3）</w:t>
      </w:r>
    </w:p>
    <w:p w14:paraId="17B81355">
      <w:pPr>
        <w:pStyle w:val="24"/>
        <w:rPr>
          <w:rFonts w:ascii="Times New Roman"/>
          <w:highlight w:val="none"/>
        </w:rPr>
      </w:pPr>
      <w:r>
        <w:rPr>
          <w:rFonts w:ascii="Times New Roman"/>
          <w:highlight w:val="none"/>
        </w:rPr>
        <w:t>式中：C—监测数据的修正浓度值ppb或ppm</w:t>
      </w:r>
    </w:p>
    <w:p w14:paraId="0BCA5C4E">
      <w:pPr>
        <w:pStyle w:val="24"/>
        <w:ind w:firstLine="991" w:firstLineChars="472"/>
        <w:rPr>
          <w:rFonts w:ascii="Times New Roman"/>
          <w:highlight w:val="none"/>
        </w:rPr>
      </w:pPr>
      <w:r>
        <w:rPr>
          <w:rFonts w:hint="eastAsia" w:ascii="Times New Roman"/>
          <w:highlight w:val="none"/>
          <w:lang w:val="en-US" w:eastAsia="zh-CN"/>
        </w:rPr>
        <w:t>a</w:t>
      </w:r>
      <w:r>
        <w:rPr>
          <w:rFonts w:ascii="Times New Roman"/>
          <w:highlight w:val="none"/>
        </w:rPr>
        <w:t>—校准曲线斜率</w:t>
      </w:r>
    </w:p>
    <w:p w14:paraId="6D43C731">
      <w:pPr>
        <w:pStyle w:val="24"/>
        <w:ind w:firstLine="991" w:firstLineChars="472"/>
        <w:rPr>
          <w:rFonts w:ascii="Times New Roman"/>
          <w:highlight w:val="none"/>
        </w:rPr>
      </w:pPr>
      <w:r>
        <w:rPr>
          <w:rFonts w:hint="eastAsia" w:ascii="Times New Roman"/>
          <w:highlight w:val="none"/>
          <w:lang w:val="en-US" w:eastAsia="zh-CN"/>
        </w:rPr>
        <w:t>b</w:t>
      </w:r>
      <w:r>
        <w:rPr>
          <w:rFonts w:ascii="Times New Roman"/>
          <w:highlight w:val="none"/>
        </w:rPr>
        <w:t>—校准曲线截距ppb或ppm</w:t>
      </w:r>
    </w:p>
    <w:p w14:paraId="7DF11E06">
      <w:pPr>
        <w:pStyle w:val="24"/>
        <w:ind w:firstLine="991" w:firstLineChars="472"/>
        <w:rPr>
          <w:rFonts w:ascii="Times New Roman"/>
          <w:highlight w:val="none"/>
        </w:rPr>
      </w:pPr>
      <w:r>
        <w:rPr>
          <w:rFonts w:ascii="Times New Roman"/>
          <w:highlight w:val="none"/>
        </w:rPr>
        <w:t>C´—监测仪器对样气的响应浓度值ppb或ppm。</w:t>
      </w:r>
    </w:p>
    <w:p w14:paraId="2D6C64A4">
      <w:pPr>
        <w:widowControl/>
        <w:jc w:val="left"/>
        <w:rPr>
          <w:rFonts w:ascii="黑体" w:eastAsia="黑体"/>
          <w:kern w:val="0"/>
          <w:szCs w:val="20"/>
          <w:highlight w:val="none"/>
        </w:rPr>
      </w:pPr>
      <w:r>
        <w:rPr>
          <w:highlight w:val="none"/>
        </w:rPr>
        <w:br w:type="page"/>
      </w:r>
    </w:p>
    <w:p w14:paraId="325DB402">
      <w:pPr>
        <w:pStyle w:val="36"/>
        <w:bidi w:val="0"/>
        <w:rPr>
          <w:rFonts w:hint="eastAsia"/>
        </w:rPr>
      </w:pPr>
      <w:bookmarkStart w:id="138" w:name="_Toc28344"/>
      <w:bookmarkStart w:id="139" w:name="_Toc4292"/>
      <w:r>
        <w:rPr>
          <w:rFonts w:hint="eastAsia"/>
        </w:rPr>
        <w:t>目标气检查方法</w:t>
      </w:r>
      <w:bookmarkEnd w:id="138"/>
      <w:bookmarkEnd w:id="139"/>
    </w:p>
    <w:p w14:paraId="63D65E74">
      <w:pPr>
        <w:widowControl/>
        <w:jc w:val="left"/>
        <w:rPr>
          <w:rFonts w:hint="eastAsia"/>
          <w:highlight w:val="none"/>
        </w:rPr>
      </w:pPr>
      <w:r>
        <w:rPr>
          <w:rFonts w:hint="eastAsia"/>
          <w:highlight w:val="none"/>
        </w:rPr>
        <w:t>1）每间隔12小时向监测系统通入目标气。目标气建议在所监测地区被测气体全年小时浓度范围的50百分位浓度附近。每次通气15分钟，取后5分钟 均值监测数据均值为记录结果 。</w:t>
      </w:r>
    </w:p>
    <w:p w14:paraId="31F28665">
      <w:pPr>
        <w:widowControl/>
        <w:jc w:val="left"/>
        <w:rPr>
          <w:rFonts w:hint="eastAsia"/>
          <w:highlight w:val="none"/>
        </w:rPr>
      </w:pPr>
      <w:r>
        <w:rPr>
          <w:rFonts w:hint="eastAsia"/>
          <w:highlight w:val="none"/>
        </w:rPr>
        <w:t>2）用公式 A.4（单点校准）或 A.5（多点校准）计算目标气修正浓度值。</w:t>
      </w:r>
    </w:p>
    <w:p w14:paraId="7536800B">
      <w:pPr>
        <w:widowControl/>
        <w:jc w:val="right"/>
        <w:textAlignment w:val="center"/>
        <w:rPr>
          <w:rFonts w:hint="eastAsia"/>
          <w:kern w:val="0"/>
          <w:sz w:val="24"/>
          <w:highlight w:val="none"/>
        </w:rPr>
      </w:pPr>
      <w:r>
        <w:rPr>
          <w:rFonts w:hint="eastAsia"/>
          <w:kern w:val="0"/>
          <w:sz w:val="24"/>
          <w:highlight w:val="none"/>
        </w:rPr>
        <w:t xml:space="preserve">S˝=K S´ </w:t>
      </w:r>
      <w:r>
        <w:rPr>
          <w:rFonts w:hint="eastAsia"/>
          <w:kern w:val="0"/>
          <w:sz w:val="24"/>
          <w:highlight w:val="none"/>
          <w:lang w:val="en-US" w:eastAsia="zh-CN"/>
        </w:rPr>
        <w:t xml:space="preserve">   </w:t>
      </w:r>
      <w:r>
        <w:rPr>
          <w:rFonts w:hint="eastAsia"/>
          <w:kern w:val="0"/>
          <w:sz w:val="24"/>
          <w:highlight w:val="none"/>
        </w:rPr>
        <w:t xml:space="preserve">                         （A</w:t>
      </w:r>
      <w:r>
        <w:rPr>
          <w:kern w:val="0"/>
          <w:sz w:val="24"/>
          <w:highlight w:val="none"/>
        </w:rPr>
        <w:t>.</w:t>
      </w:r>
      <w:r>
        <w:rPr>
          <w:rFonts w:hint="eastAsia"/>
          <w:kern w:val="0"/>
          <w:sz w:val="24"/>
          <w:highlight w:val="none"/>
        </w:rPr>
        <w:t>4）</w:t>
      </w:r>
    </w:p>
    <w:p w14:paraId="607202FB">
      <w:pPr>
        <w:widowControl/>
        <w:jc w:val="left"/>
        <w:rPr>
          <w:highlight w:val="none"/>
        </w:rPr>
      </w:pPr>
      <w:r>
        <w:rPr>
          <w:rFonts w:hint="eastAsia"/>
          <w:highlight w:val="none"/>
        </w:rPr>
        <w:t>式中：</w:t>
      </w:r>
      <w:r>
        <w:rPr>
          <w:highlight w:val="none"/>
        </w:rPr>
        <w:t>S˝—</w:t>
      </w:r>
      <w:r>
        <w:rPr>
          <w:rFonts w:hint="eastAsia"/>
          <w:highlight w:val="none"/>
        </w:rPr>
        <w:t>目标气</w:t>
      </w:r>
      <w:r>
        <w:rPr>
          <w:highlight w:val="none"/>
        </w:rPr>
        <w:t xml:space="preserve"> </w:t>
      </w:r>
      <w:r>
        <w:rPr>
          <w:rFonts w:hint="eastAsia"/>
          <w:highlight w:val="none"/>
        </w:rPr>
        <w:t>修正</w:t>
      </w:r>
      <w:r>
        <w:rPr>
          <w:highlight w:val="none"/>
        </w:rPr>
        <w:t xml:space="preserve"> </w:t>
      </w:r>
      <w:r>
        <w:rPr>
          <w:rFonts w:hint="eastAsia"/>
          <w:highlight w:val="none"/>
        </w:rPr>
        <w:t>浓度值</w:t>
      </w:r>
      <w:r>
        <w:rPr>
          <w:highlight w:val="none"/>
        </w:rPr>
        <w:t>ppb</w:t>
      </w:r>
      <w:r>
        <w:rPr>
          <w:rFonts w:hint="eastAsia"/>
          <w:highlight w:val="none"/>
        </w:rPr>
        <w:t>或</w:t>
      </w:r>
      <w:r>
        <w:rPr>
          <w:highlight w:val="none"/>
        </w:rPr>
        <w:t>ppm</w:t>
      </w:r>
    </w:p>
    <w:p w14:paraId="10E934B3">
      <w:pPr>
        <w:widowControl/>
        <w:ind w:firstLine="567" w:firstLineChars="270"/>
        <w:jc w:val="left"/>
        <w:rPr>
          <w:rFonts w:hint="eastAsia"/>
          <w:highlight w:val="none"/>
        </w:rPr>
      </w:pPr>
      <w:r>
        <w:rPr>
          <w:rFonts w:hint="eastAsia"/>
          <w:highlight w:val="none"/>
        </w:rPr>
        <w:t>K—校准系数</w:t>
      </w:r>
    </w:p>
    <w:p w14:paraId="5D975E83">
      <w:pPr>
        <w:widowControl/>
        <w:ind w:firstLine="567" w:firstLineChars="270"/>
        <w:jc w:val="left"/>
        <w:rPr>
          <w:rFonts w:hint="eastAsia"/>
          <w:highlight w:val="none"/>
        </w:rPr>
      </w:pPr>
      <w:r>
        <w:rPr>
          <w:rFonts w:hint="eastAsia"/>
          <w:highlight w:val="none"/>
        </w:rPr>
        <w:t>S´—监测仪器对标气的响应浓度值ppb或ppm。</w:t>
      </w:r>
    </w:p>
    <w:p w14:paraId="39F7F7AE">
      <w:pPr>
        <w:widowControl/>
        <w:jc w:val="right"/>
        <w:textAlignment w:val="center"/>
        <w:rPr>
          <w:rFonts w:hint="eastAsia"/>
          <w:kern w:val="0"/>
          <w:sz w:val="24"/>
          <w:highlight w:val="none"/>
        </w:rPr>
      </w:pPr>
      <w:r>
        <w:rPr>
          <w:rFonts w:hint="eastAsia"/>
          <w:kern w:val="0"/>
          <w:sz w:val="24"/>
          <w:highlight w:val="none"/>
        </w:rPr>
        <w:t>S˝=aS´+b</w:t>
      </w:r>
      <w:r>
        <w:rPr>
          <w:rFonts w:hint="eastAsia"/>
          <w:kern w:val="0"/>
          <w:sz w:val="24"/>
          <w:highlight w:val="none"/>
          <w:lang w:val="en-US" w:eastAsia="zh-CN"/>
        </w:rPr>
        <w:t xml:space="preserve">    </w:t>
      </w:r>
      <w:r>
        <w:rPr>
          <w:rFonts w:hint="eastAsia"/>
          <w:kern w:val="0"/>
          <w:sz w:val="24"/>
          <w:highlight w:val="none"/>
        </w:rPr>
        <w:t xml:space="preserve">                        （A</w:t>
      </w:r>
      <w:r>
        <w:rPr>
          <w:kern w:val="0"/>
          <w:sz w:val="24"/>
          <w:highlight w:val="none"/>
        </w:rPr>
        <w:t>.</w:t>
      </w:r>
      <w:r>
        <w:rPr>
          <w:rFonts w:hint="eastAsia"/>
          <w:kern w:val="0"/>
          <w:sz w:val="24"/>
          <w:highlight w:val="none"/>
        </w:rPr>
        <w:t>5）</w:t>
      </w:r>
    </w:p>
    <w:p w14:paraId="19847967">
      <w:pPr>
        <w:widowControl/>
        <w:jc w:val="left"/>
        <w:rPr>
          <w:highlight w:val="none"/>
        </w:rPr>
      </w:pPr>
      <w:r>
        <w:rPr>
          <w:rFonts w:hint="eastAsia"/>
          <w:highlight w:val="none"/>
        </w:rPr>
        <w:t>式中：</w:t>
      </w:r>
      <w:r>
        <w:rPr>
          <w:highlight w:val="none"/>
        </w:rPr>
        <w:t>S˝—</w:t>
      </w:r>
      <w:r>
        <w:rPr>
          <w:rFonts w:hint="eastAsia"/>
          <w:highlight w:val="none"/>
        </w:rPr>
        <w:t>目标气修正浓度值</w:t>
      </w:r>
      <w:r>
        <w:rPr>
          <w:highlight w:val="none"/>
        </w:rPr>
        <w:t>ppb</w:t>
      </w:r>
      <w:r>
        <w:rPr>
          <w:rFonts w:hint="eastAsia"/>
          <w:highlight w:val="none"/>
        </w:rPr>
        <w:t>或</w:t>
      </w:r>
      <w:r>
        <w:rPr>
          <w:highlight w:val="none"/>
        </w:rPr>
        <w:t>ppm</w:t>
      </w:r>
    </w:p>
    <w:p w14:paraId="0A322649">
      <w:pPr>
        <w:widowControl/>
        <w:ind w:firstLine="567" w:firstLineChars="270"/>
        <w:jc w:val="left"/>
        <w:rPr>
          <w:rFonts w:hint="eastAsia"/>
          <w:highlight w:val="none"/>
        </w:rPr>
      </w:pPr>
      <w:r>
        <w:rPr>
          <w:rFonts w:hint="eastAsia"/>
          <w:highlight w:val="none"/>
        </w:rPr>
        <w:t>a—校准曲线斜率</w:t>
      </w:r>
    </w:p>
    <w:p w14:paraId="40F36508">
      <w:pPr>
        <w:widowControl/>
        <w:ind w:firstLine="567" w:firstLineChars="270"/>
        <w:jc w:val="left"/>
        <w:rPr>
          <w:rFonts w:hint="eastAsia"/>
          <w:highlight w:val="none"/>
        </w:rPr>
      </w:pPr>
      <w:r>
        <w:rPr>
          <w:rFonts w:hint="eastAsia"/>
          <w:highlight w:val="none"/>
        </w:rPr>
        <w:t>b—校准曲线截距ppb或ppm</w:t>
      </w:r>
    </w:p>
    <w:p w14:paraId="5477CBAE">
      <w:pPr>
        <w:widowControl/>
        <w:ind w:firstLine="567" w:firstLineChars="270"/>
        <w:jc w:val="left"/>
        <w:rPr>
          <w:rFonts w:hint="eastAsia"/>
          <w:highlight w:val="none"/>
        </w:rPr>
      </w:pPr>
      <w:r>
        <w:rPr>
          <w:rFonts w:hint="eastAsia"/>
          <w:highlight w:val="none"/>
        </w:rPr>
        <w:t>S´—监测仪器对标气的响应浓度值ppb或ppm。</w:t>
      </w:r>
    </w:p>
    <w:p w14:paraId="12CDC202">
      <w:pPr>
        <w:widowControl/>
        <w:jc w:val="left"/>
        <w:rPr>
          <w:rFonts w:hint="eastAsia"/>
          <w:highlight w:val="none"/>
        </w:rPr>
      </w:pPr>
      <w:r>
        <w:rPr>
          <w:rFonts w:hint="eastAsia"/>
          <w:highlight w:val="none"/>
        </w:rPr>
        <w:t>3）用公式 A.6计算目标气差值。</w:t>
      </w:r>
    </w:p>
    <w:p w14:paraId="13AA8B6B">
      <w:pPr>
        <w:widowControl/>
        <w:jc w:val="right"/>
        <w:textAlignment w:val="center"/>
        <w:rPr>
          <w:rFonts w:hint="eastAsia"/>
          <w:kern w:val="0"/>
          <w:sz w:val="24"/>
          <w:highlight w:val="none"/>
        </w:rPr>
      </w:pPr>
      <w:r>
        <w:rPr>
          <w:rFonts w:hint="eastAsia"/>
          <w:kern w:val="0"/>
          <w:sz w:val="24"/>
          <w:highlight w:val="none"/>
        </w:rPr>
        <w:t>E=S˝-S</w:t>
      </w:r>
      <w:r>
        <w:rPr>
          <w:rFonts w:hint="eastAsia"/>
          <w:kern w:val="0"/>
          <w:sz w:val="24"/>
          <w:highlight w:val="none"/>
          <w:lang w:val="en-US" w:eastAsia="zh-CN"/>
        </w:rPr>
        <w:t xml:space="preserve">      </w:t>
      </w:r>
      <w:r>
        <w:rPr>
          <w:rFonts w:hint="eastAsia"/>
          <w:kern w:val="0"/>
          <w:sz w:val="24"/>
          <w:highlight w:val="none"/>
        </w:rPr>
        <w:t xml:space="preserve">                        （A</w:t>
      </w:r>
      <w:r>
        <w:rPr>
          <w:kern w:val="0"/>
          <w:sz w:val="24"/>
          <w:highlight w:val="none"/>
        </w:rPr>
        <w:t>.</w:t>
      </w:r>
      <w:r>
        <w:rPr>
          <w:rFonts w:hint="eastAsia"/>
          <w:kern w:val="0"/>
          <w:sz w:val="24"/>
          <w:highlight w:val="none"/>
        </w:rPr>
        <w:t>6）</w:t>
      </w:r>
    </w:p>
    <w:p w14:paraId="478B3068">
      <w:pPr>
        <w:widowControl/>
        <w:jc w:val="left"/>
        <w:rPr>
          <w:rFonts w:hint="eastAsia"/>
          <w:highlight w:val="none"/>
        </w:rPr>
      </w:pPr>
      <w:r>
        <w:rPr>
          <w:rFonts w:hint="eastAsia"/>
          <w:highlight w:val="none"/>
        </w:rPr>
        <w:t>式中</w:t>
      </w:r>
      <w:r>
        <w:rPr>
          <w:rFonts w:hint="eastAsia"/>
          <w:highlight w:val="none"/>
          <w:lang w:eastAsia="zh-CN"/>
        </w:rPr>
        <w:t>：</w:t>
      </w:r>
      <w:r>
        <w:rPr>
          <w:rFonts w:hint="eastAsia"/>
          <w:highlight w:val="none"/>
        </w:rPr>
        <w:t>E—目标气差值ppb或ppm</w:t>
      </w:r>
    </w:p>
    <w:p w14:paraId="41CCF32D">
      <w:pPr>
        <w:widowControl/>
        <w:ind w:firstLine="567" w:firstLineChars="270"/>
        <w:jc w:val="left"/>
        <w:rPr>
          <w:highlight w:val="none"/>
        </w:rPr>
      </w:pPr>
      <w:r>
        <w:rPr>
          <w:highlight w:val="none"/>
        </w:rPr>
        <w:t>S˝—</w:t>
      </w:r>
      <w:r>
        <w:rPr>
          <w:rFonts w:hint="eastAsia"/>
          <w:highlight w:val="none"/>
        </w:rPr>
        <w:t>目标气校准浓度值</w:t>
      </w:r>
      <w:r>
        <w:rPr>
          <w:highlight w:val="none"/>
        </w:rPr>
        <w:t>ppb</w:t>
      </w:r>
      <w:r>
        <w:rPr>
          <w:rFonts w:hint="eastAsia"/>
          <w:highlight w:val="none"/>
        </w:rPr>
        <w:t>或</w:t>
      </w:r>
      <w:r>
        <w:rPr>
          <w:highlight w:val="none"/>
        </w:rPr>
        <w:t>ppm</w:t>
      </w:r>
    </w:p>
    <w:p w14:paraId="6E99E6AD">
      <w:pPr>
        <w:widowControl/>
        <w:ind w:firstLine="567" w:firstLineChars="270"/>
        <w:jc w:val="left"/>
        <w:rPr>
          <w:rFonts w:hint="eastAsia"/>
          <w:highlight w:val="none"/>
        </w:rPr>
      </w:pPr>
      <w:r>
        <w:rPr>
          <w:rFonts w:hint="eastAsia"/>
          <w:highlight w:val="none"/>
        </w:rPr>
        <w:t>S—目标气标称浓度值ppb或ppm。</w:t>
      </w:r>
    </w:p>
    <w:p w14:paraId="477274A5">
      <w:pPr>
        <w:widowControl/>
        <w:jc w:val="left"/>
        <w:rPr>
          <w:rFonts w:ascii="宋体"/>
          <w:kern w:val="0"/>
          <w:szCs w:val="20"/>
          <w:highlight w:val="none"/>
        </w:rPr>
      </w:pPr>
      <w:r>
        <w:rPr>
          <w:rFonts w:hint="eastAsia"/>
          <w:highlight w:val="none"/>
        </w:rPr>
        <w:t>4）目标气检查结果应符合以下要求：CO</w:t>
      </w:r>
      <w:r>
        <w:rPr>
          <w:rFonts w:hint="eastAsia"/>
          <w:highlight w:val="none"/>
          <w:vertAlign w:val="subscript"/>
        </w:rPr>
        <w:t>2</w:t>
      </w:r>
      <w:r>
        <w:rPr>
          <w:rFonts w:hint="eastAsia"/>
          <w:highlight w:val="none"/>
        </w:rPr>
        <w:t>/CH</w:t>
      </w:r>
      <w:r>
        <w:rPr>
          <w:rFonts w:hint="eastAsia"/>
          <w:highlight w:val="none"/>
          <w:vertAlign w:val="subscript"/>
        </w:rPr>
        <w:t>4</w:t>
      </w:r>
      <w:r>
        <w:rPr>
          <w:rFonts w:hint="eastAsia"/>
          <w:highlight w:val="none"/>
        </w:rPr>
        <w:t>差值应不超过0.2ppm/5ppb，有条件的或本底（背景地区进一步提升为不超过0.1ppm/2ppb。当检查结果不满足要求时，应查找原因并处理；若系统运行正常仍频繁出现检查结果不满足要求，应缩短质控时间间隔。</w:t>
      </w:r>
    </w:p>
    <w:p w14:paraId="7CB15B4B">
      <w:pPr>
        <w:widowControl/>
        <w:jc w:val="left"/>
        <w:rPr>
          <w:rFonts w:ascii="宋体"/>
          <w:kern w:val="0"/>
          <w:szCs w:val="20"/>
        </w:rPr>
      </w:pPr>
      <w:r>
        <w:br w:type="page"/>
      </w:r>
    </w:p>
    <w:p w14:paraId="00A1FF0D">
      <w:pPr>
        <w:pStyle w:val="35"/>
        <w:bidi w:val="0"/>
        <w:rPr>
          <w:rFonts w:hint="eastAsia"/>
          <w:lang w:val="en-US" w:eastAsia="zh-CN"/>
        </w:rPr>
      </w:pPr>
      <w:bookmarkStart w:id="140" w:name="_Toc2219"/>
      <w:bookmarkStart w:id="141" w:name="_Toc4684"/>
      <w:r>
        <w:rPr>
          <w:rFonts w:hint="eastAsia"/>
          <w:lang w:val="en-US" w:eastAsia="zh-CN"/>
        </w:rPr>
        <w:t>附  录  B</w:t>
      </w:r>
      <w:bookmarkEnd w:id="140"/>
      <w:bookmarkEnd w:id="141"/>
    </w:p>
    <w:p w14:paraId="2D5B666D">
      <w:pPr>
        <w:pStyle w:val="35"/>
        <w:numPr>
          <w:ilvl w:val="0"/>
          <w:numId w:val="0"/>
        </w:numPr>
        <w:spacing w:before="0" w:after="0"/>
        <w:rPr>
          <w:rFonts w:hint="eastAsia" w:eastAsia="黑体"/>
          <w:highlight w:val="none"/>
          <w:lang w:eastAsia="zh-CN"/>
        </w:rPr>
      </w:pPr>
      <w:bookmarkStart w:id="142" w:name="_Toc14027"/>
      <w:bookmarkStart w:id="143" w:name="_Toc10507"/>
      <w:r>
        <w:rPr>
          <w:rFonts w:hint="eastAsia"/>
          <w:highlight w:val="none"/>
        </w:rPr>
        <w:t>（资料性附录）</w:t>
      </w:r>
      <w:bookmarkEnd w:id="142"/>
      <w:bookmarkEnd w:id="143"/>
    </w:p>
    <w:p w14:paraId="3CEB5558">
      <w:pPr>
        <w:pStyle w:val="24"/>
        <w:rPr>
          <w:rFonts w:hint="eastAsia"/>
          <w:lang w:val="en-US" w:eastAsia="zh-CN"/>
        </w:rPr>
      </w:pPr>
    </w:p>
    <w:p w14:paraId="4341F9D9">
      <w:pPr>
        <w:pStyle w:val="35"/>
      </w:pPr>
      <w:bookmarkStart w:id="144" w:name="_Toc573"/>
      <w:bookmarkStart w:id="145" w:name="_Toc25008"/>
      <w:r>
        <w:rPr>
          <w:rFonts w:hint="eastAsia"/>
        </w:rPr>
        <w:t>性能审核方法</w:t>
      </w:r>
      <w:bookmarkEnd w:id="131"/>
      <w:bookmarkEnd w:id="144"/>
      <w:bookmarkEnd w:id="145"/>
    </w:p>
    <w:p w14:paraId="551AE02F">
      <w:pPr>
        <w:pStyle w:val="36"/>
        <w:numPr>
          <w:ilvl w:val="1"/>
          <w:numId w:val="0"/>
        </w:numPr>
        <w:bidi w:val="0"/>
        <w:ind w:leftChars="0"/>
      </w:pPr>
      <w:bookmarkStart w:id="146" w:name="_Toc128642771"/>
      <w:bookmarkStart w:id="147" w:name="_Toc6929"/>
      <w:bookmarkStart w:id="148" w:name="_Toc24241"/>
      <w:bookmarkStart w:id="149" w:name="_Toc4100"/>
      <w:bookmarkStart w:id="150" w:name="_Toc1439"/>
      <w:r>
        <w:rPr>
          <w:rFonts w:hint="eastAsia"/>
          <w:lang w:val="en-US" w:eastAsia="zh-CN"/>
        </w:rPr>
        <w:t>B.1　</w:t>
      </w:r>
      <w:r>
        <w:rPr>
          <w:rFonts w:hint="eastAsia"/>
        </w:rPr>
        <w:t>精密度审核</w:t>
      </w:r>
      <w:bookmarkEnd w:id="146"/>
      <w:bookmarkEnd w:id="147"/>
      <w:bookmarkEnd w:id="148"/>
      <w:bookmarkEnd w:id="149"/>
      <w:bookmarkEnd w:id="150"/>
    </w:p>
    <w:p w14:paraId="03174990">
      <w:pPr>
        <w:pStyle w:val="37"/>
        <w:numPr>
          <w:ilvl w:val="2"/>
          <w:numId w:val="0"/>
        </w:numPr>
        <w:bidi w:val="0"/>
        <w:ind w:left="0" w:leftChars="0" w:firstLine="0" w:firstLineChars="0"/>
      </w:pPr>
      <w:bookmarkStart w:id="151" w:name="_Toc27553"/>
      <w:bookmarkStart w:id="152" w:name="_Toc128642772"/>
      <w:bookmarkStart w:id="153" w:name="_Toc105425590"/>
      <w:bookmarkStart w:id="154" w:name="_Toc105423688"/>
      <w:r>
        <w:rPr>
          <w:rFonts w:hint="eastAsia" w:cs="Times New Roman"/>
          <w:b w:val="0"/>
          <w:i w:val="0"/>
          <w:kern w:val="21"/>
          <w:sz w:val="21"/>
          <w:lang w:val="en-US" w:eastAsia="zh-CN" w:bidi="ar-SA"/>
        </w:rPr>
        <w:t>B</w:t>
      </w:r>
      <w:r>
        <w:rPr>
          <w:rFonts w:hint="eastAsia" w:ascii="黑体" w:hAnsi="Times New Roman" w:eastAsia="黑体" w:cs="Times New Roman"/>
          <w:b w:val="0"/>
          <w:i w:val="0"/>
          <w:kern w:val="21"/>
          <w:sz w:val="21"/>
          <w:lang w:val="en-US" w:eastAsia="zh-CN" w:bidi="ar-SA"/>
        </w:rPr>
        <w:t>.</w:t>
      </w:r>
      <w:r>
        <w:rPr>
          <w:rFonts w:hint="eastAsia" w:cs="Times New Roman"/>
          <w:b w:val="0"/>
          <w:i w:val="0"/>
          <w:kern w:val="21"/>
          <w:sz w:val="21"/>
          <w:lang w:val="en-US" w:eastAsia="zh-CN" w:bidi="ar-SA"/>
        </w:rPr>
        <w:t>1</w:t>
      </w:r>
      <w:r>
        <w:rPr>
          <w:rFonts w:hint="eastAsia" w:ascii="黑体" w:hAnsi="Times New Roman" w:eastAsia="黑体" w:cs="Times New Roman"/>
          <w:b w:val="0"/>
          <w:i w:val="0"/>
          <w:kern w:val="21"/>
          <w:sz w:val="21"/>
          <w:lang w:val="en-US" w:eastAsia="zh-CN" w:bidi="ar-SA"/>
        </w:rPr>
        <w:t>.1　</w:t>
      </w:r>
      <w:r>
        <w:rPr>
          <w:rFonts w:hint="eastAsia"/>
        </w:rPr>
        <w:t>审核方法</w:t>
      </w:r>
      <w:bookmarkEnd w:id="151"/>
      <w:bookmarkEnd w:id="152"/>
    </w:p>
    <w:bookmarkEnd w:id="153"/>
    <w:bookmarkEnd w:id="154"/>
    <w:p w14:paraId="2F6DCEAA">
      <w:pPr>
        <w:ind w:firstLine="420" w:firstLineChars="200"/>
      </w:pPr>
      <w:bookmarkStart w:id="155" w:name="_Toc128642773"/>
      <w:bookmarkStart w:id="156" w:name="_Toc8617"/>
      <w:bookmarkStart w:id="157" w:name="_Toc105423689"/>
      <w:bookmarkStart w:id="158" w:name="_Toc105425591"/>
      <w:bookmarkStart w:id="159" w:name="_Toc87541723"/>
      <w:bookmarkStart w:id="160" w:name="_Toc87976718"/>
      <w:r>
        <w:rPr>
          <w:rFonts w:hint="eastAsia"/>
        </w:rPr>
        <w:t>向监测系统通入某一浓度的标气，标气浓度在所监测地区被测气体全年小时浓度范围的50百分位浓度附近，每次等待仪器读数稳定后记录仪器示值，根据仪器示值的相对标准偏差，来确定仪器的精密度。</w:t>
      </w:r>
      <w:bookmarkEnd w:id="155"/>
      <w:bookmarkEnd w:id="156"/>
    </w:p>
    <w:p w14:paraId="229E0FD3">
      <w:pPr>
        <w:pStyle w:val="37"/>
        <w:numPr>
          <w:ilvl w:val="2"/>
          <w:numId w:val="0"/>
        </w:numPr>
        <w:bidi w:val="0"/>
        <w:ind w:left="0" w:leftChars="0" w:firstLine="0" w:firstLineChars="0"/>
      </w:pPr>
      <w:bookmarkStart w:id="161" w:name="_Toc128642774"/>
      <w:bookmarkStart w:id="162" w:name="_Toc662"/>
      <w:r>
        <w:rPr>
          <w:rFonts w:hint="eastAsia" w:cs="Times New Roman"/>
          <w:b w:val="0"/>
          <w:i w:val="0"/>
          <w:kern w:val="21"/>
          <w:sz w:val="21"/>
          <w:lang w:val="en-US" w:eastAsia="zh-CN" w:bidi="ar-SA"/>
        </w:rPr>
        <w:t>B</w:t>
      </w:r>
      <w:r>
        <w:rPr>
          <w:rFonts w:hint="eastAsia" w:ascii="黑体" w:hAnsi="Times New Roman" w:eastAsia="黑体" w:cs="Times New Roman"/>
          <w:b w:val="0"/>
          <w:i w:val="0"/>
          <w:kern w:val="21"/>
          <w:sz w:val="21"/>
          <w:lang w:val="en-US" w:eastAsia="zh-CN" w:bidi="ar-SA"/>
        </w:rPr>
        <w:t>.</w:t>
      </w:r>
      <w:r>
        <w:rPr>
          <w:rFonts w:hint="eastAsia" w:cs="Times New Roman"/>
          <w:b w:val="0"/>
          <w:i w:val="0"/>
          <w:kern w:val="21"/>
          <w:sz w:val="21"/>
          <w:lang w:val="en-US" w:eastAsia="zh-CN" w:bidi="ar-SA"/>
        </w:rPr>
        <w:t>1</w:t>
      </w:r>
      <w:r>
        <w:rPr>
          <w:rFonts w:hint="eastAsia" w:ascii="黑体" w:hAnsi="Times New Roman" w:eastAsia="黑体" w:cs="Times New Roman"/>
          <w:b w:val="0"/>
          <w:i w:val="0"/>
          <w:kern w:val="21"/>
          <w:sz w:val="21"/>
          <w:lang w:val="en-US" w:eastAsia="zh-CN" w:bidi="ar-SA"/>
        </w:rPr>
        <w:t>.2　</w:t>
      </w:r>
      <w:r>
        <w:rPr>
          <w:rFonts w:hint="eastAsia"/>
        </w:rPr>
        <w:t>审核流程</w:t>
      </w:r>
      <w:bookmarkEnd w:id="161"/>
      <w:bookmarkEnd w:id="162"/>
    </w:p>
    <w:p w14:paraId="24D1E7BF">
      <w:pPr>
        <w:numPr>
          <w:ilvl w:val="0"/>
          <w:numId w:val="11"/>
        </w:numPr>
        <w:kinsoku w:val="0"/>
        <w:overflowPunct w:val="0"/>
        <w:autoSpaceDE w:val="0"/>
        <w:autoSpaceDN w:val="0"/>
        <w:adjustRightInd w:val="0"/>
        <w:spacing w:before="11"/>
        <w:ind w:left="0" w:firstLine="392" w:firstLineChars="200"/>
        <w:rPr>
          <w:rFonts w:ascii="宋体" w:cs="宋体"/>
          <w:kern w:val="0"/>
          <w:szCs w:val="21"/>
        </w:rPr>
      </w:pPr>
      <w:bookmarkStart w:id="163" w:name="_bookmark0"/>
      <w:bookmarkEnd w:id="163"/>
      <w:r>
        <w:rPr>
          <w:rFonts w:hint="eastAsia" w:ascii="宋体" w:cs="宋体"/>
          <w:spacing w:val="-7"/>
          <w:kern w:val="0"/>
          <w:position w:val="2"/>
          <w:szCs w:val="21"/>
        </w:rPr>
        <w:t>向监测系统通入要求浓度的标气，待仪器读数稳定后，记录仪器示值</w:t>
      </w:r>
      <w:r>
        <w:rPr>
          <w:rFonts w:hint="eastAsia" w:ascii="宋体" w:cs="宋体"/>
          <w:spacing w:val="-3"/>
          <w:kern w:val="0"/>
          <w:position w:val="2"/>
          <w:szCs w:val="21"/>
        </w:rPr>
        <w:t>（</w:t>
      </w:r>
      <w:r>
        <w:rPr>
          <w:spacing w:val="1"/>
          <w:kern w:val="0"/>
          <w:position w:val="2"/>
          <w:szCs w:val="21"/>
        </w:rPr>
        <w:t>Y</w:t>
      </w:r>
      <w:r>
        <w:rPr>
          <w:spacing w:val="-3"/>
          <w:w w:val="99"/>
          <w:kern w:val="0"/>
          <w:sz w:val="14"/>
          <w:szCs w:val="14"/>
        </w:rPr>
        <w:t>i</w:t>
      </w:r>
      <w:r>
        <w:rPr>
          <w:rFonts w:hint="eastAsia" w:ascii="宋体" w:cs="宋体"/>
          <w:spacing w:val="-106"/>
          <w:kern w:val="0"/>
          <w:position w:val="2"/>
          <w:szCs w:val="21"/>
        </w:rPr>
        <w:t>）</w:t>
      </w:r>
      <w:r>
        <w:rPr>
          <w:rFonts w:hint="eastAsia" w:ascii="宋体" w:cs="宋体"/>
          <w:spacing w:val="-6"/>
          <w:kern w:val="0"/>
          <w:position w:val="2"/>
          <w:szCs w:val="21"/>
        </w:rPr>
        <w:t>。建议每次通气</w:t>
      </w:r>
      <w:r>
        <w:rPr>
          <w:spacing w:val="-3"/>
          <w:kern w:val="0"/>
          <w:position w:val="2"/>
          <w:szCs w:val="21"/>
        </w:rPr>
        <w:t>1</w:t>
      </w:r>
      <w:r>
        <w:rPr>
          <w:kern w:val="0"/>
          <w:position w:val="2"/>
          <w:szCs w:val="21"/>
        </w:rPr>
        <w:t>5</w:t>
      </w:r>
      <w:r>
        <w:rPr>
          <w:rFonts w:hint="eastAsia" w:ascii="宋体" w:cs="宋体"/>
          <w:kern w:val="0"/>
          <w:position w:val="2"/>
          <w:szCs w:val="21"/>
        </w:rPr>
        <w:t>分</w:t>
      </w:r>
      <w:r>
        <w:rPr>
          <w:rFonts w:hint="eastAsia" w:ascii="宋体" w:cs="宋体"/>
          <w:kern w:val="0"/>
          <w:szCs w:val="21"/>
        </w:rPr>
        <w:t>钟，取后</w:t>
      </w:r>
      <w:r>
        <w:rPr>
          <w:kern w:val="0"/>
          <w:szCs w:val="21"/>
        </w:rPr>
        <w:t>5</w:t>
      </w:r>
      <w:r>
        <w:rPr>
          <w:rFonts w:hint="eastAsia" w:ascii="宋体" w:cs="宋体"/>
          <w:kern w:val="0"/>
          <w:szCs w:val="21"/>
        </w:rPr>
        <w:t>分钟</w:t>
      </w:r>
      <w:r>
        <w:rPr>
          <w:rFonts w:hint="eastAsia"/>
        </w:rPr>
        <w:t>原始监测数据参与计算。</w:t>
      </w:r>
    </w:p>
    <w:p w14:paraId="23B458EA">
      <w:pPr>
        <w:numPr>
          <w:ilvl w:val="0"/>
          <w:numId w:val="11"/>
        </w:numPr>
        <w:kinsoku w:val="0"/>
        <w:overflowPunct w:val="0"/>
        <w:autoSpaceDE w:val="0"/>
        <w:autoSpaceDN w:val="0"/>
        <w:adjustRightInd w:val="0"/>
        <w:spacing w:before="11"/>
        <w:ind w:left="0" w:firstLine="396" w:firstLineChars="200"/>
        <w:rPr>
          <w:rFonts w:ascii="宋体" w:cs="宋体"/>
          <w:spacing w:val="-2"/>
          <w:kern w:val="0"/>
          <w:szCs w:val="21"/>
          <w:highlight w:val="none"/>
        </w:rPr>
      </w:pPr>
      <w:r>
        <w:rPr>
          <w:rFonts w:hint="eastAsia" w:ascii="宋体" w:cs="宋体"/>
          <w:spacing w:val="-6"/>
          <w:kern w:val="0"/>
          <w:szCs w:val="21"/>
        </w:rPr>
        <w:t>该仪器示值的相对标准偏差按照公式</w:t>
      </w:r>
      <w:r>
        <w:rPr>
          <w:rFonts w:hint="eastAsia"/>
          <w:kern w:val="0"/>
          <w:szCs w:val="21"/>
          <w:highlight w:val="none"/>
        </w:rPr>
        <w:t>B</w:t>
      </w:r>
      <w:r>
        <w:rPr>
          <w:kern w:val="0"/>
          <w:szCs w:val="21"/>
          <w:highlight w:val="none"/>
        </w:rPr>
        <w:t>.</w:t>
      </w:r>
      <w:r>
        <w:rPr>
          <w:rFonts w:hint="eastAsia"/>
          <w:kern w:val="0"/>
          <w:szCs w:val="21"/>
          <w:highlight w:val="none"/>
        </w:rPr>
        <w:t>1</w:t>
      </w:r>
      <w:r>
        <w:rPr>
          <w:spacing w:val="-3"/>
          <w:kern w:val="0"/>
          <w:szCs w:val="21"/>
          <w:highlight w:val="none"/>
        </w:rPr>
        <w:t>、</w:t>
      </w:r>
      <w:r>
        <w:rPr>
          <w:rFonts w:hint="eastAsia"/>
          <w:spacing w:val="-3"/>
          <w:kern w:val="0"/>
          <w:szCs w:val="21"/>
          <w:highlight w:val="none"/>
        </w:rPr>
        <w:t>B</w:t>
      </w:r>
      <w:r>
        <w:rPr>
          <w:kern w:val="0"/>
          <w:szCs w:val="21"/>
          <w:highlight w:val="none"/>
        </w:rPr>
        <w:t>.</w:t>
      </w:r>
      <w:r>
        <w:rPr>
          <w:rFonts w:hint="eastAsia"/>
          <w:kern w:val="0"/>
          <w:szCs w:val="21"/>
          <w:highlight w:val="none"/>
          <w:lang w:val="en-US" w:eastAsia="zh-CN"/>
        </w:rPr>
        <w:t>2</w:t>
      </w:r>
      <w:r>
        <w:rPr>
          <w:rFonts w:hint="eastAsia" w:ascii="宋体" w:cs="宋体"/>
          <w:spacing w:val="-2"/>
          <w:kern w:val="0"/>
          <w:szCs w:val="21"/>
          <w:highlight w:val="none"/>
        </w:rPr>
        <w:t>计算。</w:t>
      </w:r>
    </w:p>
    <w:p w14:paraId="732BC050">
      <w:pPr>
        <w:widowControl/>
        <w:jc w:val="right"/>
        <w:textAlignment w:val="center"/>
        <w:rPr>
          <w:rFonts w:hint="eastAsia" w:ascii="宋体" w:hAnsi="宋体" w:cs="宋体"/>
          <w:kern w:val="0"/>
          <w:sz w:val="24"/>
          <w:highlight w:val="none"/>
        </w:rPr>
      </w:pPr>
      <w:r>
        <w:rPr>
          <w:rFonts w:ascii="宋体" w:hAnsi="宋体" w:cs="宋体"/>
          <w:kern w:val="0"/>
          <w:sz w:val="24"/>
          <w:highlight w:val="none"/>
        </w:rPr>
        <w:t xml:space="preserve">                    </w:t>
      </w:r>
      <w:r>
        <w:rPr>
          <w:kern w:val="0"/>
          <w:sz w:val="24"/>
          <w:highlight w:val="none"/>
        </w:rPr>
        <w:t xml:space="preserve"> </w:t>
      </w:r>
      <m:oMath>
        <m:r>
          <m:rPr/>
          <w:rPr>
            <w:rFonts w:ascii="Cambria Math" w:hAnsi="Cambria Math" w:eastAsia="等线"/>
            <w:kern w:val="0"/>
            <w:szCs w:val="21"/>
            <w:highlight w:val="none"/>
          </w:rPr>
          <m:t>SD=</m:t>
        </m:r>
        <m:rad>
          <m:radPr>
            <m:degHide m:val="1"/>
            <m:ctrlPr>
              <w:rPr>
                <w:rFonts w:ascii="Cambria Math" w:hAnsi="Cambria Math" w:eastAsia="等线"/>
                <w:i/>
                <w:kern w:val="0"/>
                <w:szCs w:val="21"/>
                <w:highlight w:val="none"/>
              </w:rPr>
            </m:ctrlPr>
          </m:radPr>
          <m:deg>
            <m:ctrlPr>
              <w:rPr>
                <w:rFonts w:ascii="Cambria Math" w:hAnsi="Cambria Math" w:eastAsia="等线"/>
                <w:i/>
                <w:kern w:val="0"/>
                <w:szCs w:val="21"/>
                <w:highlight w:val="none"/>
              </w:rPr>
            </m:ctrlPr>
          </m:deg>
          <m:e>
            <m:f>
              <m:fPr>
                <m:ctrlPr>
                  <w:rPr>
                    <w:rFonts w:ascii="Cambria Math" w:hAnsi="Cambria Math" w:eastAsia="等线"/>
                    <w:i/>
                    <w:kern w:val="0"/>
                    <w:szCs w:val="21"/>
                    <w:highlight w:val="none"/>
                  </w:rPr>
                </m:ctrlPr>
              </m:fPr>
              <m:num>
                <m:sSubSup>
                  <m:sSubSupPr>
                    <m:ctrlPr>
                      <w:rPr>
                        <w:rFonts w:ascii="Cambria Math" w:hAnsi="Cambria Math" w:eastAsia="等线"/>
                        <w:i/>
                        <w:kern w:val="0"/>
                        <w:szCs w:val="21"/>
                        <w:highlight w:val="none"/>
                      </w:rPr>
                    </m:ctrlPr>
                  </m:sSubSupPr>
                  <m:e>
                    <m:r>
                      <m:rPr/>
                      <w:rPr>
                        <w:rFonts w:ascii="Cambria Math" w:hAnsi="Cambria Math" w:eastAsia="等线"/>
                        <w:kern w:val="0"/>
                        <w:szCs w:val="21"/>
                        <w:highlight w:val="none"/>
                      </w:rPr>
                      <m:t>Σ</m:t>
                    </m:r>
                    <m:ctrlPr>
                      <w:rPr>
                        <w:rFonts w:ascii="Cambria Math" w:hAnsi="Cambria Math" w:eastAsia="等线"/>
                        <w:i/>
                        <w:kern w:val="0"/>
                        <w:szCs w:val="21"/>
                        <w:highlight w:val="none"/>
                      </w:rPr>
                    </m:ctrlPr>
                  </m:e>
                  <m:sub>
                    <m:r>
                      <m:rPr/>
                      <w:rPr>
                        <w:rFonts w:ascii="Cambria Math" w:hAnsi="Cambria Math" w:eastAsia="等线"/>
                        <w:kern w:val="0"/>
                        <w:szCs w:val="21"/>
                        <w:highlight w:val="none"/>
                      </w:rPr>
                      <m:t>i=1</m:t>
                    </m:r>
                    <m:ctrlPr>
                      <w:rPr>
                        <w:rFonts w:ascii="Cambria Math" w:hAnsi="Cambria Math" w:eastAsia="等线"/>
                        <w:i/>
                        <w:kern w:val="0"/>
                        <w:szCs w:val="21"/>
                        <w:highlight w:val="none"/>
                      </w:rPr>
                    </m:ctrlPr>
                  </m:sub>
                  <m:sup>
                    <m:r>
                      <m:rPr/>
                      <w:rPr>
                        <w:rFonts w:ascii="Cambria Math" w:hAnsi="Cambria Math" w:eastAsia="等线"/>
                        <w:kern w:val="0"/>
                        <w:szCs w:val="21"/>
                        <w:highlight w:val="none"/>
                      </w:rPr>
                      <m:t>n</m:t>
                    </m:r>
                    <m:ctrlPr>
                      <w:rPr>
                        <w:rFonts w:ascii="Cambria Math" w:hAnsi="Cambria Math" w:eastAsia="等线"/>
                        <w:i/>
                        <w:kern w:val="0"/>
                        <w:szCs w:val="21"/>
                        <w:highlight w:val="none"/>
                      </w:rPr>
                    </m:ctrlPr>
                  </m:sup>
                </m:sSubSup>
                <m:sSup>
                  <m:sSupPr>
                    <m:ctrlPr>
                      <w:rPr>
                        <w:rFonts w:ascii="Cambria Math" w:hAnsi="Cambria Math" w:eastAsia="等线"/>
                        <w:i/>
                        <w:kern w:val="0"/>
                        <w:szCs w:val="21"/>
                        <w:highlight w:val="none"/>
                      </w:rPr>
                    </m:ctrlPr>
                  </m:sSupPr>
                  <m:e>
                    <m:r>
                      <m:rPr/>
                      <w:rPr>
                        <w:rFonts w:ascii="Cambria Math" w:hAnsi="Cambria Math" w:eastAsia="等线"/>
                        <w:kern w:val="0"/>
                        <w:szCs w:val="21"/>
                        <w:highlight w:val="none"/>
                      </w:rPr>
                      <m:t>(</m:t>
                    </m:r>
                    <m:sSub>
                      <m:sSubPr>
                        <m:ctrlPr>
                          <w:rPr>
                            <w:rFonts w:ascii="Cambria Math" w:hAnsi="Cambria Math" w:eastAsia="等线"/>
                            <w:i/>
                            <w:kern w:val="0"/>
                            <w:szCs w:val="21"/>
                            <w:highlight w:val="none"/>
                          </w:rPr>
                        </m:ctrlPr>
                      </m:sSubPr>
                      <m:e>
                        <m:r>
                          <m:rPr/>
                          <w:rPr>
                            <w:rFonts w:ascii="Cambria Math" w:hAnsi="Cambria Math" w:eastAsia="等线"/>
                            <w:kern w:val="0"/>
                            <w:szCs w:val="21"/>
                            <w:highlight w:val="none"/>
                          </w:rPr>
                          <m:t>Y</m:t>
                        </m:r>
                        <m:ctrlPr>
                          <w:rPr>
                            <w:rFonts w:ascii="Cambria Math" w:hAnsi="Cambria Math" w:eastAsia="等线"/>
                            <w:i/>
                            <w:kern w:val="0"/>
                            <w:szCs w:val="21"/>
                            <w:highlight w:val="none"/>
                          </w:rPr>
                        </m:ctrlPr>
                      </m:e>
                      <m:sub>
                        <m:r>
                          <m:rPr/>
                          <w:rPr>
                            <w:rFonts w:ascii="Cambria Math" w:hAnsi="Cambria Math" w:eastAsia="等线"/>
                            <w:kern w:val="0"/>
                            <w:szCs w:val="21"/>
                            <w:highlight w:val="none"/>
                          </w:rPr>
                          <m:t>i</m:t>
                        </m:r>
                        <m:ctrlPr>
                          <w:rPr>
                            <w:rFonts w:ascii="Cambria Math" w:hAnsi="Cambria Math" w:eastAsia="等线"/>
                            <w:i/>
                            <w:kern w:val="0"/>
                            <w:szCs w:val="21"/>
                            <w:highlight w:val="none"/>
                          </w:rPr>
                        </m:ctrlPr>
                      </m:sub>
                    </m:sSub>
                    <m:r>
                      <m:rPr/>
                      <w:rPr>
                        <w:rFonts w:ascii="Cambria Math" w:hAnsi="Cambria Math" w:eastAsia="等线"/>
                        <w:kern w:val="0"/>
                        <w:szCs w:val="21"/>
                        <w:highlight w:val="none"/>
                      </w:rPr>
                      <m:t>−</m:t>
                    </m:r>
                    <m:bar>
                      <m:barPr>
                        <m:pos m:val="top"/>
                        <m:ctrlPr>
                          <w:rPr>
                            <w:rFonts w:ascii="Cambria Math" w:hAnsi="Cambria Math" w:eastAsia="等线"/>
                            <w:i/>
                            <w:kern w:val="0"/>
                            <w:szCs w:val="21"/>
                            <w:highlight w:val="none"/>
                          </w:rPr>
                        </m:ctrlPr>
                      </m:barPr>
                      <m:e>
                        <m:r>
                          <m:rPr/>
                          <w:rPr>
                            <w:rFonts w:ascii="Cambria Math" w:hAnsi="Cambria Math" w:eastAsia="等线"/>
                            <w:kern w:val="0"/>
                            <w:szCs w:val="21"/>
                            <w:highlight w:val="none"/>
                          </w:rPr>
                          <m:t>Y</m:t>
                        </m:r>
                        <m:ctrlPr>
                          <w:rPr>
                            <w:rFonts w:ascii="Cambria Math" w:hAnsi="Cambria Math" w:eastAsia="等线"/>
                            <w:i/>
                            <w:kern w:val="0"/>
                            <w:szCs w:val="21"/>
                            <w:highlight w:val="none"/>
                          </w:rPr>
                        </m:ctrlPr>
                      </m:e>
                    </m:bar>
                    <m:r>
                      <m:rPr/>
                      <w:rPr>
                        <w:rFonts w:ascii="Cambria Math" w:hAnsi="Cambria Math" w:eastAsia="等线"/>
                        <w:kern w:val="0"/>
                        <w:szCs w:val="21"/>
                        <w:highlight w:val="none"/>
                      </w:rPr>
                      <m:t>)</m:t>
                    </m:r>
                    <m:ctrlPr>
                      <w:rPr>
                        <w:rFonts w:ascii="Cambria Math" w:hAnsi="Cambria Math" w:eastAsia="等线"/>
                        <w:i/>
                        <w:kern w:val="0"/>
                        <w:szCs w:val="21"/>
                        <w:highlight w:val="none"/>
                      </w:rPr>
                    </m:ctrlPr>
                  </m:e>
                  <m:sup>
                    <m:r>
                      <m:rPr/>
                      <w:rPr>
                        <w:rFonts w:ascii="Cambria Math" w:hAnsi="Cambria Math" w:eastAsia="等线"/>
                        <w:kern w:val="0"/>
                        <w:szCs w:val="21"/>
                        <w:highlight w:val="none"/>
                      </w:rPr>
                      <m:t>2</m:t>
                    </m:r>
                    <m:ctrlPr>
                      <w:rPr>
                        <w:rFonts w:ascii="Cambria Math" w:hAnsi="Cambria Math" w:eastAsia="等线"/>
                        <w:i/>
                        <w:kern w:val="0"/>
                        <w:szCs w:val="21"/>
                        <w:highlight w:val="none"/>
                      </w:rPr>
                    </m:ctrlPr>
                  </m:sup>
                </m:sSup>
                <m:ctrlPr>
                  <w:rPr>
                    <w:rFonts w:ascii="Cambria Math" w:hAnsi="Cambria Math" w:eastAsia="等线"/>
                    <w:i/>
                    <w:kern w:val="0"/>
                    <w:szCs w:val="21"/>
                    <w:highlight w:val="none"/>
                  </w:rPr>
                </m:ctrlPr>
              </m:num>
              <m:den>
                <m:r>
                  <m:rPr/>
                  <w:rPr>
                    <w:rFonts w:ascii="Cambria Math" w:hAnsi="Cambria Math" w:eastAsia="等线"/>
                    <w:kern w:val="0"/>
                    <w:szCs w:val="21"/>
                    <w:highlight w:val="none"/>
                  </w:rPr>
                  <m:t>n−1</m:t>
                </m:r>
                <m:ctrlPr>
                  <w:rPr>
                    <w:rFonts w:ascii="Cambria Math" w:hAnsi="Cambria Math" w:eastAsia="等线"/>
                    <w:i/>
                    <w:kern w:val="0"/>
                    <w:szCs w:val="21"/>
                    <w:highlight w:val="none"/>
                  </w:rPr>
                </m:ctrlPr>
              </m:den>
            </m:f>
            <m:ctrlPr>
              <w:rPr>
                <w:rFonts w:ascii="Cambria Math" w:hAnsi="Cambria Math" w:eastAsia="等线"/>
                <w:i/>
                <w:kern w:val="0"/>
                <w:szCs w:val="21"/>
                <w:highlight w:val="none"/>
              </w:rPr>
            </m:ctrlPr>
          </m:e>
        </m:rad>
      </m:oMath>
      <w:r>
        <w:rPr>
          <w:kern w:val="0"/>
          <w:szCs w:val="21"/>
          <w:highlight w:val="none"/>
        </w:rPr>
        <w:t xml:space="preserve">        </w:t>
      </w:r>
      <w:r>
        <w:rPr>
          <w:rFonts w:hint="eastAsia"/>
          <w:kern w:val="0"/>
          <w:szCs w:val="21"/>
          <w:highlight w:val="none"/>
        </w:rPr>
        <w:t xml:space="preserve">         </w:t>
      </w:r>
      <w:r>
        <w:rPr>
          <w:kern w:val="0"/>
          <w:szCs w:val="21"/>
          <w:highlight w:val="none"/>
        </w:rPr>
        <w:t xml:space="preserve">             (</w:t>
      </w:r>
      <w:r>
        <w:rPr>
          <w:rFonts w:hint="eastAsia"/>
          <w:kern w:val="0"/>
          <w:szCs w:val="21"/>
          <w:highlight w:val="none"/>
        </w:rPr>
        <w:t>B</w:t>
      </w:r>
      <w:r>
        <w:rPr>
          <w:kern w:val="0"/>
          <w:szCs w:val="21"/>
          <w:highlight w:val="none"/>
        </w:rPr>
        <w:t>.</w:t>
      </w:r>
      <w:r>
        <w:rPr>
          <w:rFonts w:hint="eastAsia"/>
          <w:kern w:val="0"/>
          <w:szCs w:val="21"/>
          <w:highlight w:val="none"/>
        </w:rPr>
        <w:t>1</w:t>
      </w:r>
      <w:r>
        <w:rPr>
          <w:kern w:val="0"/>
          <w:szCs w:val="21"/>
          <w:highlight w:val="none"/>
        </w:rPr>
        <w:t>)</w:t>
      </w:r>
    </w:p>
    <w:p w14:paraId="7456B19A">
      <w:pPr>
        <w:widowControl/>
        <w:jc w:val="right"/>
        <w:textAlignment w:val="center"/>
        <w:rPr>
          <w:rFonts w:hint="eastAsia" w:ascii="宋体" w:hAnsi="宋体" w:cs="宋体"/>
          <w:kern w:val="0"/>
          <w:sz w:val="24"/>
          <w:highlight w:val="none"/>
        </w:rPr>
      </w:pPr>
    </w:p>
    <w:p w14:paraId="6A339AEC">
      <w:pPr>
        <w:kinsoku w:val="0"/>
        <w:overflowPunct w:val="0"/>
        <w:autoSpaceDE w:val="0"/>
        <w:autoSpaceDN w:val="0"/>
        <w:adjustRightInd w:val="0"/>
        <w:ind w:firstLine="420" w:firstLineChars="200"/>
        <w:rPr>
          <w:rFonts w:ascii="宋体" w:cs="宋体"/>
          <w:kern w:val="0"/>
          <w:szCs w:val="21"/>
          <w:highlight w:val="none"/>
        </w:rPr>
      </w:pPr>
      <w:r>
        <w:rPr>
          <w:rFonts w:hint="eastAsia" w:ascii="宋体" w:cs="宋体"/>
          <w:kern w:val="0"/>
          <w:szCs w:val="21"/>
          <w:highlight w:val="none"/>
        </w:rPr>
        <w:t>式中：</w:t>
      </w:r>
      <w:r>
        <w:rPr>
          <w:kern w:val="0"/>
          <w:szCs w:val="21"/>
          <w:highlight w:val="none"/>
        </w:rPr>
        <w:t>SD</w:t>
      </w:r>
      <w:r>
        <w:rPr>
          <w:rFonts w:hint="eastAsia" w:ascii="宋体" w:cs="宋体"/>
          <w:kern w:val="0"/>
          <w:sz w:val="22"/>
          <w:szCs w:val="22"/>
          <w:highlight w:val="none"/>
        </w:rPr>
        <w:t>—</w:t>
      </w:r>
      <w:r>
        <w:rPr>
          <w:rFonts w:hint="eastAsia" w:ascii="宋体" w:cs="宋体"/>
          <w:kern w:val="0"/>
          <w:szCs w:val="21"/>
          <w:highlight w:val="none"/>
        </w:rPr>
        <w:t>标准偏差；</w:t>
      </w:r>
    </w:p>
    <w:p w14:paraId="58CB321D">
      <w:pPr>
        <w:kinsoku w:val="0"/>
        <w:overflowPunct w:val="0"/>
        <w:autoSpaceDE w:val="0"/>
        <w:autoSpaceDN w:val="0"/>
        <w:adjustRightInd w:val="0"/>
        <w:ind w:firstLine="1050" w:firstLineChars="500"/>
        <w:rPr>
          <w:rFonts w:ascii="宋体" w:cs="宋体"/>
          <w:kern w:val="0"/>
          <w:position w:val="2"/>
          <w:szCs w:val="21"/>
          <w:highlight w:val="none"/>
        </w:rPr>
      </w:pPr>
      <w:r>
        <w:rPr>
          <w:kern w:val="0"/>
          <w:position w:val="2"/>
          <w:szCs w:val="21"/>
          <w:highlight w:val="none"/>
        </w:rPr>
        <w:t>Y</w:t>
      </w:r>
      <w:r>
        <w:rPr>
          <w:kern w:val="0"/>
          <w:sz w:val="14"/>
          <w:szCs w:val="14"/>
          <w:highlight w:val="none"/>
        </w:rPr>
        <w:t>i</w:t>
      </w:r>
      <w:r>
        <w:rPr>
          <w:rFonts w:hint="eastAsia" w:ascii="宋体" w:cs="宋体"/>
          <w:kern w:val="0"/>
          <w:position w:val="2"/>
          <w:sz w:val="22"/>
          <w:szCs w:val="22"/>
          <w:highlight w:val="none"/>
        </w:rPr>
        <w:t>—</w:t>
      </w:r>
      <w:r>
        <w:rPr>
          <w:rFonts w:hint="eastAsia" w:ascii="宋体" w:cs="宋体"/>
          <w:kern w:val="0"/>
          <w:position w:val="2"/>
          <w:szCs w:val="21"/>
          <w:highlight w:val="none"/>
        </w:rPr>
        <w:t>标准气体第</w:t>
      </w:r>
      <w:r>
        <w:rPr>
          <w:kern w:val="0"/>
          <w:position w:val="2"/>
          <w:szCs w:val="21"/>
          <w:highlight w:val="none"/>
        </w:rPr>
        <w:t>i</w:t>
      </w:r>
      <w:r>
        <w:rPr>
          <w:rFonts w:hint="eastAsia" w:ascii="宋体" w:cs="宋体"/>
          <w:kern w:val="0"/>
          <w:position w:val="2"/>
          <w:szCs w:val="21"/>
          <w:highlight w:val="none"/>
        </w:rPr>
        <w:t>次测量值；</w:t>
      </w:r>
    </w:p>
    <w:p w14:paraId="064E6F56">
      <w:pPr>
        <w:kinsoku w:val="0"/>
        <w:overflowPunct w:val="0"/>
        <w:autoSpaceDE w:val="0"/>
        <w:autoSpaceDN w:val="0"/>
        <w:adjustRightInd w:val="0"/>
        <w:ind w:firstLine="1050" w:firstLineChars="500"/>
        <w:rPr>
          <w:rFonts w:ascii="宋体" w:hAnsi="Cambria Math" w:cs="宋体"/>
          <w:kern w:val="0"/>
          <w:szCs w:val="21"/>
          <w:highlight w:val="none"/>
        </w:rPr>
      </w:pPr>
      <m:oMath>
        <m:bar>
          <m:barPr>
            <m:pos m:val="top"/>
            <m:ctrlPr>
              <w:rPr>
                <w:rFonts w:ascii="Cambria Math" w:hAnsi="Cambria Math" w:eastAsia="等线"/>
                <w:i/>
                <w:kern w:val="0"/>
                <w:szCs w:val="21"/>
                <w:highlight w:val="none"/>
              </w:rPr>
            </m:ctrlPr>
          </m:barPr>
          <m:e>
            <m:r>
              <m:rPr/>
              <w:rPr>
                <w:rFonts w:ascii="Cambria Math" w:hAnsi="Cambria Math" w:eastAsia="等线"/>
                <w:kern w:val="0"/>
                <w:szCs w:val="21"/>
                <w:highlight w:val="none"/>
              </w:rPr>
              <m:t>Y</m:t>
            </m:r>
            <m:ctrlPr>
              <w:rPr>
                <w:rFonts w:ascii="Cambria Math" w:hAnsi="Cambria Math" w:eastAsia="等线"/>
                <w:i/>
                <w:kern w:val="0"/>
                <w:szCs w:val="21"/>
                <w:highlight w:val="none"/>
              </w:rPr>
            </m:ctrlPr>
          </m:e>
        </m:bar>
      </m:oMath>
      <w:r>
        <w:rPr>
          <w:rFonts w:hint="eastAsia" w:ascii="宋体" w:hAnsi="Cambria Math" w:cs="宋体"/>
          <w:w w:val="95"/>
          <w:kern w:val="0"/>
          <w:sz w:val="22"/>
          <w:szCs w:val="22"/>
          <w:highlight w:val="none"/>
        </w:rPr>
        <w:t>—</w:t>
      </w:r>
      <w:r>
        <w:rPr>
          <w:rFonts w:hint="eastAsia" w:ascii="宋体" w:hAnsi="Cambria Math" w:cs="宋体"/>
          <w:kern w:val="0"/>
          <w:szCs w:val="21"/>
          <w:highlight w:val="none"/>
        </w:rPr>
        <w:t>标准气体测量平均值；</w:t>
      </w:r>
    </w:p>
    <w:p w14:paraId="0A11DFD5">
      <w:pPr>
        <w:kinsoku w:val="0"/>
        <w:overflowPunct w:val="0"/>
        <w:autoSpaceDE w:val="0"/>
        <w:autoSpaceDN w:val="0"/>
        <w:adjustRightInd w:val="0"/>
        <w:ind w:firstLine="1050" w:firstLineChars="500"/>
        <w:rPr>
          <w:rFonts w:ascii="宋体" w:cs="宋体"/>
          <w:kern w:val="0"/>
          <w:szCs w:val="21"/>
          <w:highlight w:val="none"/>
        </w:rPr>
      </w:pPr>
      <w:r>
        <w:rPr>
          <w:kern w:val="0"/>
          <w:szCs w:val="21"/>
          <w:highlight w:val="none"/>
        </w:rPr>
        <w:t>n</w:t>
      </w:r>
      <w:r>
        <w:rPr>
          <w:rFonts w:hint="eastAsia" w:ascii="宋体" w:cs="宋体"/>
          <w:kern w:val="0"/>
          <w:sz w:val="22"/>
          <w:szCs w:val="22"/>
          <w:highlight w:val="none"/>
        </w:rPr>
        <w:t>—</w:t>
      </w:r>
      <w:r>
        <w:rPr>
          <w:rFonts w:hint="eastAsia" w:ascii="宋体" w:cs="宋体"/>
          <w:kern w:val="0"/>
          <w:szCs w:val="21"/>
          <w:highlight w:val="none"/>
        </w:rPr>
        <w:t>测量次数。</w:t>
      </w:r>
    </w:p>
    <w:p w14:paraId="6AC49A96">
      <w:pPr>
        <w:widowControl/>
        <w:jc w:val="right"/>
        <w:textAlignment w:val="center"/>
        <w:rPr>
          <w:kern w:val="0"/>
          <w:sz w:val="24"/>
          <w:highlight w:val="none"/>
        </w:rPr>
      </w:pPr>
      <w:r>
        <w:rPr>
          <w:rFonts w:ascii="宋体" w:cs="宋体"/>
          <w:kern w:val="0"/>
          <w:szCs w:val="21"/>
          <w:highlight w:val="none"/>
        </w:rPr>
        <w:t xml:space="preserve">                    </w:t>
      </w:r>
      <w:r>
        <w:rPr>
          <w:rFonts w:ascii="宋体" w:hAnsi="宋体" w:cs="宋体"/>
          <w:kern w:val="0"/>
          <w:sz w:val="24"/>
          <w:highlight w:val="none"/>
        </w:rPr>
        <w:t xml:space="preserve">        </w:t>
      </w:r>
      <m:oMath>
        <m:r>
          <m:rPr/>
          <w:rPr>
            <w:rFonts w:ascii="Cambria Math" w:hAnsi="Cambria Math" w:eastAsia="等线"/>
            <w:kern w:val="0"/>
            <w:szCs w:val="21"/>
            <w:highlight w:val="none"/>
          </w:rPr>
          <m:t>RSD=</m:t>
        </m:r>
        <m:f>
          <m:fPr>
            <m:ctrlPr>
              <w:rPr>
                <w:rFonts w:ascii="Cambria Math" w:hAnsi="Cambria Math" w:eastAsia="等线"/>
                <w:i/>
                <w:kern w:val="0"/>
                <w:szCs w:val="21"/>
                <w:highlight w:val="none"/>
              </w:rPr>
            </m:ctrlPr>
          </m:fPr>
          <m:num>
            <m:r>
              <m:rPr/>
              <w:rPr>
                <w:rFonts w:ascii="Cambria Math" w:hAnsi="Cambria Math" w:eastAsia="等线"/>
                <w:kern w:val="0"/>
                <w:szCs w:val="21"/>
                <w:highlight w:val="none"/>
              </w:rPr>
              <m:t>SD</m:t>
            </m:r>
            <m:ctrlPr>
              <w:rPr>
                <w:rFonts w:ascii="Cambria Math" w:hAnsi="Cambria Math" w:eastAsia="等线"/>
                <w:i/>
                <w:kern w:val="0"/>
                <w:szCs w:val="21"/>
                <w:highlight w:val="none"/>
              </w:rPr>
            </m:ctrlPr>
          </m:num>
          <m:den>
            <m:bar>
              <m:barPr>
                <m:pos m:val="top"/>
                <m:ctrlPr>
                  <w:rPr>
                    <w:rFonts w:ascii="Cambria Math" w:hAnsi="Cambria Math" w:eastAsia="等线"/>
                    <w:i/>
                    <w:kern w:val="0"/>
                    <w:szCs w:val="21"/>
                    <w:highlight w:val="none"/>
                  </w:rPr>
                </m:ctrlPr>
              </m:barPr>
              <m:e>
                <m:r>
                  <m:rPr/>
                  <w:rPr>
                    <w:rFonts w:ascii="Cambria Math" w:hAnsi="Cambria Math" w:eastAsia="等线"/>
                    <w:kern w:val="0"/>
                    <w:szCs w:val="21"/>
                    <w:highlight w:val="none"/>
                  </w:rPr>
                  <m:t>Y</m:t>
                </m:r>
                <m:ctrlPr>
                  <w:rPr>
                    <w:rFonts w:ascii="Cambria Math" w:hAnsi="Cambria Math" w:eastAsia="等线"/>
                    <w:i/>
                    <w:kern w:val="0"/>
                    <w:szCs w:val="21"/>
                    <w:highlight w:val="none"/>
                  </w:rPr>
                </m:ctrlPr>
              </m:e>
            </m:bar>
            <m:ctrlPr>
              <w:rPr>
                <w:rFonts w:ascii="Cambria Math" w:hAnsi="Cambria Math" w:eastAsia="等线"/>
                <w:i/>
                <w:kern w:val="0"/>
                <w:szCs w:val="21"/>
                <w:highlight w:val="none"/>
              </w:rPr>
            </m:ctrlPr>
          </m:den>
        </m:f>
        <m:r>
          <m:rPr/>
          <w:rPr>
            <w:rFonts w:ascii="Cambria Math" w:hAnsi="Cambria Math" w:eastAsia="等线"/>
            <w:kern w:val="0"/>
            <w:szCs w:val="21"/>
            <w:highlight w:val="none"/>
          </w:rPr>
          <m:t>×100%</m:t>
        </m:r>
      </m:oMath>
      <w:r>
        <w:rPr>
          <w:kern w:val="0"/>
          <w:szCs w:val="21"/>
          <w:highlight w:val="none"/>
        </w:rPr>
        <w:t xml:space="preserve">         </w:t>
      </w:r>
      <w:r>
        <w:rPr>
          <w:rFonts w:hint="eastAsia"/>
          <w:kern w:val="0"/>
          <w:szCs w:val="21"/>
          <w:highlight w:val="none"/>
        </w:rPr>
        <w:t xml:space="preserve">   </w:t>
      </w:r>
      <w:r>
        <w:rPr>
          <w:kern w:val="0"/>
          <w:szCs w:val="21"/>
          <w:highlight w:val="none"/>
        </w:rPr>
        <w:t xml:space="preserve">                 (</w:t>
      </w:r>
      <w:r>
        <w:rPr>
          <w:rFonts w:hint="eastAsia"/>
          <w:kern w:val="0"/>
          <w:szCs w:val="21"/>
          <w:highlight w:val="none"/>
        </w:rPr>
        <w:t>B</w:t>
      </w:r>
      <w:r>
        <w:rPr>
          <w:kern w:val="0"/>
          <w:szCs w:val="21"/>
          <w:highlight w:val="none"/>
        </w:rPr>
        <w:t>.</w:t>
      </w:r>
      <w:r>
        <w:rPr>
          <w:rFonts w:hint="eastAsia"/>
          <w:kern w:val="0"/>
          <w:szCs w:val="21"/>
          <w:highlight w:val="none"/>
        </w:rPr>
        <w:t>2</w:t>
      </w:r>
      <w:r>
        <w:rPr>
          <w:kern w:val="0"/>
          <w:szCs w:val="21"/>
          <w:highlight w:val="none"/>
        </w:rPr>
        <w:t>)</w:t>
      </w:r>
    </w:p>
    <w:p w14:paraId="136B4CC7">
      <w:pPr>
        <w:kinsoku w:val="0"/>
        <w:overflowPunct w:val="0"/>
        <w:autoSpaceDE w:val="0"/>
        <w:autoSpaceDN w:val="0"/>
        <w:adjustRightInd w:val="0"/>
        <w:spacing w:line="247" w:lineRule="exact"/>
        <w:ind w:left="146" w:right="5645" w:firstLine="210" w:firstLineChars="100"/>
        <w:rPr>
          <w:rFonts w:ascii="宋体" w:cs="宋体"/>
          <w:kern w:val="0"/>
          <w:szCs w:val="21"/>
          <w:highlight w:val="none"/>
        </w:rPr>
      </w:pPr>
      <w:r>
        <w:rPr>
          <w:rFonts w:hint="eastAsia" w:ascii="宋体" w:cs="宋体"/>
          <w:kern w:val="0"/>
          <w:szCs w:val="21"/>
          <w:highlight w:val="none"/>
        </w:rPr>
        <w:t>式中：</w:t>
      </w:r>
      <w:r>
        <w:rPr>
          <w:kern w:val="0"/>
          <w:szCs w:val="21"/>
          <w:highlight w:val="none"/>
        </w:rPr>
        <w:t>RSD—</w:t>
      </w:r>
      <w:r>
        <w:rPr>
          <w:rFonts w:hint="eastAsia" w:ascii="宋体" w:cs="宋体"/>
          <w:kern w:val="0"/>
          <w:szCs w:val="21"/>
          <w:highlight w:val="none"/>
        </w:rPr>
        <w:t>相对标准偏差；</w:t>
      </w:r>
    </w:p>
    <w:p w14:paraId="166D3182">
      <w:pPr>
        <w:kinsoku w:val="0"/>
        <w:overflowPunct w:val="0"/>
        <w:autoSpaceDE w:val="0"/>
        <w:autoSpaceDN w:val="0"/>
        <w:adjustRightInd w:val="0"/>
        <w:spacing w:before="91"/>
        <w:ind w:left="146" w:right="5576" w:firstLine="840" w:firstLineChars="400"/>
        <w:rPr>
          <w:rFonts w:ascii="宋体" w:cs="宋体"/>
          <w:kern w:val="0"/>
          <w:szCs w:val="21"/>
          <w:highlight w:val="none"/>
        </w:rPr>
      </w:pPr>
      <w:r>
        <w:rPr>
          <w:kern w:val="0"/>
          <w:szCs w:val="21"/>
          <w:highlight w:val="none"/>
        </w:rPr>
        <w:t>SD—</w:t>
      </w:r>
      <w:r>
        <w:rPr>
          <w:rFonts w:hint="eastAsia" w:ascii="宋体" w:cs="宋体"/>
          <w:kern w:val="0"/>
          <w:szCs w:val="21"/>
          <w:highlight w:val="none"/>
        </w:rPr>
        <w:t>标准偏差；</w:t>
      </w:r>
    </w:p>
    <w:p w14:paraId="7610F914">
      <w:pPr>
        <w:kinsoku w:val="0"/>
        <w:overflowPunct w:val="0"/>
        <w:autoSpaceDE w:val="0"/>
        <w:autoSpaceDN w:val="0"/>
        <w:adjustRightInd w:val="0"/>
        <w:spacing w:before="15"/>
        <w:ind w:left="771" w:firstLine="210" w:firstLineChars="100"/>
        <w:rPr>
          <w:rFonts w:ascii="宋体" w:cs="宋体"/>
          <w:kern w:val="0"/>
          <w:szCs w:val="21"/>
        </w:rPr>
      </w:pPr>
      <m:oMath>
        <m:bar>
          <m:barPr>
            <m:pos m:val="top"/>
            <m:ctrlPr>
              <w:rPr>
                <w:rFonts w:ascii="Cambria Math" w:hAnsi="Cambria Math" w:eastAsia="等线"/>
                <w:i/>
                <w:kern w:val="0"/>
                <w:szCs w:val="21"/>
                <w:highlight w:val="none"/>
              </w:rPr>
            </m:ctrlPr>
          </m:barPr>
          <m:e>
            <m:r>
              <m:rPr/>
              <w:rPr>
                <w:rFonts w:ascii="Cambria Math" w:hAnsi="Cambria Math" w:eastAsia="等线"/>
                <w:kern w:val="0"/>
                <w:szCs w:val="21"/>
                <w:highlight w:val="none"/>
              </w:rPr>
              <m:t>Y</m:t>
            </m:r>
            <m:ctrlPr>
              <w:rPr>
                <w:rFonts w:ascii="Cambria Math" w:hAnsi="Cambria Math" w:eastAsia="等线"/>
                <w:i/>
                <w:kern w:val="0"/>
                <w:szCs w:val="21"/>
                <w:highlight w:val="none"/>
              </w:rPr>
            </m:ctrlPr>
          </m:e>
        </m:bar>
      </m:oMath>
      <w:r>
        <w:rPr>
          <w:w w:val="95"/>
          <w:kern w:val="0"/>
          <w:szCs w:val="21"/>
        </w:rPr>
        <w:t>—</w:t>
      </w:r>
      <w:r>
        <w:rPr>
          <w:rFonts w:hint="eastAsia" w:ascii="宋体" w:cs="宋体"/>
          <w:kern w:val="0"/>
          <w:szCs w:val="21"/>
        </w:rPr>
        <w:t>标准气体测量平均值。</w:t>
      </w:r>
    </w:p>
    <w:p w14:paraId="04305E98">
      <w:pPr>
        <w:numPr>
          <w:ilvl w:val="0"/>
          <w:numId w:val="11"/>
        </w:numPr>
        <w:kinsoku w:val="0"/>
        <w:overflowPunct w:val="0"/>
        <w:autoSpaceDE w:val="0"/>
        <w:autoSpaceDN w:val="0"/>
        <w:adjustRightInd w:val="0"/>
        <w:spacing w:before="11"/>
        <w:ind w:left="0" w:firstLine="420" w:firstLineChars="200"/>
        <w:rPr>
          <w:rFonts w:ascii="宋体" w:cs="宋体"/>
          <w:kern w:val="0"/>
          <w:szCs w:val="21"/>
        </w:rPr>
      </w:pPr>
      <w:r>
        <w:rPr>
          <w:rFonts w:hint="eastAsia" w:ascii="宋体" w:cs="宋体"/>
          <w:kern w:val="0"/>
          <w:szCs w:val="21"/>
        </w:rPr>
        <w:t>用相对标准偏差作为该仪器报出的精密度。</w:t>
      </w:r>
    </w:p>
    <w:p w14:paraId="4EA9971A">
      <w:pPr>
        <w:pStyle w:val="36"/>
        <w:numPr>
          <w:ilvl w:val="1"/>
          <w:numId w:val="0"/>
        </w:numPr>
        <w:bidi w:val="0"/>
      </w:pPr>
      <w:bookmarkStart w:id="164" w:name="_Toc10288"/>
      <w:bookmarkStart w:id="165" w:name="_Toc23787"/>
      <w:bookmarkStart w:id="166" w:name="_Toc128642775"/>
      <w:bookmarkStart w:id="167" w:name="_Toc7852"/>
      <w:bookmarkStart w:id="168" w:name="_Toc1414"/>
      <w:r>
        <w:rPr>
          <w:rFonts w:hint="eastAsia" w:cs="Times New Roman"/>
          <w:b w:val="0"/>
          <w:i w:val="0"/>
          <w:snapToGrid/>
          <w:spacing w:val="0"/>
          <w:w w:val="100"/>
          <w:kern w:val="21"/>
          <w:sz w:val="21"/>
          <w:lang w:val="en-US" w:eastAsia="zh-CN" w:bidi="ar-SA"/>
        </w:rPr>
        <w:t>B</w:t>
      </w:r>
      <w:r>
        <w:rPr>
          <w:rFonts w:hint="eastAsia" w:ascii="黑体" w:hAnsi="Times New Roman" w:eastAsia="黑体" w:cs="Times New Roman"/>
          <w:b w:val="0"/>
          <w:i w:val="0"/>
          <w:snapToGrid/>
          <w:spacing w:val="0"/>
          <w:w w:val="100"/>
          <w:kern w:val="21"/>
          <w:sz w:val="21"/>
          <w:lang w:val="en-US" w:eastAsia="zh-CN" w:bidi="ar-SA"/>
        </w:rPr>
        <w:t>.</w:t>
      </w:r>
      <w:r>
        <w:rPr>
          <w:rFonts w:hint="eastAsia" w:cs="Times New Roman"/>
          <w:b w:val="0"/>
          <w:i w:val="0"/>
          <w:snapToGrid/>
          <w:spacing w:val="0"/>
          <w:w w:val="100"/>
          <w:kern w:val="21"/>
          <w:sz w:val="21"/>
          <w:lang w:val="en-US" w:eastAsia="zh-CN" w:bidi="ar-SA"/>
        </w:rPr>
        <w:t>2</w:t>
      </w:r>
      <w:r>
        <w:rPr>
          <w:rFonts w:hint="eastAsia" w:ascii="黑体" w:hAnsi="Times New Roman" w:eastAsia="黑体" w:cs="Times New Roman"/>
          <w:b w:val="0"/>
          <w:i w:val="0"/>
          <w:snapToGrid/>
          <w:spacing w:val="0"/>
          <w:w w:val="100"/>
          <w:kern w:val="21"/>
          <w:sz w:val="21"/>
          <w:lang w:val="en-US" w:eastAsia="zh-CN" w:bidi="ar-SA"/>
        </w:rPr>
        <w:t>　</w:t>
      </w:r>
      <w:r>
        <w:rPr>
          <w:rFonts w:hint="eastAsia"/>
          <w:lang w:eastAsia="zh-CN"/>
        </w:rPr>
        <w:t>正确度</w:t>
      </w:r>
      <w:r>
        <w:rPr>
          <w:rFonts w:hint="eastAsia"/>
        </w:rPr>
        <w:t>审核</w:t>
      </w:r>
      <w:bookmarkEnd w:id="164"/>
      <w:bookmarkEnd w:id="165"/>
      <w:bookmarkEnd w:id="166"/>
      <w:bookmarkEnd w:id="167"/>
      <w:bookmarkEnd w:id="168"/>
    </w:p>
    <w:p w14:paraId="5B16AEE3">
      <w:pPr>
        <w:pStyle w:val="37"/>
        <w:numPr>
          <w:ilvl w:val="2"/>
          <w:numId w:val="0"/>
        </w:numPr>
        <w:bidi w:val="0"/>
        <w:ind w:left="0" w:leftChars="0" w:firstLine="0" w:firstLineChars="0"/>
      </w:pPr>
      <w:bookmarkStart w:id="169" w:name="_Toc128642776"/>
      <w:bookmarkStart w:id="170" w:name="_Toc10740"/>
      <w:r>
        <w:rPr>
          <w:rFonts w:hint="eastAsia" w:cs="Times New Roman"/>
          <w:b w:val="0"/>
          <w:i w:val="0"/>
          <w:kern w:val="21"/>
          <w:sz w:val="21"/>
          <w:lang w:val="en-US" w:eastAsia="zh-CN" w:bidi="ar-SA"/>
        </w:rPr>
        <w:t>B</w:t>
      </w:r>
      <w:r>
        <w:rPr>
          <w:rFonts w:hint="eastAsia" w:ascii="黑体" w:hAnsi="Times New Roman" w:eastAsia="黑体" w:cs="Times New Roman"/>
          <w:b w:val="0"/>
          <w:i w:val="0"/>
          <w:kern w:val="21"/>
          <w:sz w:val="21"/>
          <w:lang w:val="en-US" w:eastAsia="zh-CN" w:bidi="ar-SA"/>
        </w:rPr>
        <w:t>.</w:t>
      </w:r>
      <w:r>
        <w:rPr>
          <w:rFonts w:hint="eastAsia" w:cs="Times New Roman"/>
          <w:b w:val="0"/>
          <w:i w:val="0"/>
          <w:kern w:val="21"/>
          <w:sz w:val="21"/>
          <w:lang w:val="en-US" w:eastAsia="zh-CN" w:bidi="ar-SA"/>
        </w:rPr>
        <w:t>2</w:t>
      </w:r>
      <w:r>
        <w:rPr>
          <w:rFonts w:hint="eastAsia" w:ascii="黑体" w:hAnsi="Times New Roman" w:eastAsia="黑体" w:cs="Times New Roman"/>
          <w:b w:val="0"/>
          <w:i w:val="0"/>
          <w:kern w:val="21"/>
          <w:sz w:val="21"/>
          <w:lang w:val="en-US" w:eastAsia="zh-CN" w:bidi="ar-SA"/>
        </w:rPr>
        <w:t>.1　</w:t>
      </w:r>
      <w:r>
        <w:rPr>
          <w:rFonts w:hint="eastAsia"/>
        </w:rPr>
        <w:t>审核方法</w:t>
      </w:r>
      <w:bookmarkEnd w:id="169"/>
      <w:bookmarkEnd w:id="170"/>
    </w:p>
    <w:p w14:paraId="104030A1">
      <w:pPr>
        <w:kinsoku w:val="0"/>
        <w:overflowPunct w:val="0"/>
        <w:autoSpaceDE w:val="0"/>
        <w:autoSpaceDN w:val="0"/>
        <w:adjustRightInd w:val="0"/>
        <w:spacing w:before="11"/>
        <w:ind w:firstLine="420" w:firstLineChars="200"/>
        <w:rPr>
          <w:rFonts w:ascii="宋体" w:cs="宋体"/>
          <w:kern w:val="0"/>
          <w:szCs w:val="21"/>
          <w:highlight w:val="none"/>
        </w:rPr>
      </w:pPr>
      <w:r>
        <w:rPr>
          <w:rFonts w:hint="eastAsia" w:ascii="宋体" w:cs="宋体"/>
          <w:kern w:val="0"/>
          <w:szCs w:val="21"/>
          <w:highlight w:val="none"/>
        </w:rPr>
        <w:t>向监测系统通入一系列浓度的标气，每次等待仪器读数稳定后记录仪器示值，用最小二乘法步骤做出多点校准曲线，用相关系数和站点工作气相关差值对仪器</w:t>
      </w:r>
      <w:r>
        <w:rPr>
          <w:rFonts w:hint="eastAsia"/>
          <w:highlight w:val="none"/>
        </w:rPr>
        <w:t>正确度</w:t>
      </w:r>
      <w:r>
        <w:rPr>
          <w:rFonts w:hint="eastAsia" w:ascii="宋体" w:cs="宋体"/>
          <w:kern w:val="0"/>
          <w:szCs w:val="21"/>
          <w:highlight w:val="none"/>
        </w:rPr>
        <w:t>进行评价。</w:t>
      </w:r>
    </w:p>
    <w:p w14:paraId="09965520">
      <w:pPr>
        <w:pStyle w:val="37"/>
        <w:numPr>
          <w:ilvl w:val="2"/>
          <w:numId w:val="0"/>
        </w:numPr>
        <w:bidi w:val="0"/>
        <w:ind w:left="0" w:leftChars="0" w:firstLine="0" w:firstLineChars="0"/>
      </w:pPr>
      <w:bookmarkStart w:id="171" w:name="_Toc128642777"/>
      <w:bookmarkStart w:id="172" w:name="_Toc10720"/>
      <w:r>
        <w:rPr>
          <w:rFonts w:hint="eastAsia" w:cs="Times New Roman"/>
          <w:b w:val="0"/>
          <w:i w:val="0"/>
          <w:kern w:val="21"/>
          <w:sz w:val="21"/>
          <w:lang w:val="en-US" w:eastAsia="zh-CN" w:bidi="ar-SA"/>
        </w:rPr>
        <w:t>B</w:t>
      </w:r>
      <w:r>
        <w:rPr>
          <w:rFonts w:hint="eastAsia" w:ascii="黑体" w:hAnsi="Times New Roman" w:eastAsia="黑体" w:cs="Times New Roman"/>
          <w:b w:val="0"/>
          <w:i w:val="0"/>
          <w:kern w:val="21"/>
          <w:sz w:val="21"/>
          <w:lang w:val="en-US" w:eastAsia="zh-CN" w:bidi="ar-SA"/>
        </w:rPr>
        <w:t>.</w:t>
      </w:r>
      <w:r>
        <w:rPr>
          <w:rFonts w:hint="eastAsia" w:cs="Times New Roman"/>
          <w:b w:val="0"/>
          <w:i w:val="0"/>
          <w:kern w:val="21"/>
          <w:sz w:val="21"/>
          <w:lang w:val="en-US" w:eastAsia="zh-CN" w:bidi="ar-SA"/>
        </w:rPr>
        <w:t>2</w:t>
      </w:r>
      <w:r>
        <w:rPr>
          <w:rFonts w:hint="eastAsia" w:ascii="黑体" w:hAnsi="Times New Roman" w:eastAsia="黑体" w:cs="Times New Roman"/>
          <w:b w:val="0"/>
          <w:i w:val="0"/>
          <w:kern w:val="21"/>
          <w:sz w:val="21"/>
          <w:lang w:val="en-US" w:eastAsia="zh-CN" w:bidi="ar-SA"/>
        </w:rPr>
        <w:t>.2　</w:t>
      </w:r>
      <w:r>
        <w:rPr>
          <w:rFonts w:hint="eastAsia"/>
        </w:rPr>
        <w:t>审核流程</w:t>
      </w:r>
      <w:bookmarkEnd w:id="171"/>
      <w:bookmarkEnd w:id="172"/>
    </w:p>
    <w:p w14:paraId="7A42FDC4">
      <w:pPr>
        <w:numPr>
          <w:ilvl w:val="0"/>
          <w:numId w:val="12"/>
        </w:numPr>
        <w:kinsoku w:val="0"/>
        <w:overflowPunct w:val="0"/>
        <w:autoSpaceDE w:val="0"/>
        <w:autoSpaceDN w:val="0"/>
        <w:adjustRightInd w:val="0"/>
        <w:spacing w:before="11"/>
        <w:ind w:left="0" w:firstLine="420" w:firstLineChars="200"/>
        <w:rPr>
          <w:rFonts w:hint="eastAsia" w:ascii="宋体" w:cs="宋体"/>
          <w:kern w:val="0"/>
          <w:szCs w:val="21"/>
        </w:rPr>
      </w:pPr>
      <w:bookmarkStart w:id="173" w:name="OLE_LINK2"/>
      <w:r>
        <w:rPr>
          <w:rFonts w:hint="eastAsia" w:ascii="宋体" w:cs="宋体"/>
          <w:kern w:val="0"/>
          <w:szCs w:val="21"/>
        </w:rPr>
        <w:t>依次降低浓度、中浓度、高浓度三种浓度标气通入监测系统，</w:t>
      </w:r>
      <w:bookmarkStart w:id="174" w:name="OLE_LINK3"/>
      <w:r>
        <w:rPr>
          <w:rFonts w:hint="eastAsia" w:ascii="宋体" w:cs="宋体"/>
          <w:kern w:val="0"/>
          <w:szCs w:val="21"/>
        </w:rPr>
        <w:t>每次通气15分钟，取后5分钟监测数据均值为记录结果</w:t>
      </w:r>
      <w:bookmarkEnd w:id="173"/>
      <w:bookmarkEnd w:id="174"/>
      <w:r>
        <w:rPr>
          <w:rFonts w:hint="eastAsia" w:ascii="宋体" w:cs="宋体"/>
          <w:kern w:val="0"/>
          <w:szCs w:val="21"/>
        </w:rPr>
        <w:t>（</w:t>
      </w:r>
      <w:r>
        <w:rPr>
          <w:i/>
          <w:iCs/>
          <w:kern w:val="0"/>
          <w:szCs w:val="21"/>
          <w:highlight w:val="none"/>
        </w:rPr>
        <w:t>X</w:t>
      </w:r>
      <w:r>
        <w:rPr>
          <w:kern w:val="0"/>
          <w:szCs w:val="21"/>
          <w:highlight w:val="none"/>
          <w:vertAlign w:val="subscript"/>
        </w:rPr>
        <w:t>i</w:t>
      </w:r>
      <w:r>
        <w:rPr>
          <w:rFonts w:hint="eastAsia" w:ascii="宋体" w:cs="宋体"/>
          <w:kern w:val="0"/>
          <w:szCs w:val="21"/>
        </w:rPr>
        <w:t>）。</w:t>
      </w:r>
    </w:p>
    <w:p w14:paraId="00F725C5">
      <w:pPr>
        <w:numPr>
          <w:ilvl w:val="0"/>
          <w:numId w:val="12"/>
        </w:numPr>
        <w:kinsoku w:val="0"/>
        <w:overflowPunct w:val="0"/>
        <w:autoSpaceDE w:val="0"/>
        <w:autoSpaceDN w:val="0"/>
        <w:adjustRightInd w:val="0"/>
        <w:spacing w:before="11"/>
        <w:ind w:left="0" w:firstLine="420" w:firstLineChars="200"/>
        <w:rPr>
          <w:rFonts w:ascii="宋体" w:cs="宋体"/>
          <w:kern w:val="0"/>
          <w:szCs w:val="21"/>
        </w:rPr>
      </w:pPr>
      <w:r>
        <w:rPr>
          <w:rFonts w:hint="eastAsia" w:ascii="宋体" w:cs="宋体"/>
          <w:kern w:val="0"/>
          <w:szCs w:val="21"/>
        </w:rPr>
        <w:t>将审核标气的仪器响应浓度值（</w:t>
      </w:r>
      <w:r>
        <w:rPr>
          <w:i/>
          <w:iCs/>
          <w:kern w:val="0"/>
          <w:szCs w:val="21"/>
          <w:highlight w:val="none"/>
        </w:rPr>
        <w:t>X</w:t>
      </w:r>
      <w:r>
        <w:rPr>
          <w:kern w:val="0"/>
          <w:szCs w:val="21"/>
          <w:highlight w:val="none"/>
          <w:vertAlign w:val="subscript"/>
        </w:rPr>
        <w:t>i</w:t>
      </w:r>
      <w:r>
        <w:rPr>
          <w:rFonts w:hint="eastAsia" w:ascii="宋体" w:hAnsi="Cambria Math" w:cs="宋体"/>
          <w:kern w:val="0"/>
          <w:szCs w:val="21"/>
        </w:rPr>
        <w:t>）与标气标称浓度值（</w:t>
      </w:r>
      <w:r>
        <w:rPr>
          <w:i/>
          <w:iCs/>
          <w:kern w:val="0"/>
          <w:szCs w:val="21"/>
          <w:highlight w:val="none"/>
        </w:rPr>
        <w:t>Y</w:t>
      </w:r>
      <w:r>
        <w:rPr>
          <w:kern w:val="0"/>
          <w:szCs w:val="21"/>
          <w:highlight w:val="none"/>
          <w:vertAlign w:val="subscript"/>
        </w:rPr>
        <w:t>i</w:t>
      </w:r>
      <w:r>
        <w:rPr>
          <w:rFonts w:hint="eastAsia" w:ascii="宋体" w:hAnsi="Cambria Math" w:cs="宋体"/>
          <w:kern w:val="0"/>
          <w:szCs w:val="21"/>
        </w:rPr>
        <w:t>）进行线性相关分析，用最小二乘法绘制仪器校准曲线。</w:t>
      </w:r>
    </w:p>
    <w:p w14:paraId="2470A1F4">
      <w:pPr>
        <w:numPr>
          <w:ilvl w:val="0"/>
          <w:numId w:val="12"/>
        </w:numPr>
        <w:kinsoku w:val="0"/>
        <w:overflowPunct w:val="0"/>
        <w:autoSpaceDE w:val="0"/>
        <w:autoSpaceDN w:val="0"/>
        <w:adjustRightInd w:val="0"/>
        <w:spacing w:before="11"/>
        <w:ind w:left="0" w:firstLine="420" w:firstLineChars="200"/>
        <w:rPr>
          <w:rFonts w:ascii="宋体" w:cs="宋体"/>
          <w:kern w:val="0"/>
          <w:szCs w:val="21"/>
        </w:rPr>
      </w:pPr>
      <w:r>
        <w:rPr>
          <w:rFonts w:hint="eastAsia" w:ascii="宋体" w:cs="宋体"/>
          <w:kern w:val="0"/>
          <w:szCs w:val="21"/>
        </w:rPr>
        <w:t>将工作气仪器响应值代入校准曲线的拟合方程，计算出工作气的差值。</w:t>
      </w:r>
    </w:p>
    <w:p w14:paraId="1001DEA3">
      <w:pPr>
        <w:numPr>
          <w:ilvl w:val="0"/>
          <w:numId w:val="12"/>
        </w:numPr>
        <w:kinsoku w:val="0"/>
        <w:overflowPunct w:val="0"/>
        <w:autoSpaceDE w:val="0"/>
        <w:autoSpaceDN w:val="0"/>
        <w:adjustRightInd w:val="0"/>
        <w:spacing w:before="11"/>
        <w:ind w:left="0" w:firstLine="420" w:firstLineChars="200"/>
        <w:rPr>
          <w:rFonts w:ascii="宋体" w:cs="宋体"/>
          <w:kern w:val="0"/>
          <w:szCs w:val="21"/>
        </w:rPr>
      </w:pPr>
      <w:r>
        <w:rPr>
          <w:rFonts w:hint="eastAsia" w:ascii="宋体" w:cs="宋体"/>
          <w:kern w:val="0"/>
          <w:szCs w:val="21"/>
        </w:rPr>
        <w:t>对所获校准曲线的相关系数和工作气差值应符合以下要求：</w:t>
      </w:r>
    </w:p>
    <w:p w14:paraId="32C6C11C">
      <w:pPr>
        <w:autoSpaceDE w:val="0"/>
        <w:autoSpaceDN w:val="0"/>
        <w:adjustRightInd w:val="0"/>
        <w:ind w:firstLine="420" w:firstLineChars="200"/>
        <w:rPr>
          <w:rFonts w:ascii="宋体" w:cs="宋体"/>
          <w:kern w:val="0"/>
          <w:szCs w:val="21"/>
        </w:rPr>
      </w:pPr>
      <w:r>
        <w:rPr>
          <w:kern w:val="0"/>
          <w:szCs w:val="21"/>
        </w:rPr>
        <w:t>CO</w:t>
      </w:r>
      <w:r>
        <w:rPr>
          <w:kern w:val="0"/>
          <w:szCs w:val="21"/>
          <w:vertAlign w:val="subscript"/>
        </w:rPr>
        <w:t>2</w:t>
      </w:r>
      <w:r>
        <w:rPr>
          <w:kern w:val="0"/>
          <w:szCs w:val="21"/>
        </w:rPr>
        <w:t>/CH</w:t>
      </w:r>
      <w:r>
        <w:rPr>
          <w:kern w:val="0"/>
          <w:szCs w:val="21"/>
          <w:vertAlign w:val="subscript"/>
        </w:rPr>
        <w:t>4</w:t>
      </w:r>
      <w:r>
        <w:rPr>
          <w:rFonts w:hint="eastAsia" w:ascii="宋体" w:cs="宋体"/>
          <w:kern w:val="0"/>
          <w:szCs w:val="21"/>
        </w:rPr>
        <w:t>校准曲线相关系数</w:t>
      </w:r>
      <w:r>
        <w:rPr>
          <w:kern w:val="0"/>
          <w:szCs w:val="21"/>
        </w:rPr>
        <w:t>r</w:t>
      </w:r>
      <w:r>
        <w:rPr>
          <w:rFonts w:hint="eastAsia"/>
          <w:kern w:val="0"/>
          <w:szCs w:val="21"/>
        </w:rPr>
        <w:t>＞</w:t>
      </w:r>
      <w:r>
        <w:rPr>
          <w:kern w:val="0"/>
          <w:szCs w:val="21"/>
        </w:rPr>
        <w:t>0.99999</w:t>
      </w:r>
      <w:r>
        <w:rPr>
          <w:rFonts w:hint="eastAsia" w:ascii="宋体" w:cs="宋体"/>
          <w:kern w:val="0"/>
          <w:szCs w:val="21"/>
        </w:rPr>
        <w:t>；</w:t>
      </w:r>
    </w:p>
    <w:p w14:paraId="0DEB1F9C">
      <w:pPr>
        <w:autoSpaceDE w:val="0"/>
        <w:autoSpaceDN w:val="0"/>
        <w:adjustRightInd w:val="0"/>
        <w:ind w:firstLine="420" w:firstLineChars="200"/>
        <w:rPr>
          <w:rFonts w:ascii="宋体" w:cs="宋体"/>
          <w:kern w:val="0"/>
          <w:szCs w:val="21"/>
        </w:rPr>
      </w:pPr>
      <w:r>
        <w:rPr>
          <w:kern w:val="0"/>
          <w:szCs w:val="21"/>
        </w:rPr>
        <w:t>CO</w:t>
      </w:r>
      <w:r>
        <w:rPr>
          <w:kern w:val="0"/>
          <w:sz w:val="14"/>
          <w:szCs w:val="14"/>
        </w:rPr>
        <w:t>2</w:t>
      </w:r>
      <w:r>
        <w:rPr>
          <w:kern w:val="0"/>
          <w:szCs w:val="21"/>
        </w:rPr>
        <w:t>/CH</w:t>
      </w:r>
      <w:r>
        <w:rPr>
          <w:kern w:val="0"/>
          <w:sz w:val="14"/>
          <w:szCs w:val="14"/>
        </w:rPr>
        <w:t>4</w:t>
      </w:r>
      <w:r>
        <w:rPr>
          <w:rFonts w:hint="eastAsia" w:ascii="宋体" w:cs="宋体"/>
          <w:kern w:val="0"/>
          <w:szCs w:val="21"/>
        </w:rPr>
        <w:t>差值不超过±</w:t>
      </w:r>
      <w:r>
        <w:rPr>
          <w:kern w:val="0"/>
          <w:szCs w:val="21"/>
        </w:rPr>
        <w:t>0.2ppm/5ppb</w:t>
      </w:r>
      <w:r>
        <w:rPr>
          <w:rFonts w:hint="eastAsia" w:ascii="宋体" w:cs="宋体"/>
          <w:kern w:val="0"/>
          <w:szCs w:val="21"/>
        </w:rPr>
        <w:t>，有条件的进一步提升为不超过±</w:t>
      </w:r>
      <w:r>
        <w:rPr>
          <w:kern w:val="0"/>
          <w:szCs w:val="21"/>
        </w:rPr>
        <w:t>0.1ppm/2ppb</w:t>
      </w:r>
      <w:r>
        <w:rPr>
          <w:rFonts w:hint="eastAsia" w:ascii="宋体" w:cs="宋体"/>
          <w:kern w:val="0"/>
          <w:szCs w:val="21"/>
        </w:rPr>
        <w:t>。</w:t>
      </w:r>
    </w:p>
    <w:p w14:paraId="102869FF">
      <w:pPr>
        <w:widowControl/>
        <w:ind w:firstLine="420" w:firstLineChars="200"/>
        <w:rPr>
          <w:rFonts w:ascii="宋体" w:cs="宋体"/>
          <w:kern w:val="0"/>
          <w:szCs w:val="21"/>
        </w:rPr>
      </w:pPr>
      <w:r>
        <w:rPr>
          <w:rFonts w:hint="eastAsia" w:ascii="宋体" w:cs="宋体"/>
          <w:kern w:val="0"/>
          <w:szCs w:val="21"/>
        </w:rPr>
        <w:t>若其中任何一项指标不满足要求，则需对监测仪器及系统进行保养、检修，直至检验指标符合要求。</w:t>
      </w:r>
    </w:p>
    <w:p w14:paraId="79770DF3">
      <w:pPr>
        <w:pStyle w:val="36"/>
        <w:numPr>
          <w:ilvl w:val="1"/>
          <w:numId w:val="0"/>
        </w:numPr>
        <w:bidi w:val="0"/>
      </w:pPr>
      <w:bookmarkStart w:id="175" w:name="_Toc11496"/>
      <w:bookmarkStart w:id="176" w:name="_Toc18351"/>
      <w:r>
        <w:rPr>
          <w:rFonts w:hint="eastAsia" w:cs="Times New Roman"/>
          <w:b w:val="0"/>
          <w:i w:val="0"/>
          <w:snapToGrid/>
          <w:spacing w:val="0"/>
          <w:w w:val="100"/>
          <w:kern w:val="21"/>
          <w:sz w:val="21"/>
          <w:lang w:val="en-US" w:eastAsia="zh-CN" w:bidi="ar-SA"/>
        </w:rPr>
        <w:t>B</w:t>
      </w:r>
      <w:r>
        <w:rPr>
          <w:rFonts w:hint="eastAsia" w:ascii="黑体" w:hAnsi="Times New Roman" w:eastAsia="黑体" w:cs="Times New Roman"/>
          <w:b w:val="0"/>
          <w:i w:val="0"/>
          <w:snapToGrid/>
          <w:spacing w:val="0"/>
          <w:w w:val="100"/>
          <w:kern w:val="21"/>
          <w:sz w:val="21"/>
          <w:lang w:val="en-US" w:eastAsia="zh-CN" w:bidi="ar-SA"/>
        </w:rPr>
        <w:t>.</w:t>
      </w:r>
      <w:r>
        <w:rPr>
          <w:rFonts w:hint="eastAsia" w:cs="Times New Roman"/>
          <w:b w:val="0"/>
          <w:i w:val="0"/>
          <w:snapToGrid/>
          <w:spacing w:val="0"/>
          <w:w w:val="100"/>
          <w:kern w:val="21"/>
          <w:sz w:val="21"/>
          <w:lang w:val="en-US" w:eastAsia="zh-CN" w:bidi="ar-SA"/>
        </w:rPr>
        <w:t>3</w:t>
      </w:r>
      <w:r>
        <w:rPr>
          <w:rFonts w:hint="eastAsia" w:ascii="黑体" w:hAnsi="Times New Roman" w:eastAsia="黑体" w:cs="Times New Roman"/>
          <w:b w:val="0"/>
          <w:i w:val="0"/>
          <w:snapToGrid/>
          <w:spacing w:val="0"/>
          <w:w w:val="100"/>
          <w:kern w:val="21"/>
          <w:sz w:val="21"/>
          <w:lang w:val="en-US" w:eastAsia="zh-CN" w:bidi="ar-SA"/>
        </w:rPr>
        <w:t>　</w:t>
      </w:r>
      <w:r>
        <w:rPr>
          <w:rFonts w:hint="eastAsia"/>
        </w:rPr>
        <w:t>可比性审核</w:t>
      </w:r>
      <w:bookmarkEnd w:id="175"/>
      <w:bookmarkEnd w:id="176"/>
      <w:r>
        <w:rPr>
          <w:rFonts w:hint="eastAsia"/>
        </w:rPr>
        <w:t xml:space="preserve"> </w:t>
      </w:r>
    </w:p>
    <w:p w14:paraId="675F0F36">
      <w:pPr>
        <w:pStyle w:val="37"/>
        <w:numPr>
          <w:ilvl w:val="2"/>
          <w:numId w:val="0"/>
        </w:numPr>
        <w:bidi w:val="0"/>
        <w:ind w:left="0" w:leftChars="0" w:firstLine="0" w:firstLineChars="0"/>
      </w:pPr>
      <w:r>
        <w:rPr>
          <w:rFonts w:hint="eastAsia" w:cs="Times New Roman"/>
          <w:b w:val="0"/>
          <w:i w:val="0"/>
          <w:kern w:val="21"/>
          <w:sz w:val="21"/>
          <w:lang w:val="en-US" w:eastAsia="zh-CN" w:bidi="ar-SA"/>
        </w:rPr>
        <w:t>B</w:t>
      </w:r>
      <w:r>
        <w:rPr>
          <w:rFonts w:hint="eastAsia" w:ascii="黑体" w:hAnsi="Times New Roman" w:eastAsia="黑体" w:cs="Times New Roman"/>
          <w:b w:val="0"/>
          <w:i w:val="0"/>
          <w:kern w:val="21"/>
          <w:sz w:val="21"/>
          <w:lang w:val="en-US" w:eastAsia="zh-CN" w:bidi="ar-SA"/>
        </w:rPr>
        <w:t>.</w:t>
      </w:r>
      <w:r>
        <w:rPr>
          <w:rFonts w:hint="eastAsia" w:cs="Times New Roman"/>
          <w:b w:val="0"/>
          <w:i w:val="0"/>
          <w:kern w:val="21"/>
          <w:sz w:val="21"/>
          <w:lang w:val="en-US" w:eastAsia="zh-CN" w:bidi="ar-SA"/>
        </w:rPr>
        <w:t>3</w:t>
      </w:r>
      <w:r>
        <w:rPr>
          <w:rFonts w:hint="eastAsia" w:ascii="黑体" w:hAnsi="Times New Roman" w:eastAsia="黑体" w:cs="Times New Roman"/>
          <w:b w:val="0"/>
          <w:i w:val="0"/>
          <w:kern w:val="21"/>
          <w:sz w:val="21"/>
          <w:lang w:val="en-US" w:eastAsia="zh-CN" w:bidi="ar-SA"/>
        </w:rPr>
        <w:t>.1　</w:t>
      </w:r>
      <w:r>
        <w:rPr>
          <w:rFonts w:hint="eastAsia"/>
        </w:rPr>
        <w:t xml:space="preserve">审核方法 </w:t>
      </w:r>
    </w:p>
    <w:p w14:paraId="44D76A73">
      <w:pPr>
        <w:kinsoku w:val="0"/>
        <w:overflowPunct w:val="0"/>
        <w:autoSpaceDE w:val="0"/>
        <w:autoSpaceDN w:val="0"/>
        <w:adjustRightInd w:val="0"/>
        <w:spacing w:before="11"/>
        <w:ind w:firstLine="420" w:firstLineChars="200"/>
        <w:rPr>
          <w:rFonts w:ascii="宋体" w:cs="宋体"/>
          <w:kern w:val="0"/>
          <w:szCs w:val="21"/>
        </w:rPr>
      </w:pPr>
      <w:r>
        <w:rPr>
          <w:rFonts w:hint="eastAsia" w:ascii="宋体" w:cs="宋体"/>
          <w:kern w:val="0"/>
          <w:szCs w:val="21"/>
        </w:rPr>
        <w:t xml:space="preserve">向监测系统通入某一浓度的标气，等待仪器读数稳定后记录仪器示值，根据仪器示值的修正浓度值与标称浓度值的差值，来确定监测系统与标准气体的可比性。 </w:t>
      </w:r>
    </w:p>
    <w:p w14:paraId="171BA3D5">
      <w:pPr>
        <w:pStyle w:val="37"/>
        <w:numPr>
          <w:ilvl w:val="2"/>
          <w:numId w:val="0"/>
        </w:numPr>
        <w:bidi w:val="0"/>
        <w:ind w:left="0" w:leftChars="0" w:firstLine="0" w:firstLineChars="0"/>
      </w:pPr>
      <w:r>
        <w:rPr>
          <w:rFonts w:hint="eastAsia" w:cs="Times New Roman"/>
          <w:b w:val="0"/>
          <w:i w:val="0"/>
          <w:kern w:val="21"/>
          <w:sz w:val="21"/>
          <w:lang w:val="en-US" w:eastAsia="zh-CN" w:bidi="ar-SA"/>
        </w:rPr>
        <w:t>B</w:t>
      </w:r>
      <w:r>
        <w:rPr>
          <w:rFonts w:hint="eastAsia" w:ascii="黑体" w:hAnsi="Times New Roman" w:eastAsia="黑体" w:cs="Times New Roman"/>
          <w:b w:val="0"/>
          <w:i w:val="0"/>
          <w:kern w:val="21"/>
          <w:sz w:val="21"/>
          <w:lang w:val="en-US" w:eastAsia="zh-CN" w:bidi="ar-SA"/>
        </w:rPr>
        <w:t>.</w:t>
      </w:r>
      <w:r>
        <w:rPr>
          <w:rFonts w:hint="eastAsia" w:cs="Times New Roman"/>
          <w:b w:val="0"/>
          <w:i w:val="0"/>
          <w:kern w:val="21"/>
          <w:sz w:val="21"/>
          <w:lang w:val="en-US" w:eastAsia="zh-CN" w:bidi="ar-SA"/>
        </w:rPr>
        <w:t>3</w:t>
      </w:r>
      <w:r>
        <w:rPr>
          <w:rFonts w:hint="eastAsia" w:ascii="黑体" w:hAnsi="Times New Roman" w:eastAsia="黑体" w:cs="Times New Roman"/>
          <w:b w:val="0"/>
          <w:i w:val="0"/>
          <w:kern w:val="21"/>
          <w:sz w:val="21"/>
          <w:lang w:val="en-US" w:eastAsia="zh-CN" w:bidi="ar-SA"/>
        </w:rPr>
        <w:t>.2　</w:t>
      </w:r>
      <w:r>
        <w:rPr>
          <w:rFonts w:hint="eastAsia"/>
        </w:rPr>
        <w:t xml:space="preserve">审核流程 </w:t>
      </w:r>
    </w:p>
    <w:p w14:paraId="1A68E4FE">
      <w:pPr>
        <w:numPr>
          <w:ilvl w:val="0"/>
          <w:numId w:val="13"/>
        </w:numPr>
        <w:kinsoku w:val="0"/>
        <w:overflowPunct w:val="0"/>
        <w:autoSpaceDE w:val="0"/>
        <w:autoSpaceDN w:val="0"/>
        <w:adjustRightInd w:val="0"/>
        <w:spacing w:before="11"/>
        <w:ind w:left="0" w:firstLine="420" w:firstLineChars="200"/>
        <w:rPr>
          <w:kern w:val="0"/>
          <w:szCs w:val="21"/>
        </w:rPr>
      </w:pPr>
      <w:bookmarkStart w:id="177" w:name="OLE_LINK4"/>
      <w:r>
        <w:rPr>
          <w:kern w:val="0"/>
          <w:szCs w:val="21"/>
        </w:rPr>
        <w:t>将审核用标气从站房内除水设备前端通入监测系统。建议每次通气20分钟，取后5分钟监测数据均值为记录结果。</w:t>
      </w:r>
    </w:p>
    <w:bookmarkEnd w:id="177"/>
    <w:p w14:paraId="4525AA1B">
      <w:pPr>
        <w:numPr>
          <w:ilvl w:val="0"/>
          <w:numId w:val="13"/>
        </w:numPr>
        <w:kinsoku w:val="0"/>
        <w:overflowPunct w:val="0"/>
        <w:autoSpaceDE w:val="0"/>
        <w:autoSpaceDN w:val="0"/>
        <w:adjustRightInd w:val="0"/>
        <w:spacing w:before="11"/>
        <w:ind w:left="0" w:firstLine="420" w:firstLineChars="200"/>
        <w:rPr>
          <w:kern w:val="0"/>
          <w:szCs w:val="21"/>
        </w:rPr>
      </w:pPr>
      <w:r>
        <w:rPr>
          <w:kern w:val="0"/>
          <w:szCs w:val="21"/>
        </w:rPr>
        <w:t xml:space="preserve">根据校准方程计算出审核标气的修正浓度值。 </w:t>
      </w:r>
    </w:p>
    <w:p w14:paraId="50FBB2BC">
      <w:pPr>
        <w:numPr>
          <w:ilvl w:val="0"/>
          <w:numId w:val="13"/>
        </w:numPr>
        <w:kinsoku w:val="0"/>
        <w:overflowPunct w:val="0"/>
        <w:autoSpaceDE w:val="0"/>
        <w:autoSpaceDN w:val="0"/>
        <w:adjustRightInd w:val="0"/>
        <w:spacing w:before="11"/>
        <w:ind w:left="0" w:firstLine="420" w:firstLineChars="200"/>
        <w:rPr>
          <w:kern w:val="0"/>
          <w:szCs w:val="21"/>
        </w:rPr>
      </w:pPr>
      <w:r>
        <w:rPr>
          <w:kern w:val="0"/>
          <w:szCs w:val="21"/>
        </w:rPr>
        <w:t xml:space="preserve">将审核标气修正浓度值与标气标称浓度值比较，计算出审核标气差值。 </w:t>
      </w:r>
    </w:p>
    <w:p w14:paraId="6304C9D6">
      <w:pPr>
        <w:numPr>
          <w:ilvl w:val="0"/>
          <w:numId w:val="13"/>
        </w:numPr>
        <w:kinsoku w:val="0"/>
        <w:overflowPunct w:val="0"/>
        <w:autoSpaceDE w:val="0"/>
        <w:autoSpaceDN w:val="0"/>
        <w:adjustRightInd w:val="0"/>
        <w:spacing w:before="11"/>
        <w:ind w:left="0" w:firstLine="420" w:firstLineChars="200"/>
        <w:rPr>
          <w:kern w:val="0"/>
          <w:szCs w:val="21"/>
        </w:rPr>
      </w:pPr>
      <w:r>
        <w:rPr>
          <w:kern w:val="0"/>
          <w:szCs w:val="21"/>
        </w:rPr>
        <w:t>审核标气差值应符合以下要求：CO</w:t>
      </w:r>
      <w:r>
        <w:rPr>
          <w:kern w:val="0"/>
          <w:szCs w:val="21"/>
          <w:vertAlign w:val="subscript"/>
        </w:rPr>
        <w:t>2</w:t>
      </w:r>
      <w:r>
        <w:rPr>
          <w:kern w:val="0"/>
          <w:szCs w:val="21"/>
        </w:rPr>
        <w:t>/CH</w:t>
      </w:r>
      <w:r>
        <w:rPr>
          <w:kern w:val="0"/>
          <w:szCs w:val="21"/>
          <w:vertAlign w:val="subscript"/>
        </w:rPr>
        <w:t>4</w:t>
      </w:r>
      <w:r>
        <w:rPr>
          <w:kern w:val="0"/>
          <w:szCs w:val="21"/>
        </w:rPr>
        <w:t>不超过</w:t>
      </w:r>
      <w:r>
        <w:rPr>
          <w:rFonts w:hint="eastAsia" w:asciiTheme="majorEastAsia" w:hAnsiTheme="majorEastAsia" w:eastAsiaTheme="majorEastAsia" w:cstheme="majorEastAsia"/>
          <w:kern w:val="0"/>
          <w:szCs w:val="21"/>
        </w:rPr>
        <w:t>±</w:t>
      </w:r>
      <w:r>
        <w:rPr>
          <w:kern w:val="0"/>
          <w:szCs w:val="21"/>
        </w:rPr>
        <w:t>0.2ppm/5ppb，有条件的进一步提升为不超过</w:t>
      </w:r>
      <w:r>
        <w:rPr>
          <w:rFonts w:hint="eastAsia" w:asciiTheme="minorEastAsia" w:hAnsiTheme="minorEastAsia" w:eastAsiaTheme="minorEastAsia" w:cstheme="minorEastAsia"/>
          <w:kern w:val="0"/>
          <w:szCs w:val="21"/>
        </w:rPr>
        <w:t>±</w:t>
      </w:r>
      <w:r>
        <w:rPr>
          <w:kern w:val="0"/>
          <w:szCs w:val="21"/>
        </w:rPr>
        <w:t>0.1ppm/2ppb。</w:t>
      </w:r>
    </w:p>
    <w:p w14:paraId="49BFF407">
      <w:pPr>
        <w:pStyle w:val="24"/>
        <w:ind w:firstLine="0" w:firstLineChars="0"/>
      </w:pPr>
    </w:p>
    <w:bookmarkEnd w:id="157"/>
    <w:bookmarkEnd w:id="158"/>
    <w:bookmarkEnd w:id="159"/>
    <w:bookmarkEnd w:id="160"/>
    <w:p w14:paraId="64018FDA">
      <w:pPr>
        <w:pStyle w:val="39"/>
        <w:framePr w:wrap="around"/>
      </w:pPr>
      <w:r>
        <w:t>_________________________________</w:t>
      </w:r>
    </w:p>
    <w:p w14:paraId="2AF879D6"/>
    <w:sectPr>
      <w:pgSz w:w="11906" w:h="16838"/>
      <w:pgMar w:top="567" w:right="1134" w:bottom="1134" w:left="1417" w:header="1418" w:footer="1134" w:gutter="0"/>
      <w:pgNumType w:start="1"/>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Cambria Math">
    <w:panose1 w:val="02040503050406030204"/>
    <w:charset w:val="00"/>
    <w:family w:val="roman"/>
    <w:pitch w:val="default"/>
    <w:sig w:usb0="E00006FF" w:usb1="420024FF" w:usb2="02000000" w:usb3="00000000" w:csb0="200001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46EEC0">
    <w:pPr>
      <w:pStyle w:val="42"/>
    </w:pPr>
    <w:r>
      <w:fldChar w:fldCharType="begin"/>
    </w:r>
    <w:r>
      <w:instrText xml:space="preserve"> PAGE  \* MERGEFORMAT </w:instrText>
    </w:r>
    <w:r>
      <w:fldChar w:fldCharType="separate"/>
    </w:r>
    <w:r>
      <w:t>II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53B1F">
    <w:pPr>
      <w:pStyle w:val="43"/>
    </w:pPr>
    <w:r>
      <w:fldChar w:fldCharType="begin"/>
    </w:r>
    <w:r>
      <w:instrText xml:space="preserve"> PAGE  \* MERGEFORMAT </w:instrText>
    </w:r>
    <w:r>
      <w:fldChar w:fldCharType="separate"/>
    </w:r>
    <w:r>
      <w:t>I</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E8A1B1">
    <w:pPr>
      <w:pStyle w:val="40"/>
    </w:pPr>
    <w:r>
      <w:t xml:space="preserve">DB61/T </w:t>
    </w:r>
    <w:r>
      <w:rPr>
        <w:rFonts w:hint="eastAsia"/>
      </w:rPr>
      <w:t>XXXX</w:t>
    </w:r>
    <w:r>
      <w:t>—20XX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CA01F0">
    <w:pPr>
      <w:pStyle w:val="41"/>
    </w:pPr>
    <w:r>
      <w:t>DB</w:t>
    </w:r>
    <w:r>
      <w:rPr>
        <w:rFonts w:hint="eastAsia"/>
      </w:rPr>
      <w:t>61</w:t>
    </w:r>
    <w:r>
      <w:t>/</w:t>
    </w:r>
    <w:r>
      <w:rPr>
        <w:rFonts w:hint="eastAsia"/>
      </w:rPr>
      <w:t>T</w:t>
    </w:r>
    <w:r>
      <w:t xml:space="preserve"> XXXX—</w:t>
    </w:r>
    <w:r>
      <w:rPr>
        <w:rFonts w:hint="eastAsia"/>
      </w:rPr>
      <w:t>20</w:t>
    </w:r>
    <w:r>
      <w:t>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561251"/>
    <w:multiLevelType w:val="multilevel"/>
    <w:tmpl w:val="C1561251"/>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F2C4441F"/>
    <w:multiLevelType w:val="multilevel"/>
    <w:tmpl w:val="F2C4441F"/>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F4596DEE"/>
    <w:multiLevelType w:val="singleLevel"/>
    <w:tmpl w:val="F4596DEE"/>
    <w:lvl w:ilvl="0" w:tentative="0">
      <w:start w:val="1"/>
      <w:numFmt w:val="decimal"/>
      <w:lvlText w:val="(%1)"/>
      <w:lvlJc w:val="left"/>
      <w:pPr>
        <w:ind w:left="425" w:hanging="425"/>
      </w:pPr>
      <w:rPr>
        <w:rFonts w:hint="default" w:ascii="Times New Roman" w:hAnsi="Times New Roman" w:cs="Times New Roman"/>
      </w:rPr>
    </w:lvl>
  </w:abstractNum>
  <w:abstractNum w:abstractNumId="3">
    <w:nsid w:val="1FC91163"/>
    <w:multiLevelType w:val="multilevel"/>
    <w:tmpl w:val="1FC91163"/>
    <w:lvl w:ilvl="0" w:tentative="0">
      <w:start w:val="1"/>
      <w:numFmt w:val="decimal"/>
      <w:pStyle w:val="28"/>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9"/>
      <w:suff w:val="nothing"/>
      <w:lvlText w:val="%1.%2　"/>
      <w:lvlJc w:val="left"/>
      <w:pPr>
        <w:ind w:left="0" w:firstLine="0"/>
      </w:pPr>
      <w:rPr>
        <w:rFonts w:hint="default"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rPr>
    </w:lvl>
    <w:lvl w:ilvl="2" w:tentative="0">
      <w:start w:val="1"/>
      <w:numFmt w:val="decimal"/>
      <w:pStyle w:val="31"/>
      <w:suff w:val="nothing"/>
      <w:lvlText w:val="%1.%2.%3　"/>
      <w:lvlJc w:val="left"/>
      <w:pPr>
        <w:ind w:left="425"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2A8F7113"/>
    <w:multiLevelType w:val="multilevel"/>
    <w:tmpl w:val="2A8F7113"/>
    <w:lvl w:ilvl="0" w:tentative="0">
      <w:start w:val="1"/>
      <w:numFmt w:val="upperLetter"/>
      <w:pStyle w:val="33"/>
      <w:suff w:val="space"/>
      <w:lvlText w:val="%1"/>
      <w:lvlJc w:val="left"/>
      <w:pPr>
        <w:ind w:left="623" w:hanging="425"/>
      </w:pPr>
      <w:rPr>
        <w:rFonts w:hint="eastAsia"/>
      </w:rPr>
    </w:lvl>
    <w:lvl w:ilvl="1" w:tentative="0">
      <w:start w:val="1"/>
      <w:numFmt w:val="decimal"/>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5">
    <w:nsid w:val="3FA98F0F"/>
    <w:multiLevelType w:val="multilevel"/>
    <w:tmpl w:val="3FA98F0F"/>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4282CE44"/>
    <w:multiLevelType w:val="singleLevel"/>
    <w:tmpl w:val="4282CE44"/>
    <w:lvl w:ilvl="0" w:tentative="0">
      <w:start w:val="1"/>
      <w:numFmt w:val="decimal"/>
      <w:suff w:val="nothing"/>
      <w:lvlText w:val="%1）"/>
      <w:lvlJc w:val="left"/>
    </w:lvl>
  </w:abstractNum>
  <w:abstractNum w:abstractNumId="7">
    <w:nsid w:val="4FDD5540"/>
    <w:multiLevelType w:val="multilevel"/>
    <w:tmpl w:val="4FDD5540"/>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
    <w:nsid w:val="50F5170C"/>
    <w:multiLevelType w:val="multilevel"/>
    <w:tmpl w:val="50F5170C"/>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
    <w:nsid w:val="60B55DC2"/>
    <w:multiLevelType w:val="multilevel"/>
    <w:tmpl w:val="60B55DC2"/>
    <w:lvl w:ilvl="0" w:tentative="0">
      <w:start w:val="1"/>
      <w:numFmt w:val="upperLetter"/>
      <w:pStyle w:val="34"/>
      <w:lvlText w:val="%1"/>
      <w:lvlJc w:val="left"/>
      <w:pPr>
        <w:tabs>
          <w:tab w:val="left" w:pos="0"/>
        </w:tabs>
        <w:ind w:left="0" w:hanging="425"/>
      </w:pPr>
      <w:rPr>
        <w:rFonts w:hint="eastAsia"/>
      </w:rPr>
    </w:lvl>
    <w:lvl w:ilvl="1" w:tentative="0">
      <w:start w:val="1"/>
      <w:numFmt w:val="decimal"/>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0">
    <w:nsid w:val="63F62287"/>
    <w:multiLevelType w:val="singleLevel"/>
    <w:tmpl w:val="63F62287"/>
    <w:lvl w:ilvl="0" w:tentative="0">
      <w:start w:val="1"/>
      <w:numFmt w:val="decimal"/>
      <w:lvlText w:val="(%1)"/>
      <w:lvlJc w:val="left"/>
      <w:pPr>
        <w:ind w:left="425" w:hanging="425"/>
      </w:pPr>
      <w:rPr>
        <w:rFonts w:hint="default" w:ascii="Times New Roman" w:hAnsi="Times New Roman" w:cs="Times New Roman"/>
      </w:rPr>
    </w:lvl>
  </w:abstractNum>
  <w:abstractNum w:abstractNumId="11">
    <w:nsid w:val="657D3FBC"/>
    <w:multiLevelType w:val="multilevel"/>
    <w:tmpl w:val="657D3FBC"/>
    <w:lvl w:ilvl="0" w:tentative="0">
      <w:start w:val="1"/>
      <w:numFmt w:val="upperLetter"/>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36"/>
      <w:suff w:val="nothing"/>
      <w:lvlText w:val="%1.%2　"/>
      <w:lvlJc w:val="left"/>
      <w:pPr>
        <w:ind w:left="2127" w:firstLine="0"/>
      </w:pPr>
      <w:rPr>
        <w:rFonts w:hint="eastAsia" w:ascii="黑体" w:hAnsi="Times New Roman" w:eastAsia="黑体"/>
        <w:b w:val="0"/>
        <w:i w:val="0"/>
        <w:snapToGrid/>
        <w:spacing w:val="0"/>
        <w:w w:val="100"/>
        <w:kern w:val="21"/>
        <w:sz w:val="21"/>
      </w:rPr>
    </w:lvl>
    <w:lvl w:ilvl="2" w:tentative="0">
      <w:start w:val="1"/>
      <w:numFmt w:val="decimal"/>
      <w:pStyle w:val="37"/>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2">
    <w:nsid w:val="78C91A11"/>
    <w:multiLevelType w:val="singleLevel"/>
    <w:tmpl w:val="78C91A11"/>
    <w:lvl w:ilvl="0" w:tentative="0">
      <w:start w:val="1"/>
      <w:numFmt w:val="decimal"/>
      <w:lvlText w:val="(%1)"/>
      <w:lvlJc w:val="left"/>
      <w:pPr>
        <w:ind w:left="425" w:hanging="425"/>
      </w:pPr>
      <w:rPr>
        <w:rFonts w:hint="default" w:ascii="Times New Roman" w:hAnsi="Times New Roman" w:cs="Times New Roman"/>
      </w:rPr>
    </w:lvl>
  </w:abstractNum>
  <w:num w:numId="1">
    <w:abstractNumId w:val="3"/>
  </w:num>
  <w:num w:numId="2">
    <w:abstractNumId w:val="4"/>
  </w:num>
  <w:num w:numId="3">
    <w:abstractNumId w:val="9"/>
  </w:num>
  <w:num w:numId="4">
    <w:abstractNumId w:val="11"/>
  </w:num>
  <w:num w:numId="5">
    <w:abstractNumId w:val="8"/>
  </w:num>
  <w:num w:numId="6">
    <w:abstractNumId w:val="1"/>
  </w:num>
  <w:num w:numId="7">
    <w:abstractNumId w:val="7"/>
  </w:num>
  <w:num w:numId="8">
    <w:abstractNumId w:val="5"/>
  </w:num>
  <w:num w:numId="9">
    <w:abstractNumId w:val="0"/>
  </w:num>
  <w:num w:numId="10">
    <w:abstractNumId w:val="6"/>
  </w:num>
  <w:num w:numId="11">
    <w:abstractNumId w:val="2"/>
  </w:num>
  <w:num w:numId="12">
    <w:abstractNumId w:val="1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k2NTQ3YjQ5YTBiODMyNmUyMTEwNjdhYWViZDYxNzcifQ=="/>
  </w:docVars>
  <w:rsids>
    <w:rsidRoot w:val="00172A27"/>
    <w:rsid w:val="00015749"/>
    <w:rsid w:val="000625B5"/>
    <w:rsid w:val="00172A27"/>
    <w:rsid w:val="00175D30"/>
    <w:rsid w:val="00190CE3"/>
    <w:rsid w:val="002C39C5"/>
    <w:rsid w:val="00311640"/>
    <w:rsid w:val="003420CA"/>
    <w:rsid w:val="003F6965"/>
    <w:rsid w:val="004448E3"/>
    <w:rsid w:val="00460739"/>
    <w:rsid w:val="00523FB0"/>
    <w:rsid w:val="00590736"/>
    <w:rsid w:val="0063109D"/>
    <w:rsid w:val="0069412B"/>
    <w:rsid w:val="006C091A"/>
    <w:rsid w:val="00723F13"/>
    <w:rsid w:val="00724621"/>
    <w:rsid w:val="007317D4"/>
    <w:rsid w:val="00734DEF"/>
    <w:rsid w:val="009B1C0A"/>
    <w:rsid w:val="00A44B2D"/>
    <w:rsid w:val="00A47A20"/>
    <w:rsid w:val="00A64C90"/>
    <w:rsid w:val="00A947AB"/>
    <w:rsid w:val="00B532D3"/>
    <w:rsid w:val="00B65DB4"/>
    <w:rsid w:val="00BC1056"/>
    <w:rsid w:val="00C32555"/>
    <w:rsid w:val="00C9187B"/>
    <w:rsid w:val="00CD1B7A"/>
    <w:rsid w:val="00D30ED5"/>
    <w:rsid w:val="00D402FD"/>
    <w:rsid w:val="00D50128"/>
    <w:rsid w:val="00D5063D"/>
    <w:rsid w:val="00D60640"/>
    <w:rsid w:val="00D6651E"/>
    <w:rsid w:val="00EA1668"/>
    <w:rsid w:val="00ED4D38"/>
    <w:rsid w:val="00EE49E5"/>
    <w:rsid w:val="00F313FE"/>
    <w:rsid w:val="00F41723"/>
    <w:rsid w:val="00F45EA5"/>
    <w:rsid w:val="00F60E6A"/>
    <w:rsid w:val="00FC3C14"/>
    <w:rsid w:val="00FC4B6E"/>
    <w:rsid w:val="00FF7120"/>
    <w:rsid w:val="01AD6AEA"/>
    <w:rsid w:val="0227311A"/>
    <w:rsid w:val="02531406"/>
    <w:rsid w:val="053718C6"/>
    <w:rsid w:val="055837FC"/>
    <w:rsid w:val="058823E6"/>
    <w:rsid w:val="05AD6E24"/>
    <w:rsid w:val="06163BD1"/>
    <w:rsid w:val="08775995"/>
    <w:rsid w:val="089B7370"/>
    <w:rsid w:val="097F383C"/>
    <w:rsid w:val="0A740EC6"/>
    <w:rsid w:val="0AE918B4"/>
    <w:rsid w:val="0DAD0977"/>
    <w:rsid w:val="15897F1C"/>
    <w:rsid w:val="17BB1EE3"/>
    <w:rsid w:val="189752DF"/>
    <w:rsid w:val="19C37773"/>
    <w:rsid w:val="1D8C297E"/>
    <w:rsid w:val="1E974B0B"/>
    <w:rsid w:val="201C198C"/>
    <w:rsid w:val="224551CB"/>
    <w:rsid w:val="23270D74"/>
    <w:rsid w:val="23D42CAA"/>
    <w:rsid w:val="25BA5ED0"/>
    <w:rsid w:val="277327DA"/>
    <w:rsid w:val="29283150"/>
    <w:rsid w:val="2DE24215"/>
    <w:rsid w:val="2EF064BE"/>
    <w:rsid w:val="2EFF6701"/>
    <w:rsid w:val="30717AD3"/>
    <w:rsid w:val="33312AF8"/>
    <w:rsid w:val="3366594A"/>
    <w:rsid w:val="348C4EDB"/>
    <w:rsid w:val="34A845B2"/>
    <w:rsid w:val="364F29FC"/>
    <w:rsid w:val="38550724"/>
    <w:rsid w:val="385E1724"/>
    <w:rsid w:val="3912754F"/>
    <w:rsid w:val="398926C9"/>
    <w:rsid w:val="3D1741F7"/>
    <w:rsid w:val="3F375CD7"/>
    <w:rsid w:val="3F651F54"/>
    <w:rsid w:val="40736F4F"/>
    <w:rsid w:val="418807D8"/>
    <w:rsid w:val="42293AD3"/>
    <w:rsid w:val="43D45F57"/>
    <w:rsid w:val="4482198B"/>
    <w:rsid w:val="47FC4CA0"/>
    <w:rsid w:val="48AF2AEE"/>
    <w:rsid w:val="49816239"/>
    <w:rsid w:val="4C297B4D"/>
    <w:rsid w:val="4C6F596C"/>
    <w:rsid w:val="4C9B42F6"/>
    <w:rsid w:val="4CB41B8E"/>
    <w:rsid w:val="4DB52955"/>
    <w:rsid w:val="4E395334"/>
    <w:rsid w:val="4EC2357B"/>
    <w:rsid w:val="53B536AF"/>
    <w:rsid w:val="5689497F"/>
    <w:rsid w:val="59124845"/>
    <w:rsid w:val="5AA34FD5"/>
    <w:rsid w:val="5B085D7F"/>
    <w:rsid w:val="5CFD65E0"/>
    <w:rsid w:val="614B57EB"/>
    <w:rsid w:val="62620EA5"/>
    <w:rsid w:val="639257BA"/>
    <w:rsid w:val="657575C4"/>
    <w:rsid w:val="66AD290B"/>
    <w:rsid w:val="691C75B3"/>
    <w:rsid w:val="6BF84629"/>
    <w:rsid w:val="6DAC7479"/>
    <w:rsid w:val="6E7206C2"/>
    <w:rsid w:val="6E8403F6"/>
    <w:rsid w:val="6E913284"/>
    <w:rsid w:val="6FA935EB"/>
    <w:rsid w:val="7135500A"/>
    <w:rsid w:val="721D6B97"/>
    <w:rsid w:val="725F76C8"/>
    <w:rsid w:val="7371596F"/>
    <w:rsid w:val="73DC213A"/>
    <w:rsid w:val="740D2C3B"/>
    <w:rsid w:val="74B51309"/>
    <w:rsid w:val="74B93934"/>
    <w:rsid w:val="75535747"/>
    <w:rsid w:val="77242776"/>
    <w:rsid w:val="78C0763E"/>
    <w:rsid w:val="7B995094"/>
    <w:rsid w:val="7BDD2EF3"/>
    <w:rsid w:val="7C15552F"/>
    <w:rsid w:val="7F0A3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spacing w:beforeAutospacing="1" w:afterAutospacing="1"/>
      <w:jc w:val="left"/>
      <w:outlineLvl w:val="0"/>
    </w:pPr>
    <w:rPr>
      <w:rFonts w:hint="eastAsia" w:ascii="宋体" w:hAnsi="宋体"/>
      <w:b/>
      <w:bCs/>
      <w:kern w:val="44"/>
      <w:sz w:val="48"/>
      <w:szCs w:val="48"/>
    </w:rPr>
  </w:style>
  <w:style w:type="character" w:default="1" w:styleId="8">
    <w:name w:val="Default Paragraph Font"/>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46"/>
    <w:qFormat/>
    <w:uiPriority w:val="0"/>
    <w:pPr>
      <w:tabs>
        <w:tab w:val="center" w:pos="4153"/>
        <w:tab w:val="right" w:pos="8306"/>
      </w:tabs>
      <w:snapToGrid w:val="0"/>
      <w:jc w:val="left"/>
    </w:pPr>
    <w:rPr>
      <w:sz w:val="18"/>
      <w:szCs w:val="18"/>
    </w:rPr>
  </w:style>
  <w:style w:type="paragraph" w:styleId="4">
    <w:name w:val="header"/>
    <w:basedOn w:val="1"/>
    <w:link w:val="45"/>
    <w:qFormat/>
    <w:uiPriority w:val="0"/>
    <w:pPr>
      <w:tabs>
        <w:tab w:val="center" w:pos="4153"/>
        <w:tab w:val="right" w:pos="8306"/>
      </w:tabs>
      <w:snapToGrid w:val="0"/>
      <w:jc w:val="center"/>
    </w:pPr>
    <w:rPr>
      <w:sz w:val="18"/>
      <w:szCs w:val="18"/>
    </w:rPr>
  </w:style>
  <w:style w:type="paragraph" w:styleId="5">
    <w:name w:val="toc 1"/>
    <w:basedOn w:val="1"/>
    <w:next w:val="1"/>
    <w:autoRedefine/>
    <w:qFormat/>
    <w:uiPriority w:val="39"/>
    <w:pPr>
      <w:tabs>
        <w:tab w:val="right" w:leader="dot" w:pos="9241"/>
      </w:tabs>
      <w:spacing w:before="25" w:beforeLines="25" w:after="25" w:afterLines="25"/>
      <w:jc w:val="left"/>
    </w:pPr>
    <w:rPr>
      <w:rFonts w:ascii="宋体"/>
      <w:szCs w:val="21"/>
    </w:rPr>
  </w:style>
  <w:style w:type="paragraph" w:styleId="6">
    <w:name w:val="toc 2"/>
    <w:basedOn w:val="1"/>
    <w:next w:val="1"/>
    <w:autoRedefine/>
    <w:qFormat/>
    <w:uiPriority w:val="39"/>
    <w:pPr>
      <w:tabs>
        <w:tab w:val="right" w:leader="dot" w:pos="9241"/>
      </w:tabs>
    </w:pPr>
    <w:rPr>
      <w:rFonts w:ascii="宋体"/>
      <w:szCs w:val="21"/>
    </w:rPr>
  </w:style>
  <w:style w:type="paragraph" w:customStyle="1" w:styleId="9">
    <w:name w:val="文献分类号"/>
    <w:autoRedefine/>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0">
    <w:name w:val="其他标准标志"/>
    <w:basedOn w:val="11"/>
    <w:autoRedefine/>
    <w:qFormat/>
    <w:uiPriority w:val="0"/>
    <w:pPr>
      <w:framePr w:w="6101" w:wrap="around" w:vAnchor="page" w:hAnchor="page" w:x="4673" w:y="942"/>
    </w:pPr>
    <w:rPr>
      <w:w w:val="130"/>
    </w:rPr>
  </w:style>
  <w:style w:type="paragraph" w:customStyle="1" w:styleId="11">
    <w:name w:val="标准标志"/>
    <w:next w:val="1"/>
    <w:autoRedefine/>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12">
    <w:name w:val="其他标准称谓"/>
    <w:next w:val="1"/>
    <w:autoRedefine/>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3">
    <w:name w:val="封面标准号2"/>
    <w:autoRedefine/>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4">
    <w:name w:val="封面标准代替信息"/>
    <w:autoRedefine/>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5">
    <w:name w:val="封面标准名称"/>
    <w:autoRedefine/>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6">
    <w:name w:val="封面标准英文名称"/>
    <w:basedOn w:val="15"/>
    <w:autoRedefine/>
    <w:qFormat/>
    <w:uiPriority w:val="0"/>
    <w:pPr>
      <w:framePr w:wrap="around"/>
      <w:spacing w:before="370" w:line="400" w:lineRule="exact"/>
    </w:pPr>
    <w:rPr>
      <w:rFonts w:ascii="Times New Roman"/>
      <w:sz w:val="28"/>
      <w:szCs w:val="28"/>
    </w:rPr>
  </w:style>
  <w:style w:type="paragraph" w:customStyle="1" w:styleId="17">
    <w:name w:val="封面一致性程度标识"/>
    <w:basedOn w:val="16"/>
    <w:autoRedefine/>
    <w:qFormat/>
    <w:uiPriority w:val="0"/>
    <w:pPr>
      <w:framePr w:wrap="around"/>
      <w:spacing w:before="440"/>
    </w:pPr>
    <w:rPr>
      <w:rFonts w:ascii="宋体" w:eastAsia="宋体"/>
    </w:rPr>
  </w:style>
  <w:style w:type="paragraph" w:customStyle="1" w:styleId="18">
    <w:name w:val="其他发布日期"/>
    <w:basedOn w:val="19"/>
    <w:autoRedefine/>
    <w:qFormat/>
    <w:uiPriority w:val="0"/>
    <w:pPr>
      <w:framePr w:wrap="around" w:vAnchor="page" w:hAnchor="text" w:x="1419"/>
    </w:pPr>
  </w:style>
  <w:style w:type="paragraph" w:customStyle="1" w:styleId="19">
    <w:name w:val="发布日期"/>
    <w:autoRedefine/>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20">
    <w:name w:val="其他实施日期"/>
    <w:basedOn w:val="21"/>
    <w:autoRedefine/>
    <w:qFormat/>
    <w:uiPriority w:val="0"/>
    <w:pPr>
      <w:framePr w:wrap="around"/>
    </w:pPr>
  </w:style>
  <w:style w:type="paragraph" w:customStyle="1" w:styleId="21">
    <w:name w:val="实施日期"/>
    <w:basedOn w:val="19"/>
    <w:autoRedefine/>
    <w:qFormat/>
    <w:uiPriority w:val="0"/>
    <w:pPr>
      <w:framePr w:wrap="around" w:vAnchor="page" w:hAnchor="text"/>
      <w:jc w:val="right"/>
    </w:pPr>
  </w:style>
  <w:style w:type="paragraph" w:customStyle="1" w:styleId="22">
    <w:name w:val="其他发布部门"/>
    <w:basedOn w:val="23"/>
    <w:autoRedefine/>
    <w:qFormat/>
    <w:uiPriority w:val="0"/>
    <w:pPr>
      <w:framePr w:wrap="around" w:y="15310"/>
      <w:spacing w:line="0" w:lineRule="atLeast"/>
    </w:pPr>
    <w:rPr>
      <w:rFonts w:ascii="黑体" w:eastAsia="黑体"/>
      <w:b w:val="0"/>
    </w:rPr>
  </w:style>
  <w:style w:type="paragraph" w:customStyle="1" w:styleId="23">
    <w:name w:val="发布部门"/>
    <w:next w:val="24"/>
    <w:autoRedefine/>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24">
    <w:name w:val="段"/>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5">
    <w:name w:val="发布"/>
    <w:autoRedefine/>
    <w:qFormat/>
    <w:uiPriority w:val="0"/>
    <w:rPr>
      <w:rFonts w:ascii="黑体" w:eastAsia="黑体"/>
      <w:spacing w:val="85"/>
      <w:w w:val="100"/>
      <w:position w:val="3"/>
      <w:sz w:val="28"/>
      <w:szCs w:val="28"/>
    </w:rPr>
  </w:style>
  <w:style w:type="paragraph" w:customStyle="1" w:styleId="26">
    <w:name w:val="目次、标准名称标题"/>
    <w:basedOn w:val="1"/>
    <w:next w:val="24"/>
    <w:autoRedefine/>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7">
    <w:name w:val="前言、引言标题"/>
    <w:next w:val="24"/>
    <w:autoRedefine/>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8">
    <w:name w:val="章标题"/>
    <w:next w:val="24"/>
    <w:autoRedefine/>
    <w:qFormat/>
    <w:uiPriority w:val="0"/>
    <w:pPr>
      <w:numPr>
        <w:ilvl w:val="0"/>
        <w:numId w:val="1"/>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9">
    <w:name w:val="一级条标题"/>
    <w:next w:val="24"/>
    <w:autoRedefine/>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30">
    <w:name w:val="二级无"/>
    <w:basedOn w:val="31"/>
    <w:autoRedefine/>
    <w:qFormat/>
    <w:uiPriority w:val="0"/>
    <w:pPr>
      <w:spacing w:before="0" w:beforeLines="0" w:after="0" w:afterLines="0"/>
    </w:pPr>
    <w:rPr>
      <w:rFonts w:ascii="Times New Roman" w:eastAsia="宋体"/>
    </w:rPr>
  </w:style>
  <w:style w:type="paragraph" w:customStyle="1" w:styleId="31">
    <w:name w:val="二级条标题"/>
    <w:basedOn w:val="29"/>
    <w:next w:val="24"/>
    <w:autoRedefine/>
    <w:qFormat/>
    <w:uiPriority w:val="0"/>
    <w:pPr>
      <w:numPr>
        <w:ilvl w:val="2"/>
      </w:numPr>
      <w:spacing w:before="50" w:after="50"/>
      <w:outlineLvl w:val="3"/>
    </w:pPr>
  </w:style>
  <w:style w:type="paragraph" w:customStyle="1" w:styleId="32">
    <w:name w:val="一级无"/>
    <w:basedOn w:val="29"/>
    <w:autoRedefine/>
    <w:qFormat/>
    <w:uiPriority w:val="0"/>
    <w:pPr>
      <w:spacing w:before="0" w:beforeLines="0" w:after="0" w:afterLines="0"/>
    </w:pPr>
    <w:rPr>
      <w:rFonts w:ascii="宋体" w:eastAsia="宋体"/>
    </w:rPr>
  </w:style>
  <w:style w:type="paragraph" w:customStyle="1" w:styleId="33">
    <w:name w:val="附录图标号"/>
    <w:basedOn w:val="1"/>
    <w:autoRedefine/>
    <w:qFormat/>
    <w:uiPriority w:val="0"/>
    <w:pPr>
      <w:keepNext/>
      <w:pageBreakBefore/>
      <w:widowControl/>
      <w:numPr>
        <w:ilvl w:val="0"/>
        <w:numId w:val="2"/>
      </w:numPr>
      <w:spacing w:line="14" w:lineRule="exact"/>
      <w:ind w:left="0" w:firstLine="363"/>
      <w:jc w:val="center"/>
      <w:outlineLvl w:val="0"/>
    </w:pPr>
    <w:rPr>
      <w:color w:val="FFFFFF"/>
    </w:rPr>
  </w:style>
  <w:style w:type="paragraph" w:customStyle="1" w:styleId="34">
    <w:name w:val="附录表标号"/>
    <w:basedOn w:val="1"/>
    <w:next w:val="24"/>
    <w:autoRedefine/>
    <w:qFormat/>
    <w:uiPriority w:val="0"/>
    <w:pPr>
      <w:numPr>
        <w:ilvl w:val="0"/>
        <w:numId w:val="3"/>
      </w:numPr>
      <w:tabs>
        <w:tab w:val="clear" w:pos="0"/>
      </w:tabs>
      <w:spacing w:line="14" w:lineRule="exact"/>
      <w:ind w:left="811" w:hanging="448"/>
      <w:jc w:val="center"/>
      <w:outlineLvl w:val="0"/>
    </w:pPr>
    <w:rPr>
      <w:color w:val="FFFFFF"/>
    </w:rPr>
  </w:style>
  <w:style w:type="paragraph" w:customStyle="1" w:styleId="35">
    <w:name w:val="附录标识"/>
    <w:basedOn w:val="1"/>
    <w:next w:val="24"/>
    <w:autoRedefine/>
    <w:qFormat/>
    <w:uiPriority w:val="0"/>
    <w:pPr>
      <w:keepNext/>
      <w:widowControl/>
      <w:shd w:val="clear" w:color="FFFFFF" w:fill="FFFFFF"/>
      <w:tabs>
        <w:tab w:val="left" w:pos="360"/>
        <w:tab w:val="left" w:pos="6405"/>
      </w:tabs>
      <w:spacing w:after="312" w:afterLines="100"/>
      <w:jc w:val="center"/>
      <w:outlineLvl w:val="0"/>
    </w:pPr>
    <w:rPr>
      <w:rFonts w:ascii="黑体" w:eastAsia="黑体"/>
      <w:kern w:val="0"/>
      <w:szCs w:val="20"/>
    </w:rPr>
  </w:style>
  <w:style w:type="paragraph" w:customStyle="1" w:styleId="36">
    <w:name w:val="附录章标题"/>
    <w:next w:val="24"/>
    <w:autoRedefine/>
    <w:qFormat/>
    <w:uiPriority w:val="0"/>
    <w:pPr>
      <w:numPr>
        <w:ilvl w:val="1"/>
        <w:numId w:val="4"/>
      </w:numPr>
      <w:tabs>
        <w:tab w:val="left" w:pos="360"/>
      </w:tabs>
      <w:wordWrap w:val="0"/>
      <w:overflowPunct w:val="0"/>
      <w:autoSpaceDE w:val="0"/>
      <w:spacing w:before="312" w:beforeLines="100" w:after="156" w:afterLines="50"/>
      <w:ind w:left="0"/>
      <w:jc w:val="both"/>
      <w:textAlignment w:val="baseline"/>
      <w:outlineLvl w:val="1"/>
    </w:pPr>
    <w:rPr>
      <w:rFonts w:ascii="黑体" w:hAnsi="Times New Roman" w:eastAsia="黑体" w:cs="Times New Roman"/>
      <w:kern w:val="21"/>
      <w:sz w:val="21"/>
      <w:lang w:val="en-US" w:eastAsia="zh-CN" w:bidi="ar-SA"/>
    </w:rPr>
  </w:style>
  <w:style w:type="paragraph" w:customStyle="1" w:styleId="37">
    <w:name w:val="附录一级条标题"/>
    <w:basedOn w:val="36"/>
    <w:next w:val="24"/>
    <w:autoRedefine/>
    <w:qFormat/>
    <w:uiPriority w:val="0"/>
    <w:pPr>
      <w:numPr>
        <w:ilvl w:val="2"/>
      </w:numPr>
      <w:autoSpaceDN w:val="0"/>
      <w:spacing w:before="50" w:beforeLines="50" w:after="50"/>
      <w:outlineLvl w:val="2"/>
    </w:pPr>
  </w:style>
  <w:style w:type="paragraph" w:customStyle="1" w:styleId="38">
    <w:name w:val="Table Paragraph"/>
    <w:basedOn w:val="1"/>
    <w:autoRedefine/>
    <w:qFormat/>
    <w:uiPriority w:val="1"/>
    <w:pPr>
      <w:autoSpaceDE w:val="0"/>
      <w:autoSpaceDN w:val="0"/>
      <w:adjustRightInd w:val="0"/>
      <w:spacing w:before="119"/>
      <w:ind w:left="193"/>
      <w:jc w:val="center"/>
    </w:pPr>
    <w:rPr>
      <w:kern w:val="0"/>
      <w:sz w:val="24"/>
    </w:rPr>
  </w:style>
  <w:style w:type="paragraph" w:customStyle="1" w:styleId="39">
    <w:name w:val="终结线"/>
    <w:basedOn w:val="1"/>
    <w:autoRedefine/>
    <w:qFormat/>
    <w:uiPriority w:val="0"/>
    <w:pPr>
      <w:framePr w:hSpace="181" w:vSpace="181" w:wrap="around" w:vAnchor="text" w:hAnchor="margin" w:xAlign="center" w:y="285"/>
    </w:pPr>
  </w:style>
  <w:style w:type="paragraph" w:customStyle="1" w:styleId="40">
    <w:name w:val="标准书眉_偶数页"/>
    <w:basedOn w:val="41"/>
    <w:next w:val="1"/>
    <w:autoRedefine/>
    <w:qFormat/>
    <w:uiPriority w:val="0"/>
    <w:pPr>
      <w:tabs>
        <w:tab w:val="center" w:pos="4154"/>
        <w:tab w:val="right" w:pos="8306"/>
      </w:tabs>
      <w:jc w:val="left"/>
    </w:pPr>
  </w:style>
  <w:style w:type="paragraph" w:customStyle="1" w:styleId="41">
    <w:name w:val="标准书眉_奇数页"/>
    <w:next w:val="1"/>
    <w:autoRedefine/>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2">
    <w:name w:val="标准书脚_偶数页"/>
    <w:autoRedefine/>
    <w:qFormat/>
    <w:uiPriority w:val="0"/>
    <w:pPr>
      <w:spacing w:before="120"/>
      <w:ind w:left="221"/>
    </w:pPr>
    <w:rPr>
      <w:rFonts w:ascii="宋体" w:hAnsi="Times New Roman" w:eastAsia="宋体" w:cs="Times New Roman"/>
      <w:sz w:val="18"/>
      <w:szCs w:val="18"/>
      <w:lang w:val="en-US" w:eastAsia="zh-CN" w:bidi="ar-SA"/>
    </w:rPr>
  </w:style>
  <w:style w:type="paragraph" w:customStyle="1" w:styleId="43">
    <w:name w:val="标准书脚_奇数页"/>
    <w:autoRedefine/>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4">
    <w:name w:val="Default"/>
    <w:autoRedefine/>
    <w:unhideWhenUsed/>
    <w:qFormat/>
    <w:uiPriority w:val="0"/>
    <w:pPr>
      <w:widowControl w:val="0"/>
      <w:autoSpaceDE w:val="0"/>
      <w:autoSpaceDN w:val="0"/>
      <w:adjustRightInd w:val="0"/>
    </w:pPr>
    <w:rPr>
      <w:rFonts w:ascii="Times New Roman" w:hAnsi="Times New Roman" w:eastAsia="Times New Roman" w:cstheme="minorBidi"/>
      <w:color w:val="000000"/>
      <w:sz w:val="24"/>
      <w:szCs w:val="24"/>
      <w:lang w:val="en-US" w:eastAsia="zh-CN" w:bidi="ar-SA"/>
    </w:rPr>
  </w:style>
  <w:style w:type="character" w:customStyle="1" w:styleId="45">
    <w:name w:val="页眉 字符"/>
    <w:basedOn w:val="8"/>
    <w:link w:val="4"/>
    <w:qFormat/>
    <w:uiPriority w:val="0"/>
    <w:rPr>
      <w:kern w:val="2"/>
      <w:sz w:val="18"/>
      <w:szCs w:val="18"/>
    </w:rPr>
  </w:style>
  <w:style w:type="character" w:customStyle="1" w:styleId="46">
    <w:name w:val="页脚 字符"/>
    <w:basedOn w:val="8"/>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9638</Words>
  <Characters>10262</Characters>
  <Lines>100</Lines>
  <Paragraphs>28</Paragraphs>
  <TotalTime>2</TotalTime>
  <ScaleCrop>false</ScaleCrop>
  <LinksUpToDate>false</LinksUpToDate>
  <CharactersWithSpaces>10381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2024-11-03T08:56:00Z</dcterms:created>
  <dc:creator>吕</dc:creator>
  <cp:lastModifiedBy>小辫子多多</cp:lastModifiedBy>
  <dcterms:modified xsi:type="dcterms:W3CDTF">2024-11-14T07:05:49Z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147A44A8B7DE4BEABDF2002C9F26ABF2_13</vt:lpwstr>
  </property>
</Properties>
</file>