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23BB792">
      <w:pPr>
        <w:ind w:firstLine="880"/>
        <w:jc w:val="center"/>
        <w:rPr>
          <w:rFonts w:ascii="Times New Roman" w:hAnsi="Times New Roman" w:eastAsia="黑体" w:cs="Times New Roman"/>
          <w:sz w:val="44"/>
          <w:szCs w:val="44"/>
          <w:highlight w:val="none"/>
        </w:rPr>
      </w:pPr>
    </w:p>
    <w:p w14:paraId="27FE362E">
      <w:pPr>
        <w:ind w:firstLine="880"/>
        <w:jc w:val="center"/>
        <w:rPr>
          <w:rFonts w:ascii="Times New Roman" w:hAnsi="Times New Roman" w:eastAsia="黑体" w:cs="Times New Roman"/>
          <w:sz w:val="44"/>
          <w:szCs w:val="44"/>
          <w:highlight w:val="none"/>
        </w:rPr>
      </w:pPr>
    </w:p>
    <w:p w14:paraId="5E7149E4">
      <w:pPr>
        <w:ind w:firstLine="880"/>
        <w:jc w:val="center"/>
        <w:rPr>
          <w:rFonts w:ascii="Times New Roman" w:hAnsi="Times New Roman" w:eastAsia="黑体" w:cs="Times New Roman"/>
          <w:sz w:val="44"/>
          <w:szCs w:val="44"/>
          <w:highlight w:val="none"/>
        </w:rPr>
      </w:pPr>
    </w:p>
    <w:p w14:paraId="3B2C9F19">
      <w:pPr>
        <w:ind w:firstLine="880"/>
        <w:jc w:val="center"/>
        <w:rPr>
          <w:rFonts w:ascii="Times New Roman" w:hAnsi="Times New Roman" w:eastAsia="黑体" w:cs="Times New Roman"/>
          <w:sz w:val="44"/>
          <w:szCs w:val="44"/>
          <w:highlight w:val="none"/>
        </w:rPr>
      </w:pPr>
    </w:p>
    <w:p w14:paraId="39E051CE">
      <w:pPr>
        <w:ind w:firstLine="640"/>
        <w:jc w:val="center"/>
        <w:rPr>
          <w:rFonts w:ascii="Times New Roman" w:hAnsi="Times New Roman" w:eastAsia="黑体" w:cs="Times New Roman"/>
          <w:sz w:val="32"/>
          <w:szCs w:val="32"/>
          <w:highlight w:val="none"/>
        </w:rPr>
      </w:pPr>
      <w:r>
        <w:rPr>
          <w:rFonts w:ascii="Times New Roman" w:hAnsi="Times New Roman" w:eastAsia="黑体" w:cs="Times New Roman"/>
          <w:sz w:val="32"/>
          <w:szCs w:val="32"/>
          <w:highlight w:val="none"/>
        </w:rPr>
        <w:t>《</w:t>
      </w:r>
      <w:r>
        <w:rPr>
          <w:rFonts w:hint="eastAsia" w:ascii="Times New Roman" w:hAnsi="Times New Roman" w:eastAsia="黑体" w:cs="Times New Roman"/>
          <w:sz w:val="32"/>
          <w:szCs w:val="32"/>
          <w:highlight w:val="none"/>
          <w:lang w:eastAsia="zh-CN"/>
        </w:rPr>
        <w:t>温室气体</w:t>
      </w:r>
      <w:r>
        <w:rPr>
          <w:rFonts w:ascii="Times New Roman" w:hAnsi="Times New Roman" w:eastAsia="黑体" w:cs="Times New Roman"/>
          <w:sz w:val="32"/>
          <w:szCs w:val="32"/>
          <w:highlight w:val="none"/>
        </w:rPr>
        <w:t>高精度自动监测技术规范》</w:t>
      </w:r>
    </w:p>
    <w:p w14:paraId="6DAF2FDD">
      <w:pPr>
        <w:ind w:firstLine="880"/>
        <w:jc w:val="center"/>
        <w:rPr>
          <w:rFonts w:ascii="Times New Roman" w:hAnsi="Times New Roman" w:eastAsia="黑体" w:cs="Times New Roman"/>
          <w:sz w:val="44"/>
          <w:szCs w:val="44"/>
          <w:highlight w:val="none"/>
        </w:rPr>
      </w:pPr>
      <w:r>
        <w:rPr>
          <w:rFonts w:ascii="Times New Roman" w:hAnsi="Times New Roman" w:eastAsia="黑体" w:cs="Times New Roman"/>
          <w:sz w:val="44"/>
          <w:szCs w:val="44"/>
          <w:highlight w:val="none"/>
        </w:rPr>
        <w:t>编制说明</w:t>
      </w:r>
    </w:p>
    <w:p w14:paraId="74CC1DEE">
      <w:pPr>
        <w:ind w:firstLine="560"/>
        <w:jc w:val="center"/>
        <w:rPr>
          <w:rFonts w:ascii="Times New Roman" w:hAnsi="Times New Roman" w:eastAsia="楷体" w:cs="Times New Roman"/>
          <w:sz w:val="28"/>
          <w:szCs w:val="28"/>
          <w:highlight w:val="none"/>
        </w:rPr>
      </w:pPr>
      <w:r>
        <w:rPr>
          <w:rFonts w:ascii="Times New Roman" w:hAnsi="Times New Roman" w:eastAsia="楷体" w:cs="Times New Roman"/>
          <w:sz w:val="28"/>
          <w:szCs w:val="28"/>
          <w:highlight w:val="none"/>
        </w:rPr>
        <w:t>（征求意见稿）</w:t>
      </w:r>
    </w:p>
    <w:p w14:paraId="55A51BFC">
      <w:pPr>
        <w:ind w:firstLine="880"/>
        <w:jc w:val="center"/>
        <w:rPr>
          <w:rFonts w:ascii="Times New Roman" w:hAnsi="Times New Roman" w:eastAsia="黑体" w:cs="Times New Roman"/>
          <w:sz w:val="44"/>
          <w:szCs w:val="44"/>
          <w:highlight w:val="none"/>
        </w:rPr>
      </w:pPr>
    </w:p>
    <w:p w14:paraId="3A2F7B5F">
      <w:pPr>
        <w:ind w:firstLine="880"/>
        <w:jc w:val="center"/>
        <w:rPr>
          <w:rFonts w:ascii="Times New Roman" w:hAnsi="Times New Roman" w:eastAsia="黑体" w:cs="Times New Roman"/>
          <w:sz w:val="44"/>
          <w:szCs w:val="44"/>
          <w:highlight w:val="none"/>
        </w:rPr>
      </w:pPr>
    </w:p>
    <w:p w14:paraId="4A9CC9C5">
      <w:pPr>
        <w:ind w:firstLine="880"/>
        <w:jc w:val="center"/>
        <w:rPr>
          <w:rFonts w:ascii="Times New Roman" w:hAnsi="Times New Roman" w:eastAsia="黑体" w:cs="Times New Roman"/>
          <w:sz w:val="44"/>
          <w:szCs w:val="44"/>
          <w:highlight w:val="none"/>
        </w:rPr>
      </w:pPr>
    </w:p>
    <w:p w14:paraId="7BF577BC">
      <w:pPr>
        <w:ind w:firstLine="880"/>
        <w:jc w:val="center"/>
        <w:rPr>
          <w:rFonts w:ascii="Times New Roman" w:hAnsi="Times New Roman" w:eastAsia="黑体" w:cs="Times New Roman"/>
          <w:sz w:val="44"/>
          <w:szCs w:val="44"/>
          <w:highlight w:val="none"/>
        </w:rPr>
      </w:pPr>
    </w:p>
    <w:p w14:paraId="12FF5A17">
      <w:pPr>
        <w:ind w:firstLine="880"/>
        <w:jc w:val="center"/>
        <w:rPr>
          <w:rFonts w:ascii="Times New Roman" w:hAnsi="Times New Roman" w:eastAsia="黑体" w:cs="Times New Roman"/>
          <w:sz w:val="44"/>
          <w:szCs w:val="44"/>
          <w:highlight w:val="none"/>
        </w:rPr>
      </w:pPr>
    </w:p>
    <w:p w14:paraId="692FE252">
      <w:pPr>
        <w:ind w:firstLine="880"/>
        <w:jc w:val="center"/>
        <w:rPr>
          <w:rFonts w:ascii="Times New Roman" w:hAnsi="Times New Roman" w:eastAsia="黑体" w:cs="Times New Roman"/>
          <w:sz w:val="44"/>
          <w:szCs w:val="44"/>
          <w:highlight w:val="none"/>
        </w:rPr>
      </w:pPr>
    </w:p>
    <w:p w14:paraId="6D0A45F1">
      <w:pPr>
        <w:ind w:firstLine="880"/>
        <w:jc w:val="center"/>
        <w:rPr>
          <w:rFonts w:ascii="Times New Roman" w:hAnsi="Times New Roman" w:eastAsia="黑体" w:cs="Times New Roman"/>
          <w:sz w:val="44"/>
          <w:szCs w:val="44"/>
          <w:highlight w:val="none"/>
        </w:rPr>
      </w:pPr>
    </w:p>
    <w:p w14:paraId="3E2A2CCE">
      <w:pPr>
        <w:ind w:firstLine="880"/>
        <w:jc w:val="center"/>
        <w:rPr>
          <w:rFonts w:ascii="Times New Roman" w:hAnsi="Times New Roman" w:eastAsia="黑体" w:cs="Times New Roman"/>
          <w:sz w:val="44"/>
          <w:szCs w:val="44"/>
          <w:highlight w:val="none"/>
        </w:rPr>
      </w:pPr>
    </w:p>
    <w:p w14:paraId="7305B738">
      <w:pPr>
        <w:ind w:firstLine="880"/>
        <w:jc w:val="center"/>
        <w:rPr>
          <w:rFonts w:ascii="Times New Roman" w:hAnsi="Times New Roman" w:eastAsia="黑体" w:cs="Times New Roman"/>
          <w:sz w:val="44"/>
          <w:szCs w:val="44"/>
          <w:highlight w:val="none"/>
        </w:rPr>
      </w:pPr>
    </w:p>
    <w:p w14:paraId="3D52DE1F">
      <w:pPr>
        <w:ind w:firstLine="640"/>
        <w:jc w:val="center"/>
        <w:rPr>
          <w:rFonts w:ascii="Times New Roman" w:hAnsi="Times New Roman" w:eastAsia="黑体" w:cs="Times New Roman"/>
          <w:sz w:val="32"/>
          <w:szCs w:val="32"/>
          <w:highlight w:val="none"/>
        </w:rPr>
      </w:pPr>
      <w:r>
        <w:rPr>
          <w:rFonts w:ascii="Times New Roman" w:hAnsi="Times New Roman" w:eastAsia="黑体" w:cs="Times New Roman"/>
          <w:sz w:val="32"/>
          <w:szCs w:val="32"/>
          <w:highlight w:val="none"/>
        </w:rPr>
        <w:t>陕西省环境监测中心站</w:t>
      </w:r>
    </w:p>
    <w:p w14:paraId="2F2031FD">
      <w:pPr>
        <w:ind w:firstLine="640"/>
        <w:jc w:val="center"/>
        <w:rPr>
          <w:rFonts w:ascii="Times New Roman" w:hAnsi="Times New Roman" w:eastAsia="黑体" w:cs="Times New Roman"/>
          <w:sz w:val="32"/>
          <w:szCs w:val="32"/>
          <w:highlight w:val="none"/>
        </w:rPr>
      </w:pPr>
      <w:r>
        <w:rPr>
          <w:rFonts w:ascii="Times New Roman" w:hAnsi="Times New Roman" w:eastAsia="黑体" w:cs="Times New Roman"/>
          <w:sz w:val="32"/>
          <w:szCs w:val="32"/>
          <w:highlight w:val="none"/>
        </w:rPr>
        <w:t>二〇二</w:t>
      </w:r>
      <w:r>
        <w:rPr>
          <w:rFonts w:hint="eastAsia" w:ascii="Times New Roman" w:hAnsi="Times New Roman" w:eastAsia="黑体" w:cs="Times New Roman"/>
          <w:sz w:val="32"/>
          <w:szCs w:val="32"/>
          <w:highlight w:val="none"/>
          <w:lang w:val="en-US" w:eastAsia="zh-CN"/>
        </w:rPr>
        <w:t>四</w:t>
      </w:r>
      <w:r>
        <w:rPr>
          <w:rFonts w:ascii="Times New Roman" w:hAnsi="Times New Roman" w:eastAsia="黑体" w:cs="Times New Roman"/>
          <w:sz w:val="32"/>
          <w:szCs w:val="32"/>
          <w:highlight w:val="none"/>
        </w:rPr>
        <w:t>年十</w:t>
      </w:r>
      <w:r>
        <w:rPr>
          <w:rFonts w:hint="eastAsia" w:ascii="Times New Roman" w:hAnsi="Times New Roman" w:eastAsia="黑体" w:cs="Times New Roman"/>
          <w:sz w:val="32"/>
          <w:szCs w:val="32"/>
          <w:highlight w:val="none"/>
          <w:lang w:val="en-US" w:eastAsia="zh-CN"/>
        </w:rPr>
        <w:t>一</w:t>
      </w:r>
      <w:r>
        <w:rPr>
          <w:rFonts w:ascii="Times New Roman" w:hAnsi="Times New Roman" w:eastAsia="黑体" w:cs="Times New Roman"/>
          <w:sz w:val="32"/>
          <w:szCs w:val="32"/>
          <w:highlight w:val="none"/>
        </w:rPr>
        <w:t>月</w:t>
      </w:r>
    </w:p>
    <w:p w14:paraId="012A91E1">
      <w:pPr>
        <w:ind w:firstLine="640"/>
        <w:jc w:val="center"/>
        <w:rPr>
          <w:rFonts w:ascii="Times New Roman" w:hAnsi="Times New Roman" w:eastAsia="黑体" w:cs="Times New Roman"/>
          <w:sz w:val="32"/>
          <w:szCs w:val="32"/>
          <w:highlight w:val="none"/>
        </w:rPr>
      </w:pPr>
    </w:p>
    <w:p w14:paraId="592B057B">
      <w:pPr>
        <w:ind w:firstLine="640"/>
        <w:jc w:val="center"/>
        <w:rPr>
          <w:rFonts w:ascii="Times New Roman" w:hAnsi="Times New Roman" w:eastAsia="黑体" w:cs="Times New Roman"/>
          <w:sz w:val="32"/>
          <w:szCs w:val="32"/>
          <w:highlight w:val="none"/>
        </w:rPr>
      </w:pPr>
    </w:p>
    <w:p w14:paraId="627E27FC">
      <w:pPr>
        <w:ind w:firstLine="640"/>
        <w:jc w:val="center"/>
        <w:rPr>
          <w:rFonts w:ascii="Times New Roman" w:hAnsi="Times New Roman" w:eastAsia="黑体" w:cs="Times New Roman"/>
          <w:sz w:val="32"/>
          <w:szCs w:val="32"/>
          <w:highlight w:val="none"/>
        </w:rPr>
      </w:pPr>
    </w:p>
    <w:p w14:paraId="1CD0CDDC">
      <w:pPr>
        <w:ind w:firstLine="640"/>
        <w:jc w:val="center"/>
        <w:rPr>
          <w:rFonts w:ascii="Times New Roman" w:hAnsi="Times New Roman" w:eastAsia="黑体" w:cs="Times New Roman"/>
          <w:sz w:val="32"/>
          <w:szCs w:val="32"/>
          <w:highlight w:val="none"/>
        </w:rPr>
      </w:pPr>
    </w:p>
    <w:p w14:paraId="11762633">
      <w:pPr>
        <w:keepNext w:val="0"/>
        <w:keepLines w:val="0"/>
        <w:pageBreakBefore w:val="0"/>
        <w:widowControl w:val="0"/>
        <w:kinsoku/>
        <w:wordWrap/>
        <w:overflowPunct/>
        <w:topLinePunct w:val="0"/>
        <w:autoSpaceDE/>
        <w:autoSpaceDN/>
        <w:bidi w:val="0"/>
        <w:adjustRightInd/>
        <w:snapToGrid/>
        <w:ind w:left="0" w:firstLine="0" w:firstLineChars="0"/>
        <w:jc w:val="center"/>
        <w:textAlignment w:val="auto"/>
        <w:rPr>
          <w:rFonts w:ascii="Times New Roman" w:hAnsi="Times New Roman" w:eastAsia="黑体" w:cs="Times New Roman"/>
          <w:sz w:val="32"/>
          <w:szCs w:val="32"/>
          <w:highlight w:val="none"/>
        </w:rPr>
      </w:pPr>
    </w:p>
    <w:p w14:paraId="7CA42B9F">
      <w:pPr>
        <w:keepNext w:val="0"/>
        <w:keepLines w:val="0"/>
        <w:pageBreakBefore w:val="0"/>
        <w:widowControl w:val="0"/>
        <w:kinsoku/>
        <w:wordWrap/>
        <w:overflowPunct/>
        <w:topLinePunct w:val="0"/>
        <w:autoSpaceDE/>
        <w:autoSpaceDN/>
        <w:bidi w:val="0"/>
        <w:adjustRightInd/>
        <w:snapToGrid/>
        <w:ind w:left="0" w:firstLine="0" w:firstLineChars="0"/>
        <w:jc w:val="left"/>
        <w:textAlignment w:val="auto"/>
        <w:rPr>
          <w:rFonts w:ascii="Times New Roman" w:hAnsi="Times New Roman" w:eastAsia="黑体" w:cs="Times New Roman"/>
          <w:sz w:val="32"/>
          <w:szCs w:val="32"/>
          <w:highlight w:val="none"/>
        </w:rPr>
      </w:pPr>
      <w:r>
        <w:rPr>
          <w:rFonts w:ascii="Times New Roman" w:hAnsi="Times New Roman" w:eastAsia="黑体" w:cs="Times New Roman"/>
          <w:sz w:val="32"/>
          <w:szCs w:val="32"/>
          <w:highlight w:val="none"/>
        </w:rPr>
        <w:t>项目名称：</w:t>
      </w:r>
      <w:r>
        <w:rPr>
          <w:rFonts w:hint="eastAsia" w:ascii="Times New Roman" w:hAnsi="Times New Roman" w:eastAsia="黑体" w:cs="Times New Roman"/>
          <w:sz w:val="32"/>
          <w:szCs w:val="32"/>
          <w:highlight w:val="none"/>
          <w:lang w:eastAsia="zh-CN"/>
        </w:rPr>
        <w:t>温室气体</w:t>
      </w:r>
      <w:r>
        <w:rPr>
          <w:rFonts w:ascii="Times New Roman" w:hAnsi="Times New Roman" w:eastAsia="黑体" w:cs="Times New Roman"/>
          <w:sz w:val="32"/>
          <w:szCs w:val="32"/>
          <w:highlight w:val="none"/>
        </w:rPr>
        <w:t>高精度自动监测技术规范</w:t>
      </w:r>
    </w:p>
    <w:p w14:paraId="412A5C56">
      <w:pPr>
        <w:keepNext w:val="0"/>
        <w:keepLines w:val="0"/>
        <w:pageBreakBefore w:val="0"/>
        <w:widowControl w:val="0"/>
        <w:kinsoku/>
        <w:wordWrap/>
        <w:overflowPunct/>
        <w:topLinePunct w:val="0"/>
        <w:autoSpaceDE/>
        <w:autoSpaceDN/>
        <w:bidi w:val="0"/>
        <w:adjustRightInd/>
        <w:snapToGrid/>
        <w:ind w:left="0" w:firstLine="0" w:firstLineChars="0"/>
        <w:jc w:val="left"/>
        <w:textAlignment w:val="auto"/>
        <w:rPr>
          <w:rFonts w:ascii="Times New Roman" w:hAnsi="Times New Roman" w:eastAsia="黑体" w:cs="Times New Roman"/>
          <w:sz w:val="32"/>
          <w:szCs w:val="32"/>
          <w:highlight w:val="none"/>
        </w:rPr>
      </w:pPr>
      <w:r>
        <w:rPr>
          <w:rFonts w:ascii="Times New Roman" w:hAnsi="Times New Roman" w:eastAsia="黑体" w:cs="Times New Roman"/>
          <w:sz w:val="32"/>
          <w:szCs w:val="32"/>
          <w:highlight w:val="none"/>
        </w:rPr>
        <w:t>（征求意见稿）</w:t>
      </w:r>
    </w:p>
    <w:p w14:paraId="11252689">
      <w:pPr>
        <w:keepNext w:val="0"/>
        <w:keepLines w:val="0"/>
        <w:pageBreakBefore w:val="0"/>
        <w:widowControl w:val="0"/>
        <w:kinsoku/>
        <w:wordWrap/>
        <w:overflowPunct/>
        <w:topLinePunct w:val="0"/>
        <w:autoSpaceDE/>
        <w:autoSpaceDN/>
        <w:bidi w:val="0"/>
        <w:adjustRightInd/>
        <w:snapToGrid/>
        <w:ind w:left="0" w:firstLine="0" w:firstLineChars="0"/>
        <w:jc w:val="left"/>
        <w:textAlignment w:val="auto"/>
        <w:rPr>
          <w:rFonts w:ascii="Times New Roman" w:hAnsi="Times New Roman" w:eastAsia="黑体" w:cs="Times New Roman"/>
          <w:sz w:val="32"/>
          <w:szCs w:val="32"/>
          <w:highlight w:val="none"/>
        </w:rPr>
      </w:pPr>
    </w:p>
    <w:p w14:paraId="594420B2">
      <w:pPr>
        <w:keepNext w:val="0"/>
        <w:keepLines w:val="0"/>
        <w:pageBreakBefore w:val="0"/>
        <w:widowControl w:val="0"/>
        <w:kinsoku/>
        <w:wordWrap/>
        <w:overflowPunct/>
        <w:topLinePunct w:val="0"/>
        <w:autoSpaceDE/>
        <w:autoSpaceDN/>
        <w:bidi w:val="0"/>
        <w:adjustRightInd/>
        <w:snapToGrid/>
        <w:ind w:left="0" w:firstLine="0" w:firstLineChars="0"/>
        <w:jc w:val="left"/>
        <w:textAlignment w:val="auto"/>
        <w:rPr>
          <w:rFonts w:ascii="Times New Roman" w:hAnsi="Times New Roman" w:eastAsia="黑体" w:cs="Times New Roman"/>
          <w:sz w:val="32"/>
          <w:szCs w:val="32"/>
          <w:highlight w:val="none"/>
        </w:rPr>
      </w:pPr>
      <w:r>
        <w:rPr>
          <w:rFonts w:ascii="Times New Roman" w:hAnsi="Times New Roman" w:eastAsia="黑体" w:cs="Times New Roman"/>
          <w:sz w:val="32"/>
          <w:szCs w:val="32"/>
          <w:highlight w:val="none"/>
        </w:rPr>
        <w:t>项目统一编号：</w:t>
      </w:r>
      <w:bookmarkStart w:id="0" w:name="_Hlk144890902"/>
      <w:r>
        <w:rPr>
          <w:rFonts w:ascii="Times New Roman" w:hAnsi="Times New Roman" w:eastAsia="黑体" w:cs="Times New Roman"/>
          <w:sz w:val="32"/>
          <w:szCs w:val="32"/>
          <w:highlight w:val="none"/>
        </w:rPr>
        <w:t>SDBXM045-2023</w:t>
      </w:r>
      <w:bookmarkEnd w:id="0"/>
    </w:p>
    <w:p w14:paraId="25A73F15">
      <w:pPr>
        <w:keepNext w:val="0"/>
        <w:keepLines w:val="0"/>
        <w:pageBreakBefore w:val="0"/>
        <w:widowControl w:val="0"/>
        <w:kinsoku/>
        <w:wordWrap/>
        <w:overflowPunct/>
        <w:topLinePunct w:val="0"/>
        <w:autoSpaceDE/>
        <w:autoSpaceDN/>
        <w:bidi w:val="0"/>
        <w:adjustRightInd/>
        <w:snapToGrid/>
        <w:ind w:left="0" w:firstLine="0" w:firstLineChars="0"/>
        <w:jc w:val="left"/>
        <w:textAlignment w:val="auto"/>
        <w:rPr>
          <w:rFonts w:ascii="Times New Roman" w:hAnsi="Times New Roman" w:eastAsia="黑体" w:cs="Times New Roman"/>
          <w:sz w:val="32"/>
          <w:szCs w:val="32"/>
          <w:highlight w:val="none"/>
        </w:rPr>
      </w:pPr>
    </w:p>
    <w:p w14:paraId="1C2BCA1E">
      <w:pPr>
        <w:keepNext w:val="0"/>
        <w:keepLines w:val="0"/>
        <w:pageBreakBefore w:val="0"/>
        <w:widowControl w:val="0"/>
        <w:kinsoku/>
        <w:wordWrap/>
        <w:overflowPunct/>
        <w:topLinePunct w:val="0"/>
        <w:autoSpaceDE/>
        <w:autoSpaceDN/>
        <w:bidi w:val="0"/>
        <w:adjustRightInd/>
        <w:snapToGrid/>
        <w:ind w:left="0" w:firstLine="0" w:firstLineChars="0"/>
        <w:jc w:val="left"/>
        <w:textAlignment w:val="auto"/>
        <w:rPr>
          <w:rFonts w:ascii="Times New Roman" w:hAnsi="Times New Roman" w:eastAsia="黑体" w:cs="Times New Roman"/>
          <w:sz w:val="32"/>
          <w:szCs w:val="32"/>
          <w:highlight w:val="none"/>
        </w:rPr>
      </w:pPr>
      <w:r>
        <w:rPr>
          <w:rFonts w:ascii="Times New Roman" w:hAnsi="Times New Roman" w:eastAsia="黑体" w:cs="Times New Roman"/>
          <w:sz w:val="32"/>
          <w:szCs w:val="32"/>
          <w:highlight w:val="none"/>
        </w:rPr>
        <w:t>承担单位：陕西省环境监测中心站中</w:t>
      </w:r>
      <w:bookmarkStart w:id="1" w:name="_Hlk145083219"/>
      <w:r>
        <w:rPr>
          <w:rFonts w:ascii="Times New Roman" w:hAnsi="Times New Roman" w:eastAsia="黑体" w:cs="Times New Roman"/>
          <w:sz w:val="32"/>
          <w:szCs w:val="32"/>
          <w:highlight w:val="none"/>
        </w:rPr>
        <w:t>国科学院西安光学精密机械研究所 西安邮电大学</w:t>
      </w:r>
      <w:r>
        <w:rPr>
          <w:rFonts w:hint="eastAsia" w:ascii="Times New Roman" w:hAnsi="Times New Roman" w:eastAsia="黑体" w:cs="Times New Roman"/>
          <w:sz w:val="32"/>
          <w:szCs w:val="32"/>
          <w:highlight w:val="none"/>
        </w:rPr>
        <w:t xml:space="preserve"> 、铜川市环境监测站</w:t>
      </w:r>
    </w:p>
    <w:bookmarkEnd w:id="1"/>
    <w:p w14:paraId="56F5B14C">
      <w:pPr>
        <w:keepNext w:val="0"/>
        <w:keepLines w:val="0"/>
        <w:pageBreakBefore w:val="0"/>
        <w:widowControl w:val="0"/>
        <w:kinsoku/>
        <w:wordWrap/>
        <w:overflowPunct/>
        <w:topLinePunct w:val="0"/>
        <w:autoSpaceDE/>
        <w:autoSpaceDN/>
        <w:bidi w:val="0"/>
        <w:adjustRightInd/>
        <w:snapToGrid/>
        <w:ind w:left="0" w:firstLine="0" w:firstLineChars="0"/>
        <w:jc w:val="left"/>
        <w:textAlignment w:val="auto"/>
        <w:rPr>
          <w:rFonts w:ascii="Times New Roman" w:hAnsi="Times New Roman" w:eastAsia="黑体" w:cs="Times New Roman"/>
          <w:sz w:val="32"/>
          <w:szCs w:val="32"/>
          <w:highlight w:val="none"/>
        </w:rPr>
      </w:pPr>
    </w:p>
    <w:p w14:paraId="2A9F86A1">
      <w:pPr>
        <w:keepNext w:val="0"/>
        <w:keepLines w:val="0"/>
        <w:pageBreakBefore w:val="0"/>
        <w:widowControl w:val="0"/>
        <w:kinsoku/>
        <w:wordWrap/>
        <w:overflowPunct/>
        <w:topLinePunct w:val="0"/>
        <w:autoSpaceDE/>
        <w:autoSpaceDN/>
        <w:bidi w:val="0"/>
        <w:adjustRightInd/>
        <w:snapToGrid/>
        <w:ind w:left="0" w:firstLine="0" w:firstLineChars="0"/>
        <w:jc w:val="left"/>
        <w:textAlignment w:val="auto"/>
        <w:rPr>
          <w:rFonts w:ascii="Times New Roman" w:hAnsi="Times New Roman" w:eastAsia="黑体" w:cs="Times New Roman"/>
          <w:sz w:val="32"/>
          <w:szCs w:val="32"/>
          <w:highlight w:val="none"/>
        </w:rPr>
      </w:pPr>
      <w:r>
        <w:rPr>
          <w:rFonts w:ascii="Times New Roman" w:hAnsi="Times New Roman" w:eastAsia="黑体" w:cs="Times New Roman"/>
          <w:sz w:val="32"/>
          <w:szCs w:val="32"/>
          <w:highlight w:val="none"/>
        </w:rPr>
        <w:t>编制组主要成员：</w:t>
      </w:r>
      <w:r>
        <w:rPr>
          <w:rFonts w:hint="eastAsia" w:ascii="Times New Roman" w:hAnsi="Times New Roman" w:eastAsia="黑体" w:cs="Times New Roman"/>
          <w:sz w:val="32"/>
          <w:szCs w:val="32"/>
          <w:highlight w:val="none"/>
        </w:rPr>
        <w:t xml:space="preserve">张霖琳 杨震 吕婧 曹磊 </w:t>
      </w:r>
      <w:r>
        <w:rPr>
          <w:rFonts w:hint="eastAsia" w:ascii="Times New Roman" w:hAnsi="Times New Roman" w:eastAsia="黑体" w:cs="Times New Roman"/>
          <w:sz w:val="32"/>
          <w:szCs w:val="32"/>
          <w:highlight w:val="none"/>
          <w:lang w:val="en-US" w:eastAsia="zh-CN"/>
        </w:rPr>
        <w:t xml:space="preserve">杜伟 </w:t>
      </w:r>
      <w:r>
        <w:rPr>
          <w:rFonts w:hint="eastAsia" w:ascii="Times New Roman" w:hAnsi="Times New Roman" w:eastAsia="黑体" w:cs="Times New Roman"/>
          <w:sz w:val="32"/>
          <w:szCs w:val="32"/>
          <w:highlight w:val="none"/>
        </w:rPr>
        <w:t>徐崧博 梁磊 郑益朋 刘科</w:t>
      </w:r>
      <w:r>
        <w:rPr>
          <w:rFonts w:ascii="Times New Roman" w:hAnsi="Times New Roman" w:eastAsia="黑体" w:cs="Times New Roman"/>
          <w:sz w:val="32"/>
          <w:szCs w:val="32"/>
          <w:highlight w:val="none"/>
        </w:rPr>
        <w:br w:type="page"/>
      </w:r>
    </w:p>
    <w:sdt>
      <w:sdtPr>
        <w:rPr>
          <w:rFonts w:ascii="Times New Roman" w:hAnsi="Times New Roman" w:eastAsia="宋体" w:cs="Times New Roman"/>
          <w:highlight w:val="none"/>
          <w:lang w:val="zh-CN"/>
        </w:rPr>
        <w:id w:val="-1204931844"/>
        <w:docPartObj>
          <w:docPartGallery w:val="Table of Contents"/>
          <w:docPartUnique/>
        </w:docPartObj>
      </w:sdtPr>
      <w:sdtEndPr>
        <w:rPr>
          <w:rFonts w:ascii="Times New Roman" w:hAnsi="Times New Roman" w:eastAsia="宋体" w:cs="Times New Roman"/>
          <w:b/>
          <w:bCs/>
          <w:szCs w:val="21"/>
          <w:highlight w:val="none"/>
          <w:lang w:val="zh-CN"/>
        </w:rPr>
      </w:sdtEndPr>
      <w:sdtContent>
        <w:p w14:paraId="44FC960B">
          <w:pPr>
            <w:ind w:firstLine="400"/>
            <w:jc w:val="center"/>
            <w:rPr>
              <w:rFonts w:ascii="Times New Roman" w:hAnsi="Times New Roman" w:eastAsia="宋体" w:cs="Times New Roman"/>
              <w:sz w:val="30"/>
              <w:szCs w:val="30"/>
              <w:highlight w:val="none"/>
            </w:rPr>
          </w:pPr>
          <w:r>
            <w:rPr>
              <w:rFonts w:ascii="Times New Roman" w:hAnsi="Times New Roman" w:eastAsia="宋体" w:cs="Times New Roman"/>
              <w:sz w:val="30"/>
              <w:szCs w:val="30"/>
              <w:highlight w:val="none"/>
            </w:rPr>
            <w:t>目录</w:t>
          </w:r>
        </w:p>
        <w:p w14:paraId="29150FBF">
          <w:pPr>
            <w:pStyle w:val="5"/>
            <w:tabs>
              <w:tab w:val="right" w:leader="dot" w:pos="8306"/>
            </w:tabs>
            <w:ind w:firstLine="400"/>
            <w:rPr>
              <w:rFonts w:hint="eastAsia" w:ascii="黑体" w:hAnsi="黑体" w:eastAsia="黑体" w:cs="黑体"/>
              <w:highlight w:val="none"/>
            </w:rPr>
          </w:pPr>
          <w:r>
            <w:rPr>
              <w:rFonts w:ascii="Times New Roman" w:hAnsi="Times New Roman" w:cs="Times New Roman"/>
              <w:highlight w:val="none"/>
            </w:rPr>
            <w:fldChar w:fldCharType="begin"/>
          </w:r>
          <w:r>
            <w:rPr>
              <w:rFonts w:ascii="Times New Roman" w:hAnsi="Times New Roman" w:cs="Times New Roman"/>
              <w:highlight w:val="none"/>
            </w:rPr>
            <w:instrText xml:space="preserve">TOC \o "1-2" \h \u </w:instrText>
          </w:r>
          <w:r>
            <w:rPr>
              <w:rFonts w:ascii="Times New Roman" w:hAnsi="Times New Roman" w:cs="Times New Roman"/>
              <w:highlight w:val="none"/>
            </w:rPr>
            <w:fldChar w:fldCharType="separate"/>
          </w:r>
          <w:r>
            <w:rPr>
              <w:rFonts w:hint="eastAsia" w:ascii="黑体" w:hAnsi="黑体" w:eastAsia="黑体" w:cs="黑体"/>
              <w:highlight w:val="none"/>
            </w:rPr>
            <w:fldChar w:fldCharType="begin"/>
          </w:r>
          <w:r>
            <w:rPr>
              <w:rFonts w:hint="eastAsia" w:ascii="黑体" w:hAnsi="黑体" w:eastAsia="黑体" w:cs="黑体"/>
              <w:highlight w:val="none"/>
            </w:rPr>
            <w:instrText xml:space="preserve"> HYPERLINK \l "_Toc31432" </w:instrText>
          </w:r>
          <w:r>
            <w:rPr>
              <w:rFonts w:hint="eastAsia" w:ascii="黑体" w:hAnsi="黑体" w:eastAsia="黑体" w:cs="黑体"/>
              <w:highlight w:val="none"/>
            </w:rPr>
            <w:fldChar w:fldCharType="separate"/>
          </w:r>
          <w:r>
            <w:rPr>
              <w:rFonts w:hint="eastAsia" w:ascii="黑体" w:hAnsi="黑体" w:eastAsia="黑体" w:cs="黑体"/>
              <w:szCs w:val="21"/>
              <w:highlight w:val="none"/>
            </w:rPr>
            <w:t xml:space="preserve">1 </w:t>
          </w:r>
          <w:r>
            <w:rPr>
              <w:rFonts w:hint="eastAsia" w:ascii="黑体" w:hAnsi="黑体" w:eastAsia="黑体" w:cs="黑体"/>
              <w:highlight w:val="none"/>
            </w:rPr>
            <w:t>任务来源</w:t>
          </w:r>
          <w:r>
            <w:rPr>
              <w:rFonts w:hint="eastAsia" w:ascii="黑体" w:hAnsi="黑体" w:eastAsia="黑体" w:cs="黑体"/>
              <w:highlight w:val="none"/>
            </w:rPr>
            <w:tab/>
          </w:r>
          <w:r>
            <w:rPr>
              <w:rFonts w:hint="eastAsia" w:ascii="黑体" w:hAnsi="黑体" w:eastAsia="黑体" w:cs="黑体"/>
              <w:highlight w:val="none"/>
            </w:rPr>
            <w:fldChar w:fldCharType="begin"/>
          </w:r>
          <w:r>
            <w:rPr>
              <w:rFonts w:hint="eastAsia" w:ascii="黑体" w:hAnsi="黑体" w:eastAsia="黑体" w:cs="黑体"/>
              <w:highlight w:val="none"/>
            </w:rPr>
            <w:instrText xml:space="preserve"> PAGEREF _Toc31432 \h </w:instrText>
          </w:r>
          <w:r>
            <w:rPr>
              <w:rFonts w:hint="eastAsia" w:ascii="黑体" w:hAnsi="黑体" w:eastAsia="黑体" w:cs="黑体"/>
              <w:highlight w:val="none"/>
            </w:rPr>
            <w:fldChar w:fldCharType="separate"/>
          </w:r>
          <w:r>
            <w:rPr>
              <w:rFonts w:hint="eastAsia" w:ascii="黑体" w:hAnsi="黑体" w:eastAsia="黑体" w:cs="黑体"/>
              <w:highlight w:val="none"/>
            </w:rPr>
            <w:t>1</w:t>
          </w:r>
          <w:r>
            <w:rPr>
              <w:rFonts w:hint="eastAsia" w:ascii="黑体" w:hAnsi="黑体" w:eastAsia="黑体" w:cs="黑体"/>
              <w:highlight w:val="none"/>
            </w:rPr>
            <w:fldChar w:fldCharType="end"/>
          </w:r>
          <w:r>
            <w:rPr>
              <w:rFonts w:hint="eastAsia" w:ascii="黑体" w:hAnsi="黑体" w:eastAsia="黑体" w:cs="黑体"/>
              <w:highlight w:val="none"/>
            </w:rPr>
            <w:fldChar w:fldCharType="end"/>
          </w:r>
        </w:p>
        <w:p w14:paraId="2809CD82">
          <w:pPr>
            <w:pStyle w:val="5"/>
            <w:tabs>
              <w:tab w:val="right" w:leader="dot" w:pos="8306"/>
            </w:tabs>
            <w:ind w:firstLine="400"/>
            <w:rPr>
              <w:rFonts w:hint="eastAsia" w:ascii="黑体" w:hAnsi="黑体" w:eastAsia="黑体" w:cs="黑体"/>
              <w:highlight w:val="none"/>
            </w:rPr>
          </w:pPr>
          <w:r>
            <w:rPr>
              <w:rFonts w:hint="eastAsia" w:ascii="黑体" w:hAnsi="黑体" w:eastAsia="黑体" w:cs="黑体"/>
              <w:highlight w:val="none"/>
            </w:rPr>
            <w:fldChar w:fldCharType="begin"/>
          </w:r>
          <w:r>
            <w:rPr>
              <w:rFonts w:hint="eastAsia" w:ascii="黑体" w:hAnsi="黑体" w:eastAsia="黑体" w:cs="黑体"/>
              <w:highlight w:val="none"/>
            </w:rPr>
            <w:instrText xml:space="preserve"> HYPERLINK \l "_Toc12538" </w:instrText>
          </w:r>
          <w:r>
            <w:rPr>
              <w:rFonts w:hint="eastAsia" w:ascii="黑体" w:hAnsi="黑体" w:eastAsia="黑体" w:cs="黑体"/>
              <w:highlight w:val="none"/>
            </w:rPr>
            <w:fldChar w:fldCharType="separate"/>
          </w:r>
          <w:r>
            <w:rPr>
              <w:rFonts w:hint="eastAsia" w:ascii="黑体" w:hAnsi="黑体" w:eastAsia="黑体" w:cs="黑体"/>
              <w:szCs w:val="21"/>
              <w:highlight w:val="none"/>
            </w:rPr>
            <w:t xml:space="preserve">2 </w:t>
          </w:r>
          <w:r>
            <w:rPr>
              <w:rFonts w:hint="eastAsia" w:ascii="黑体" w:hAnsi="黑体" w:eastAsia="黑体" w:cs="黑体"/>
              <w:highlight w:val="none"/>
            </w:rPr>
            <w:t>目的意义</w:t>
          </w:r>
          <w:r>
            <w:rPr>
              <w:rFonts w:hint="eastAsia" w:ascii="黑体" w:hAnsi="黑体" w:eastAsia="黑体" w:cs="黑体"/>
              <w:highlight w:val="none"/>
            </w:rPr>
            <w:tab/>
          </w:r>
          <w:r>
            <w:rPr>
              <w:rFonts w:hint="eastAsia" w:ascii="黑体" w:hAnsi="黑体" w:eastAsia="黑体" w:cs="黑体"/>
              <w:highlight w:val="none"/>
            </w:rPr>
            <w:fldChar w:fldCharType="begin"/>
          </w:r>
          <w:r>
            <w:rPr>
              <w:rFonts w:hint="eastAsia" w:ascii="黑体" w:hAnsi="黑体" w:eastAsia="黑体" w:cs="黑体"/>
              <w:highlight w:val="none"/>
            </w:rPr>
            <w:instrText xml:space="preserve"> PAGEREF _Toc12538 \h </w:instrText>
          </w:r>
          <w:r>
            <w:rPr>
              <w:rFonts w:hint="eastAsia" w:ascii="黑体" w:hAnsi="黑体" w:eastAsia="黑体" w:cs="黑体"/>
              <w:highlight w:val="none"/>
            </w:rPr>
            <w:fldChar w:fldCharType="separate"/>
          </w:r>
          <w:r>
            <w:rPr>
              <w:rFonts w:hint="eastAsia" w:ascii="黑体" w:hAnsi="黑体" w:eastAsia="黑体" w:cs="黑体"/>
              <w:highlight w:val="none"/>
            </w:rPr>
            <w:t>1</w:t>
          </w:r>
          <w:r>
            <w:rPr>
              <w:rFonts w:hint="eastAsia" w:ascii="黑体" w:hAnsi="黑体" w:eastAsia="黑体" w:cs="黑体"/>
              <w:highlight w:val="none"/>
            </w:rPr>
            <w:fldChar w:fldCharType="end"/>
          </w:r>
          <w:r>
            <w:rPr>
              <w:rFonts w:hint="eastAsia" w:ascii="黑体" w:hAnsi="黑体" w:eastAsia="黑体" w:cs="黑体"/>
              <w:highlight w:val="none"/>
            </w:rPr>
            <w:fldChar w:fldCharType="end"/>
          </w:r>
        </w:p>
        <w:p w14:paraId="1B1DB3C5">
          <w:pPr>
            <w:pStyle w:val="5"/>
            <w:tabs>
              <w:tab w:val="right" w:leader="dot" w:pos="8306"/>
            </w:tabs>
            <w:ind w:firstLine="400"/>
            <w:rPr>
              <w:rFonts w:hint="eastAsia" w:ascii="黑体" w:hAnsi="黑体" w:eastAsia="黑体" w:cs="黑体"/>
              <w:highlight w:val="none"/>
            </w:rPr>
          </w:pPr>
          <w:r>
            <w:rPr>
              <w:rFonts w:hint="eastAsia" w:ascii="黑体" w:hAnsi="黑体" w:eastAsia="黑体" w:cs="黑体"/>
              <w:highlight w:val="none"/>
            </w:rPr>
            <w:fldChar w:fldCharType="begin"/>
          </w:r>
          <w:r>
            <w:rPr>
              <w:rFonts w:hint="eastAsia" w:ascii="黑体" w:hAnsi="黑体" w:eastAsia="黑体" w:cs="黑体"/>
              <w:highlight w:val="none"/>
            </w:rPr>
            <w:instrText xml:space="preserve"> HYPERLINK \l "_Toc25938" </w:instrText>
          </w:r>
          <w:r>
            <w:rPr>
              <w:rFonts w:hint="eastAsia" w:ascii="黑体" w:hAnsi="黑体" w:eastAsia="黑体" w:cs="黑体"/>
              <w:highlight w:val="none"/>
            </w:rPr>
            <w:fldChar w:fldCharType="separate"/>
          </w:r>
          <w:r>
            <w:rPr>
              <w:rFonts w:hint="eastAsia" w:ascii="黑体" w:hAnsi="黑体" w:eastAsia="黑体" w:cs="黑体"/>
              <w:szCs w:val="21"/>
              <w:highlight w:val="none"/>
            </w:rPr>
            <w:t xml:space="preserve">3 </w:t>
          </w:r>
          <w:r>
            <w:rPr>
              <w:rFonts w:hint="eastAsia" w:ascii="黑体" w:hAnsi="黑体" w:eastAsia="黑体" w:cs="黑体"/>
              <w:highlight w:val="none"/>
            </w:rPr>
            <w:t>国内外研究进展</w:t>
          </w:r>
          <w:r>
            <w:rPr>
              <w:rFonts w:hint="eastAsia" w:ascii="黑体" w:hAnsi="黑体" w:eastAsia="黑体" w:cs="黑体"/>
              <w:highlight w:val="none"/>
            </w:rPr>
            <w:tab/>
          </w:r>
          <w:r>
            <w:rPr>
              <w:rFonts w:hint="eastAsia" w:ascii="黑体" w:hAnsi="黑体" w:eastAsia="黑体" w:cs="黑体"/>
              <w:highlight w:val="none"/>
            </w:rPr>
            <w:fldChar w:fldCharType="begin"/>
          </w:r>
          <w:r>
            <w:rPr>
              <w:rFonts w:hint="eastAsia" w:ascii="黑体" w:hAnsi="黑体" w:eastAsia="黑体" w:cs="黑体"/>
              <w:highlight w:val="none"/>
            </w:rPr>
            <w:instrText xml:space="preserve"> PAGEREF _Toc25938 \h </w:instrText>
          </w:r>
          <w:r>
            <w:rPr>
              <w:rFonts w:hint="eastAsia" w:ascii="黑体" w:hAnsi="黑体" w:eastAsia="黑体" w:cs="黑体"/>
              <w:highlight w:val="none"/>
            </w:rPr>
            <w:fldChar w:fldCharType="separate"/>
          </w:r>
          <w:r>
            <w:rPr>
              <w:rFonts w:hint="eastAsia" w:ascii="黑体" w:hAnsi="黑体" w:eastAsia="黑体" w:cs="黑体"/>
              <w:highlight w:val="none"/>
            </w:rPr>
            <w:t>2</w:t>
          </w:r>
          <w:r>
            <w:rPr>
              <w:rFonts w:hint="eastAsia" w:ascii="黑体" w:hAnsi="黑体" w:eastAsia="黑体" w:cs="黑体"/>
              <w:highlight w:val="none"/>
            </w:rPr>
            <w:fldChar w:fldCharType="end"/>
          </w:r>
          <w:r>
            <w:rPr>
              <w:rFonts w:hint="eastAsia" w:ascii="黑体" w:hAnsi="黑体" w:eastAsia="黑体" w:cs="黑体"/>
              <w:highlight w:val="none"/>
            </w:rPr>
            <w:fldChar w:fldCharType="end"/>
          </w:r>
        </w:p>
        <w:p w14:paraId="5D86413D">
          <w:pPr>
            <w:pStyle w:val="5"/>
            <w:tabs>
              <w:tab w:val="right" w:leader="dot" w:pos="8306"/>
            </w:tabs>
            <w:ind w:firstLine="400"/>
            <w:rPr>
              <w:rFonts w:hint="eastAsia" w:ascii="黑体" w:hAnsi="黑体" w:eastAsia="黑体" w:cs="黑体"/>
              <w:highlight w:val="none"/>
            </w:rPr>
          </w:pPr>
          <w:r>
            <w:rPr>
              <w:rFonts w:hint="eastAsia" w:ascii="黑体" w:hAnsi="黑体" w:eastAsia="黑体" w:cs="黑体"/>
              <w:highlight w:val="none"/>
            </w:rPr>
            <w:fldChar w:fldCharType="begin"/>
          </w:r>
          <w:r>
            <w:rPr>
              <w:rFonts w:hint="eastAsia" w:ascii="黑体" w:hAnsi="黑体" w:eastAsia="黑体" w:cs="黑体"/>
              <w:highlight w:val="none"/>
            </w:rPr>
            <w:instrText xml:space="preserve"> HYPERLINK \l "_Toc30959" </w:instrText>
          </w:r>
          <w:r>
            <w:rPr>
              <w:rFonts w:hint="eastAsia" w:ascii="黑体" w:hAnsi="黑体" w:eastAsia="黑体" w:cs="黑体"/>
              <w:highlight w:val="none"/>
            </w:rPr>
            <w:fldChar w:fldCharType="separate"/>
          </w:r>
          <w:r>
            <w:rPr>
              <w:rFonts w:hint="eastAsia" w:ascii="黑体" w:hAnsi="黑体" w:eastAsia="黑体" w:cs="黑体"/>
              <w:szCs w:val="21"/>
              <w:highlight w:val="none"/>
            </w:rPr>
            <w:t xml:space="preserve">4 </w:t>
          </w:r>
          <w:r>
            <w:rPr>
              <w:rFonts w:hint="eastAsia" w:ascii="黑体" w:hAnsi="黑体" w:eastAsia="黑体" w:cs="黑体"/>
              <w:highlight w:val="none"/>
            </w:rPr>
            <w:t>主要工作过程</w:t>
          </w:r>
          <w:r>
            <w:rPr>
              <w:rFonts w:hint="eastAsia" w:ascii="黑体" w:hAnsi="黑体" w:eastAsia="黑体" w:cs="黑体"/>
              <w:highlight w:val="none"/>
            </w:rPr>
            <w:tab/>
          </w:r>
          <w:r>
            <w:rPr>
              <w:rFonts w:hint="eastAsia" w:ascii="黑体" w:hAnsi="黑体" w:eastAsia="黑体" w:cs="黑体"/>
              <w:highlight w:val="none"/>
            </w:rPr>
            <w:fldChar w:fldCharType="begin"/>
          </w:r>
          <w:r>
            <w:rPr>
              <w:rFonts w:hint="eastAsia" w:ascii="黑体" w:hAnsi="黑体" w:eastAsia="黑体" w:cs="黑体"/>
              <w:highlight w:val="none"/>
            </w:rPr>
            <w:instrText xml:space="preserve"> PAGEREF _Toc30959 \h </w:instrText>
          </w:r>
          <w:r>
            <w:rPr>
              <w:rFonts w:hint="eastAsia" w:ascii="黑体" w:hAnsi="黑体" w:eastAsia="黑体" w:cs="黑体"/>
              <w:highlight w:val="none"/>
            </w:rPr>
            <w:fldChar w:fldCharType="separate"/>
          </w:r>
          <w:r>
            <w:rPr>
              <w:rFonts w:hint="eastAsia" w:ascii="黑体" w:hAnsi="黑体" w:eastAsia="黑体" w:cs="黑体"/>
              <w:highlight w:val="none"/>
            </w:rPr>
            <w:t>2</w:t>
          </w:r>
          <w:r>
            <w:rPr>
              <w:rFonts w:hint="eastAsia" w:ascii="黑体" w:hAnsi="黑体" w:eastAsia="黑体" w:cs="黑体"/>
              <w:highlight w:val="none"/>
            </w:rPr>
            <w:fldChar w:fldCharType="end"/>
          </w:r>
          <w:r>
            <w:rPr>
              <w:rFonts w:hint="eastAsia" w:ascii="黑体" w:hAnsi="黑体" w:eastAsia="黑体" w:cs="黑体"/>
              <w:highlight w:val="none"/>
            </w:rPr>
            <w:fldChar w:fldCharType="end"/>
          </w:r>
        </w:p>
        <w:p w14:paraId="0281B59A">
          <w:pPr>
            <w:pStyle w:val="5"/>
            <w:tabs>
              <w:tab w:val="right" w:leader="dot" w:pos="8306"/>
            </w:tabs>
            <w:ind w:firstLine="400"/>
            <w:rPr>
              <w:rFonts w:hint="eastAsia" w:ascii="黑体" w:hAnsi="黑体" w:eastAsia="黑体" w:cs="黑体"/>
              <w:highlight w:val="none"/>
            </w:rPr>
          </w:pPr>
          <w:r>
            <w:rPr>
              <w:rFonts w:hint="eastAsia" w:ascii="黑体" w:hAnsi="黑体" w:eastAsia="黑体" w:cs="黑体"/>
              <w:highlight w:val="none"/>
            </w:rPr>
            <w:fldChar w:fldCharType="begin"/>
          </w:r>
          <w:r>
            <w:rPr>
              <w:rFonts w:hint="eastAsia" w:ascii="黑体" w:hAnsi="黑体" w:eastAsia="黑体" w:cs="黑体"/>
              <w:highlight w:val="none"/>
            </w:rPr>
            <w:instrText xml:space="preserve"> HYPERLINK \l "_Toc19419" </w:instrText>
          </w:r>
          <w:r>
            <w:rPr>
              <w:rFonts w:hint="eastAsia" w:ascii="黑体" w:hAnsi="黑体" w:eastAsia="黑体" w:cs="黑体"/>
              <w:highlight w:val="none"/>
            </w:rPr>
            <w:fldChar w:fldCharType="separate"/>
          </w:r>
          <w:r>
            <w:rPr>
              <w:rFonts w:hint="eastAsia" w:ascii="黑体" w:hAnsi="黑体" w:eastAsia="黑体" w:cs="黑体"/>
              <w:szCs w:val="21"/>
              <w:highlight w:val="none"/>
            </w:rPr>
            <w:t xml:space="preserve">5 </w:t>
          </w:r>
          <w:r>
            <w:rPr>
              <w:rFonts w:hint="eastAsia" w:ascii="黑体" w:hAnsi="黑体" w:eastAsia="黑体" w:cs="黑体"/>
              <w:highlight w:val="none"/>
            </w:rPr>
            <w:t>标准起草工作组成员及任务分工</w:t>
          </w:r>
          <w:r>
            <w:rPr>
              <w:rFonts w:hint="eastAsia" w:ascii="黑体" w:hAnsi="黑体" w:eastAsia="黑体" w:cs="黑体"/>
              <w:highlight w:val="none"/>
            </w:rPr>
            <w:tab/>
          </w:r>
          <w:r>
            <w:rPr>
              <w:rFonts w:hint="eastAsia" w:ascii="黑体" w:hAnsi="黑体" w:eastAsia="黑体" w:cs="黑体"/>
              <w:highlight w:val="none"/>
            </w:rPr>
            <w:fldChar w:fldCharType="begin"/>
          </w:r>
          <w:r>
            <w:rPr>
              <w:rFonts w:hint="eastAsia" w:ascii="黑体" w:hAnsi="黑体" w:eastAsia="黑体" w:cs="黑体"/>
              <w:highlight w:val="none"/>
            </w:rPr>
            <w:instrText xml:space="preserve"> PAGEREF _Toc19419 \h </w:instrText>
          </w:r>
          <w:r>
            <w:rPr>
              <w:rFonts w:hint="eastAsia" w:ascii="黑体" w:hAnsi="黑体" w:eastAsia="黑体" w:cs="黑体"/>
              <w:highlight w:val="none"/>
            </w:rPr>
            <w:fldChar w:fldCharType="separate"/>
          </w:r>
          <w:r>
            <w:rPr>
              <w:rFonts w:hint="eastAsia" w:ascii="黑体" w:hAnsi="黑体" w:eastAsia="黑体" w:cs="黑体"/>
              <w:highlight w:val="none"/>
            </w:rPr>
            <w:t>3</w:t>
          </w:r>
          <w:r>
            <w:rPr>
              <w:rFonts w:hint="eastAsia" w:ascii="黑体" w:hAnsi="黑体" w:eastAsia="黑体" w:cs="黑体"/>
              <w:highlight w:val="none"/>
            </w:rPr>
            <w:fldChar w:fldCharType="end"/>
          </w:r>
          <w:r>
            <w:rPr>
              <w:rFonts w:hint="eastAsia" w:ascii="黑体" w:hAnsi="黑体" w:eastAsia="黑体" w:cs="黑体"/>
              <w:highlight w:val="none"/>
            </w:rPr>
            <w:fldChar w:fldCharType="end"/>
          </w:r>
        </w:p>
        <w:p w14:paraId="452092C3">
          <w:pPr>
            <w:pStyle w:val="5"/>
            <w:tabs>
              <w:tab w:val="right" w:leader="dot" w:pos="8306"/>
            </w:tabs>
            <w:ind w:firstLine="400"/>
            <w:rPr>
              <w:rFonts w:hint="eastAsia" w:ascii="黑体" w:hAnsi="黑体" w:eastAsia="黑体" w:cs="黑体"/>
              <w:highlight w:val="none"/>
            </w:rPr>
          </w:pPr>
          <w:r>
            <w:rPr>
              <w:rFonts w:hint="eastAsia" w:ascii="黑体" w:hAnsi="黑体" w:eastAsia="黑体" w:cs="黑体"/>
              <w:highlight w:val="none"/>
            </w:rPr>
            <w:fldChar w:fldCharType="begin"/>
          </w:r>
          <w:r>
            <w:rPr>
              <w:rFonts w:hint="eastAsia" w:ascii="黑体" w:hAnsi="黑体" w:eastAsia="黑体" w:cs="黑体"/>
              <w:highlight w:val="none"/>
            </w:rPr>
            <w:instrText xml:space="preserve"> HYPERLINK \l "_Toc2749" </w:instrText>
          </w:r>
          <w:r>
            <w:rPr>
              <w:rFonts w:hint="eastAsia" w:ascii="黑体" w:hAnsi="黑体" w:eastAsia="黑体" w:cs="黑体"/>
              <w:highlight w:val="none"/>
            </w:rPr>
            <w:fldChar w:fldCharType="separate"/>
          </w:r>
          <w:r>
            <w:rPr>
              <w:rFonts w:hint="eastAsia" w:ascii="黑体" w:hAnsi="黑体" w:eastAsia="黑体" w:cs="黑体"/>
              <w:szCs w:val="21"/>
              <w:highlight w:val="none"/>
            </w:rPr>
            <w:t xml:space="preserve">6 </w:t>
          </w:r>
          <w:r>
            <w:rPr>
              <w:rFonts w:hint="eastAsia" w:ascii="黑体" w:hAnsi="黑体" w:eastAsia="黑体" w:cs="黑体"/>
              <w:highlight w:val="none"/>
            </w:rPr>
            <w:t>标准编制的原则、技术路线</w:t>
          </w:r>
          <w:r>
            <w:rPr>
              <w:rFonts w:hint="eastAsia" w:ascii="黑体" w:hAnsi="黑体" w:eastAsia="黑体" w:cs="黑体"/>
              <w:highlight w:val="none"/>
            </w:rPr>
            <w:tab/>
          </w:r>
          <w:r>
            <w:rPr>
              <w:rFonts w:hint="eastAsia" w:ascii="黑体" w:hAnsi="黑体" w:eastAsia="黑体" w:cs="黑体"/>
              <w:highlight w:val="none"/>
            </w:rPr>
            <w:fldChar w:fldCharType="begin"/>
          </w:r>
          <w:r>
            <w:rPr>
              <w:rFonts w:hint="eastAsia" w:ascii="黑体" w:hAnsi="黑体" w:eastAsia="黑体" w:cs="黑体"/>
              <w:highlight w:val="none"/>
            </w:rPr>
            <w:instrText xml:space="preserve"> PAGEREF _Toc2749 \h </w:instrText>
          </w:r>
          <w:r>
            <w:rPr>
              <w:rFonts w:hint="eastAsia" w:ascii="黑体" w:hAnsi="黑体" w:eastAsia="黑体" w:cs="黑体"/>
              <w:highlight w:val="none"/>
            </w:rPr>
            <w:fldChar w:fldCharType="separate"/>
          </w:r>
          <w:r>
            <w:rPr>
              <w:rFonts w:hint="eastAsia" w:ascii="黑体" w:hAnsi="黑体" w:eastAsia="黑体" w:cs="黑体"/>
              <w:highlight w:val="none"/>
            </w:rPr>
            <w:t>3</w:t>
          </w:r>
          <w:r>
            <w:rPr>
              <w:rFonts w:hint="eastAsia" w:ascii="黑体" w:hAnsi="黑体" w:eastAsia="黑体" w:cs="黑体"/>
              <w:highlight w:val="none"/>
            </w:rPr>
            <w:fldChar w:fldCharType="end"/>
          </w:r>
          <w:r>
            <w:rPr>
              <w:rFonts w:hint="eastAsia" w:ascii="黑体" w:hAnsi="黑体" w:eastAsia="黑体" w:cs="黑体"/>
              <w:highlight w:val="none"/>
            </w:rPr>
            <w:fldChar w:fldCharType="end"/>
          </w:r>
        </w:p>
        <w:p w14:paraId="0DAB1711">
          <w:pPr>
            <w:pStyle w:val="5"/>
            <w:tabs>
              <w:tab w:val="right" w:leader="dot" w:pos="8306"/>
            </w:tabs>
            <w:ind w:firstLine="400"/>
            <w:rPr>
              <w:rFonts w:hint="eastAsia" w:ascii="黑体" w:hAnsi="黑体" w:eastAsia="黑体" w:cs="黑体"/>
              <w:highlight w:val="none"/>
            </w:rPr>
          </w:pPr>
          <w:r>
            <w:rPr>
              <w:rFonts w:hint="eastAsia" w:ascii="黑体" w:hAnsi="黑体" w:eastAsia="黑体" w:cs="黑体"/>
              <w:highlight w:val="none"/>
            </w:rPr>
            <w:fldChar w:fldCharType="begin"/>
          </w:r>
          <w:r>
            <w:rPr>
              <w:rFonts w:hint="eastAsia" w:ascii="黑体" w:hAnsi="黑体" w:eastAsia="黑体" w:cs="黑体"/>
              <w:highlight w:val="none"/>
            </w:rPr>
            <w:instrText xml:space="preserve"> HYPERLINK \l "_Toc17493" </w:instrText>
          </w:r>
          <w:r>
            <w:rPr>
              <w:rFonts w:hint="eastAsia" w:ascii="黑体" w:hAnsi="黑体" w:eastAsia="黑体" w:cs="黑体"/>
              <w:highlight w:val="none"/>
            </w:rPr>
            <w:fldChar w:fldCharType="separate"/>
          </w:r>
          <w:r>
            <w:rPr>
              <w:rFonts w:hint="eastAsia" w:ascii="黑体" w:hAnsi="黑体" w:eastAsia="黑体" w:cs="黑体"/>
              <w:szCs w:val="21"/>
              <w:highlight w:val="none"/>
              <w:lang w:val="zh-CN"/>
            </w:rPr>
            <w:t xml:space="preserve">7 </w:t>
          </w:r>
          <w:r>
            <w:rPr>
              <w:rFonts w:hint="eastAsia" w:ascii="黑体" w:hAnsi="黑体" w:eastAsia="黑体" w:cs="黑体"/>
              <w:highlight w:val="none"/>
            </w:rPr>
            <w:t>标准主要内容</w:t>
          </w:r>
          <w:r>
            <w:rPr>
              <w:rFonts w:hint="eastAsia" w:ascii="黑体" w:hAnsi="黑体" w:eastAsia="黑体" w:cs="黑体"/>
              <w:highlight w:val="none"/>
            </w:rPr>
            <w:tab/>
          </w:r>
          <w:r>
            <w:rPr>
              <w:rFonts w:hint="eastAsia" w:ascii="黑体" w:hAnsi="黑体" w:eastAsia="黑体" w:cs="黑体"/>
              <w:highlight w:val="none"/>
            </w:rPr>
            <w:fldChar w:fldCharType="begin"/>
          </w:r>
          <w:r>
            <w:rPr>
              <w:rFonts w:hint="eastAsia" w:ascii="黑体" w:hAnsi="黑体" w:eastAsia="黑体" w:cs="黑体"/>
              <w:highlight w:val="none"/>
            </w:rPr>
            <w:instrText xml:space="preserve"> PAGEREF _Toc17493 \h </w:instrText>
          </w:r>
          <w:r>
            <w:rPr>
              <w:rFonts w:hint="eastAsia" w:ascii="黑体" w:hAnsi="黑体" w:eastAsia="黑体" w:cs="黑体"/>
              <w:highlight w:val="none"/>
            </w:rPr>
            <w:fldChar w:fldCharType="separate"/>
          </w:r>
          <w:r>
            <w:rPr>
              <w:rFonts w:hint="eastAsia" w:ascii="黑体" w:hAnsi="黑体" w:eastAsia="黑体" w:cs="黑体"/>
              <w:highlight w:val="none"/>
            </w:rPr>
            <w:t>4</w:t>
          </w:r>
          <w:r>
            <w:rPr>
              <w:rFonts w:hint="eastAsia" w:ascii="黑体" w:hAnsi="黑体" w:eastAsia="黑体" w:cs="黑体"/>
              <w:highlight w:val="none"/>
            </w:rPr>
            <w:fldChar w:fldCharType="end"/>
          </w:r>
          <w:r>
            <w:rPr>
              <w:rFonts w:hint="eastAsia" w:ascii="黑体" w:hAnsi="黑体" w:eastAsia="黑体" w:cs="黑体"/>
              <w:highlight w:val="none"/>
            </w:rPr>
            <w:fldChar w:fldCharType="end"/>
          </w:r>
        </w:p>
        <w:p w14:paraId="77A09195">
          <w:pPr>
            <w:pStyle w:val="5"/>
            <w:tabs>
              <w:tab w:val="right" w:leader="dot" w:pos="8306"/>
            </w:tabs>
            <w:ind w:firstLine="400"/>
            <w:rPr>
              <w:rFonts w:hint="eastAsia" w:ascii="黑体" w:hAnsi="黑体" w:eastAsia="黑体" w:cs="黑体"/>
              <w:highlight w:val="none"/>
            </w:rPr>
          </w:pPr>
          <w:r>
            <w:rPr>
              <w:rFonts w:hint="eastAsia" w:ascii="黑体" w:hAnsi="黑体" w:eastAsia="黑体" w:cs="黑体"/>
              <w:highlight w:val="none"/>
            </w:rPr>
            <w:fldChar w:fldCharType="begin"/>
          </w:r>
          <w:r>
            <w:rPr>
              <w:rFonts w:hint="eastAsia" w:ascii="黑体" w:hAnsi="黑体" w:eastAsia="黑体" w:cs="黑体"/>
              <w:highlight w:val="none"/>
            </w:rPr>
            <w:instrText xml:space="preserve"> HYPERLINK \l "_Toc7487" </w:instrText>
          </w:r>
          <w:r>
            <w:rPr>
              <w:rFonts w:hint="eastAsia" w:ascii="黑体" w:hAnsi="黑体" w:eastAsia="黑体" w:cs="黑体"/>
              <w:highlight w:val="none"/>
            </w:rPr>
            <w:fldChar w:fldCharType="separate"/>
          </w:r>
          <w:r>
            <w:rPr>
              <w:rFonts w:hint="eastAsia" w:ascii="黑体" w:hAnsi="黑体" w:eastAsia="黑体" w:cs="黑体"/>
              <w:szCs w:val="21"/>
              <w:highlight w:val="none"/>
            </w:rPr>
            <w:t xml:space="preserve">8 </w:t>
          </w:r>
          <w:r>
            <w:rPr>
              <w:rFonts w:hint="eastAsia" w:ascii="黑体" w:hAnsi="黑体" w:eastAsia="黑体" w:cs="黑体"/>
              <w:highlight w:val="none"/>
            </w:rPr>
            <w:t>其它实验（或验证）情况分析</w:t>
          </w:r>
          <w:r>
            <w:rPr>
              <w:rFonts w:hint="eastAsia" w:ascii="黑体" w:hAnsi="黑体" w:eastAsia="黑体" w:cs="黑体"/>
              <w:highlight w:val="none"/>
            </w:rPr>
            <w:tab/>
          </w:r>
          <w:r>
            <w:rPr>
              <w:rFonts w:hint="eastAsia" w:ascii="黑体" w:hAnsi="黑体" w:eastAsia="黑体" w:cs="黑体"/>
              <w:highlight w:val="none"/>
            </w:rPr>
            <w:fldChar w:fldCharType="begin"/>
          </w:r>
          <w:r>
            <w:rPr>
              <w:rFonts w:hint="eastAsia" w:ascii="黑体" w:hAnsi="黑体" w:eastAsia="黑体" w:cs="黑体"/>
              <w:highlight w:val="none"/>
            </w:rPr>
            <w:instrText xml:space="preserve"> PAGEREF _Toc7487 \h </w:instrText>
          </w:r>
          <w:r>
            <w:rPr>
              <w:rFonts w:hint="eastAsia" w:ascii="黑体" w:hAnsi="黑体" w:eastAsia="黑体" w:cs="黑体"/>
              <w:highlight w:val="none"/>
            </w:rPr>
            <w:fldChar w:fldCharType="separate"/>
          </w:r>
          <w:r>
            <w:rPr>
              <w:rFonts w:hint="eastAsia" w:ascii="黑体" w:hAnsi="黑体" w:eastAsia="黑体" w:cs="黑体"/>
              <w:highlight w:val="none"/>
            </w:rPr>
            <w:t>15</w:t>
          </w:r>
          <w:r>
            <w:rPr>
              <w:rFonts w:hint="eastAsia" w:ascii="黑体" w:hAnsi="黑体" w:eastAsia="黑体" w:cs="黑体"/>
              <w:highlight w:val="none"/>
            </w:rPr>
            <w:fldChar w:fldCharType="end"/>
          </w:r>
          <w:r>
            <w:rPr>
              <w:rFonts w:hint="eastAsia" w:ascii="黑体" w:hAnsi="黑体" w:eastAsia="黑体" w:cs="黑体"/>
              <w:highlight w:val="none"/>
            </w:rPr>
            <w:fldChar w:fldCharType="end"/>
          </w:r>
        </w:p>
        <w:p w14:paraId="65FDF9FC">
          <w:pPr>
            <w:pStyle w:val="5"/>
            <w:tabs>
              <w:tab w:val="right" w:leader="dot" w:pos="8306"/>
            </w:tabs>
            <w:ind w:firstLine="400"/>
            <w:rPr>
              <w:rFonts w:hint="eastAsia" w:ascii="黑体" w:hAnsi="黑体" w:eastAsia="黑体" w:cs="黑体"/>
              <w:highlight w:val="none"/>
            </w:rPr>
          </w:pPr>
          <w:r>
            <w:rPr>
              <w:rFonts w:hint="eastAsia" w:ascii="黑体" w:hAnsi="黑体" w:eastAsia="黑体" w:cs="黑体"/>
              <w:highlight w:val="none"/>
            </w:rPr>
            <w:fldChar w:fldCharType="begin"/>
          </w:r>
          <w:r>
            <w:rPr>
              <w:rFonts w:hint="eastAsia" w:ascii="黑体" w:hAnsi="黑体" w:eastAsia="黑体" w:cs="黑体"/>
              <w:highlight w:val="none"/>
            </w:rPr>
            <w:instrText xml:space="preserve"> HYPERLINK \l "_Toc2076" </w:instrText>
          </w:r>
          <w:r>
            <w:rPr>
              <w:rFonts w:hint="eastAsia" w:ascii="黑体" w:hAnsi="黑体" w:eastAsia="黑体" w:cs="黑体"/>
              <w:highlight w:val="none"/>
            </w:rPr>
            <w:fldChar w:fldCharType="separate"/>
          </w:r>
          <w:r>
            <w:rPr>
              <w:rFonts w:hint="eastAsia" w:ascii="黑体" w:hAnsi="黑体" w:eastAsia="黑体" w:cs="黑体"/>
              <w:szCs w:val="21"/>
              <w:highlight w:val="none"/>
            </w:rPr>
            <w:t xml:space="preserve">9 </w:t>
          </w:r>
          <w:r>
            <w:rPr>
              <w:rFonts w:hint="eastAsia" w:ascii="黑体" w:hAnsi="黑体" w:eastAsia="黑体" w:cs="黑体"/>
              <w:highlight w:val="none"/>
            </w:rPr>
            <w:t>知识产权说明</w:t>
          </w:r>
          <w:r>
            <w:rPr>
              <w:rFonts w:hint="eastAsia" w:ascii="黑体" w:hAnsi="黑体" w:eastAsia="黑体" w:cs="黑体"/>
              <w:highlight w:val="none"/>
            </w:rPr>
            <w:tab/>
          </w:r>
          <w:r>
            <w:rPr>
              <w:rFonts w:hint="eastAsia" w:ascii="黑体" w:hAnsi="黑体" w:eastAsia="黑体" w:cs="黑体"/>
              <w:highlight w:val="none"/>
            </w:rPr>
            <w:fldChar w:fldCharType="begin"/>
          </w:r>
          <w:r>
            <w:rPr>
              <w:rFonts w:hint="eastAsia" w:ascii="黑体" w:hAnsi="黑体" w:eastAsia="黑体" w:cs="黑体"/>
              <w:highlight w:val="none"/>
            </w:rPr>
            <w:instrText xml:space="preserve"> PAGEREF _Toc2076 \h </w:instrText>
          </w:r>
          <w:r>
            <w:rPr>
              <w:rFonts w:hint="eastAsia" w:ascii="黑体" w:hAnsi="黑体" w:eastAsia="黑体" w:cs="黑体"/>
              <w:highlight w:val="none"/>
            </w:rPr>
            <w:fldChar w:fldCharType="separate"/>
          </w:r>
          <w:r>
            <w:rPr>
              <w:rFonts w:hint="eastAsia" w:ascii="黑体" w:hAnsi="黑体" w:eastAsia="黑体" w:cs="黑体"/>
              <w:highlight w:val="none"/>
            </w:rPr>
            <w:t>18</w:t>
          </w:r>
          <w:r>
            <w:rPr>
              <w:rFonts w:hint="eastAsia" w:ascii="黑体" w:hAnsi="黑体" w:eastAsia="黑体" w:cs="黑体"/>
              <w:highlight w:val="none"/>
            </w:rPr>
            <w:fldChar w:fldCharType="end"/>
          </w:r>
          <w:r>
            <w:rPr>
              <w:rFonts w:hint="eastAsia" w:ascii="黑体" w:hAnsi="黑体" w:eastAsia="黑体" w:cs="黑体"/>
              <w:highlight w:val="none"/>
            </w:rPr>
            <w:fldChar w:fldCharType="end"/>
          </w:r>
        </w:p>
        <w:p w14:paraId="5B6C384C">
          <w:pPr>
            <w:pStyle w:val="5"/>
            <w:tabs>
              <w:tab w:val="right" w:leader="dot" w:pos="8306"/>
            </w:tabs>
            <w:ind w:firstLine="400"/>
            <w:rPr>
              <w:rFonts w:hint="eastAsia" w:ascii="黑体" w:hAnsi="黑体" w:eastAsia="黑体" w:cs="黑体"/>
              <w:highlight w:val="none"/>
            </w:rPr>
          </w:pPr>
          <w:r>
            <w:rPr>
              <w:rFonts w:hint="eastAsia" w:ascii="黑体" w:hAnsi="黑体" w:eastAsia="黑体" w:cs="黑体"/>
              <w:highlight w:val="none"/>
            </w:rPr>
            <w:fldChar w:fldCharType="begin"/>
          </w:r>
          <w:r>
            <w:rPr>
              <w:rFonts w:hint="eastAsia" w:ascii="黑体" w:hAnsi="黑体" w:eastAsia="黑体" w:cs="黑体"/>
              <w:highlight w:val="none"/>
            </w:rPr>
            <w:instrText xml:space="preserve"> HYPERLINK \l "_Toc4775" </w:instrText>
          </w:r>
          <w:r>
            <w:rPr>
              <w:rFonts w:hint="eastAsia" w:ascii="黑体" w:hAnsi="黑体" w:eastAsia="黑体" w:cs="黑体"/>
              <w:highlight w:val="none"/>
            </w:rPr>
            <w:fldChar w:fldCharType="separate"/>
          </w:r>
          <w:r>
            <w:rPr>
              <w:rFonts w:hint="eastAsia" w:ascii="黑体" w:hAnsi="黑体" w:eastAsia="黑体" w:cs="黑体"/>
              <w:szCs w:val="21"/>
              <w:highlight w:val="none"/>
            </w:rPr>
            <w:t xml:space="preserve">10 </w:t>
          </w:r>
          <w:r>
            <w:rPr>
              <w:rFonts w:hint="eastAsia" w:ascii="黑体" w:hAnsi="黑体" w:eastAsia="黑体" w:cs="黑体"/>
              <w:highlight w:val="none"/>
            </w:rPr>
            <w:t>采标情况</w:t>
          </w:r>
          <w:r>
            <w:rPr>
              <w:rFonts w:hint="eastAsia" w:ascii="黑体" w:hAnsi="黑体" w:eastAsia="黑体" w:cs="黑体"/>
              <w:highlight w:val="none"/>
            </w:rPr>
            <w:tab/>
          </w:r>
          <w:r>
            <w:rPr>
              <w:rFonts w:hint="eastAsia" w:ascii="黑体" w:hAnsi="黑体" w:eastAsia="黑体" w:cs="黑体"/>
              <w:highlight w:val="none"/>
            </w:rPr>
            <w:fldChar w:fldCharType="begin"/>
          </w:r>
          <w:r>
            <w:rPr>
              <w:rFonts w:hint="eastAsia" w:ascii="黑体" w:hAnsi="黑体" w:eastAsia="黑体" w:cs="黑体"/>
              <w:highlight w:val="none"/>
            </w:rPr>
            <w:instrText xml:space="preserve"> PAGEREF _Toc4775 \h </w:instrText>
          </w:r>
          <w:r>
            <w:rPr>
              <w:rFonts w:hint="eastAsia" w:ascii="黑体" w:hAnsi="黑体" w:eastAsia="黑体" w:cs="黑体"/>
              <w:highlight w:val="none"/>
            </w:rPr>
            <w:fldChar w:fldCharType="separate"/>
          </w:r>
          <w:r>
            <w:rPr>
              <w:rFonts w:hint="eastAsia" w:ascii="黑体" w:hAnsi="黑体" w:eastAsia="黑体" w:cs="黑体"/>
              <w:highlight w:val="none"/>
            </w:rPr>
            <w:t>20</w:t>
          </w:r>
          <w:r>
            <w:rPr>
              <w:rFonts w:hint="eastAsia" w:ascii="黑体" w:hAnsi="黑体" w:eastAsia="黑体" w:cs="黑体"/>
              <w:highlight w:val="none"/>
            </w:rPr>
            <w:fldChar w:fldCharType="end"/>
          </w:r>
          <w:r>
            <w:rPr>
              <w:rFonts w:hint="eastAsia" w:ascii="黑体" w:hAnsi="黑体" w:eastAsia="黑体" w:cs="黑体"/>
              <w:highlight w:val="none"/>
            </w:rPr>
            <w:fldChar w:fldCharType="end"/>
          </w:r>
        </w:p>
        <w:p w14:paraId="61B8B032">
          <w:pPr>
            <w:pStyle w:val="5"/>
            <w:tabs>
              <w:tab w:val="right" w:leader="dot" w:pos="8306"/>
            </w:tabs>
            <w:ind w:firstLine="400"/>
            <w:rPr>
              <w:rFonts w:hint="eastAsia" w:ascii="黑体" w:hAnsi="黑体" w:eastAsia="黑体" w:cs="黑体"/>
              <w:highlight w:val="none"/>
            </w:rPr>
          </w:pPr>
          <w:r>
            <w:rPr>
              <w:rFonts w:hint="eastAsia" w:ascii="黑体" w:hAnsi="黑体" w:eastAsia="黑体" w:cs="黑体"/>
              <w:highlight w:val="none"/>
            </w:rPr>
            <w:fldChar w:fldCharType="begin"/>
          </w:r>
          <w:r>
            <w:rPr>
              <w:rFonts w:hint="eastAsia" w:ascii="黑体" w:hAnsi="黑体" w:eastAsia="黑体" w:cs="黑体"/>
              <w:highlight w:val="none"/>
            </w:rPr>
            <w:instrText xml:space="preserve"> HYPERLINK \l "_Toc19923" </w:instrText>
          </w:r>
          <w:r>
            <w:rPr>
              <w:rFonts w:hint="eastAsia" w:ascii="黑体" w:hAnsi="黑体" w:eastAsia="黑体" w:cs="黑体"/>
              <w:highlight w:val="none"/>
            </w:rPr>
            <w:fldChar w:fldCharType="separate"/>
          </w:r>
          <w:r>
            <w:rPr>
              <w:rFonts w:hint="eastAsia" w:ascii="黑体" w:hAnsi="黑体" w:eastAsia="黑体" w:cs="黑体"/>
              <w:szCs w:val="21"/>
              <w:highlight w:val="none"/>
            </w:rPr>
            <w:t xml:space="preserve">11 </w:t>
          </w:r>
          <w:r>
            <w:rPr>
              <w:rFonts w:hint="eastAsia" w:ascii="黑体" w:hAnsi="黑体" w:eastAsia="黑体" w:cs="黑体"/>
              <w:highlight w:val="none"/>
            </w:rPr>
            <w:t>重大意见分歧及处理</w:t>
          </w:r>
          <w:r>
            <w:rPr>
              <w:rFonts w:hint="eastAsia" w:ascii="黑体" w:hAnsi="黑体" w:eastAsia="黑体" w:cs="黑体"/>
              <w:highlight w:val="none"/>
            </w:rPr>
            <w:tab/>
          </w:r>
          <w:r>
            <w:rPr>
              <w:rFonts w:hint="eastAsia" w:ascii="黑体" w:hAnsi="黑体" w:eastAsia="黑体" w:cs="黑体"/>
              <w:highlight w:val="none"/>
            </w:rPr>
            <w:fldChar w:fldCharType="begin"/>
          </w:r>
          <w:r>
            <w:rPr>
              <w:rFonts w:hint="eastAsia" w:ascii="黑体" w:hAnsi="黑体" w:eastAsia="黑体" w:cs="黑体"/>
              <w:highlight w:val="none"/>
            </w:rPr>
            <w:instrText xml:space="preserve"> PAGEREF _Toc19923 \h </w:instrText>
          </w:r>
          <w:r>
            <w:rPr>
              <w:rFonts w:hint="eastAsia" w:ascii="黑体" w:hAnsi="黑体" w:eastAsia="黑体" w:cs="黑体"/>
              <w:highlight w:val="none"/>
            </w:rPr>
            <w:fldChar w:fldCharType="separate"/>
          </w:r>
          <w:r>
            <w:rPr>
              <w:rFonts w:hint="eastAsia" w:ascii="黑体" w:hAnsi="黑体" w:eastAsia="黑体" w:cs="黑体"/>
              <w:highlight w:val="none"/>
            </w:rPr>
            <w:t>20</w:t>
          </w:r>
          <w:r>
            <w:rPr>
              <w:rFonts w:hint="eastAsia" w:ascii="黑体" w:hAnsi="黑体" w:eastAsia="黑体" w:cs="黑体"/>
              <w:highlight w:val="none"/>
            </w:rPr>
            <w:fldChar w:fldCharType="end"/>
          </w:r>
          <w:r>
            <w:rPr>
              <w:rFonts w:hint="eastAsia" w:ascii="黑体" w:hAnsi="黑体" w:eastAsia="黑体" w:cs="黑体"/>
              <w:highlight w:val="none"/>
            </w:rPr>
            <w:fldChar w:fldCharType="end"/>
          </w:r>
        </w:p>
        <w:p w14:paraId="054C6049">
          <w:pPr>
            <w:pStyle w:val="5"/>
            <w:tabs>
              <w:tab w:val="right" w:leader="dot" w:pos="8306"/>
            </w:tabs>
            <w:ind w:firstLine="400"/>
            <w:rPr>
              <w:rFonts w:ascii="Times New Roman" w:hAnsi="Times New Roman" w:cs="Times New Roman"/>
              <w:highlight w:val="none"/>
            </w:rPr>
          </w:pPr>
          <w:r>
            <w:rPr>
              <w:rFonts w:hint="eastAsia" w:ascii="黑体" w:hAnsi="黑体" w:eastAsia="黑体" w:cs="黑体"/>
              <w:highlight w:val="none"/>
            </w:rPr>
            <w:fldChar w:fldCharType="begin"/>
          </w:r>
          <w:r>
            <w:rPr>
              <w:rFonts w:hint="eastAsia" w:ascii="黑体" w:hAnsi="黑体" w:eastAsia="黑体" w:cs="黑体"/>
              <w:highlight w:val="none"/>
            </w:rPr>
            <w:instrText xml:space="preserve"> HYPERLINK \l "_Toc5978" </w:instrText>
          </w:r>
          <w:r>
            <w:rPr>
              <w:rFonts w:hint="eastAsia" w:ascii="黑体" w:hAnsi="黑体" w:eastAsia="黑体" w:cs="黑体"/>
              <w:highlight w:val="none"/>
            </w:rPr>
            <w:fldChar w:fldCharType="separate"/>
          </w:r>
          <w:r>
            <w:rPr>
              <w:rFonts w:hint="eastAsia" w:ascii="黑体" w:hAnsi="黑体" w:eastAsia="黑体" w:cs="黑体"/>
              <w:szCs w:val="21"/>
              <w:highlight w:val="none"/>
            </w:rPr>
            <w:t xml:space="preserve">12 </w:t>
          </w:r>
          <w:r>
            <w:rPr>
              <w:rFonts w:hint="eastAsia" w:ascii="黑体" w:hAnsi="黑体" w:eastAsia="黑体" w:cs="黑体"/>
              <w:highlight w:val="none"/>
            </w:rPr>
            <w:t>其他应予以说明的事项</w:t>
          </w:r>
          <w:r>
            <w:rPr>
              <w:rFonts w:hint="eastAsia" w:ascii="黑体" w:hAnsi="黑体" w:eastAsia="黑体" w:cs="黑体"/>
              <w:highlight w:val="none"/>
            </w:rPr>
            <w:tab/>
          </w:r>
          <w:r>
            <w:rPr>
              <w:rFonts w:hint="eastAsia" w:ascii="黑体" w:hAnsi="黑体" w:eastAsia="黑体" w:cs="黑体"/>
              <w:highlight w:val="none"/>
            </w:rPr>
            <w:fldChar w:fldCharType="begin"/>
          </w:r>
          <w:r>
            <w:rPr>
              <w:rFonts w:hint="eastAsia" w:ascii="黑体" w:hAnsi="黑体" w:eastAsia="黑体" w:cs="黑体"/>
              <w:highlight w:val="none"/>
            </w:rPr>
            <w:instrText xml:space="preserve"> PAGEREF _Toc5978 \h </w:instrText>
          </w:r>
          <w:r>
            <w:rPr>
              <w:rFonts w:hint="eastAsia" w:ascii="黑体" w:hAnsi="黑体" w:eastAsia="黑体" w:cs="黑体"/>
              <w:highlight w:val="none"/>
            </w:rPr>
            <w:fldChar w:fldCharType="separate"/>
          </w:r>
          <w:r>
            <w:rPr>
              <w:rFonts w:hint="eastAsia" w:ascii="黑体" w:hAnsi="黑体" w:eastAsia="黑体" w:cs="黑体"/>
              <w:highlight w:val="none"/>
            </w:rPr>
            <w:t>20</w:t>
          </w:r>
          <w:r>
            <w:rPr>
              <w:rFonts w:hint="eastAsia" w:ascii="黑体" w:hAnsi="黑体" w:eastAsia="黑体" w:cs="黑体"/>
              <w:highlight w:val="none"/>
            </w:rPr>
            <w:fldChar w:fldCharType="end"/>
          </w:r>
          <w:r>
            <w:rPr>
              <w:rFonts w:hint="eastAsia" w:ascii="黑体" w:hAnsi="黑体" w:eastAsia="黑体" w:cs="黑体"/>
              <w:highlight w:val="none"/>
            </w:rPr>
            <w:fldChar w:fldCharType="end"/>
          </w:r>
        </w:p>
        <w:p w14:paraId="5E167622">
          <w:pPr>
            <w:ind w:firstLine="400"/>
            <w:rPr>
              <w:rFonts w:ascii="Times New Roman" w:hAnsi="Times New Roman" w:eastAsia="宋体" w:cs="Times New Roman"/>
              <w:szCs w:val="21"/>
              <w:highlight w:val="none"/>
            </w:rPr>
          </w:pPr>
          <w:r>
            <w:rPr>
              <w:rFonts w:ascii="Times New Roman" w:hAnsi="Times New Roman" w:cs="Times New Roman"/>
              <w:highlight w:val="none"/>
            </w:rPr>
            <w:fldChar w:fldCharType="end"/>
          </w:r>
        </w:p>
      </w:sdtContent>
    </w:sdt>
    <w:p w14:paraId="58EB0700">
      <w:pPr>
        <w:ind w:left="420" w:hanging="420" w:hangingChars="200"/>
        <w:jc w:val="left"/>
        <w:rPr>
          <w:rFonts w:ascii="Times New Roman" w:hAnsi="Times New Roman" w:eastAsia="宋体" w:cs="Times New Roman"/>
          <w:szCs w:val="21"/>
          <w:highlight w:val="none"/>
        </w:rPr>
        <w:sectPr>
          <w:headerReference r:id="rId3" w:type="default"/>
          <w:footerReference r:id="rId4" w:type="default"/>
          <w:footerReference r:id="rId5" w:type="even"/>
          <w:pgSz w:w="11906" w:h="16838"/>
          <w:pgMar w:top="1440" w:right="1800" w:bottom="1440" w:left="1800" w:header="851" w:footer="992" w:gutter="0"/>
          <w:pgBorders>
            <w:top w:val="none" w:sz="0" w:space="0"/>
            <w:left w:val="none" w:sz="0" w:space="0"/>
            <w:bottom w:val="none" w:sz="0" w:space="0"/>
            <w:right w:val="none" w:sz="0" w:space="0"/>
          </w:pgBorders>
          <w:pgNumType w:start="1"/>
          <w:cols w:space="425" w:num="1"/>
          <w:docGrid w:type="lines" w:linePitch="312" w:charSpace="0"/>
        </w:sectPr>
      </w:pPr>
    </w:p>
    <w:p w14:paraId="1A53ED52">
      <w:pPr>
        <w:ind w:left="640" w:hanging="640" w:hangingChars="200"/>
        <w:jc w:val="left"/>
        <w:rPr>
          <w:rFonts w:ascii="Times New Roman" w:hAnsi="Times New Roman" w:eastAsia="黑体" w:cs="Times New Roman"/>
          <w:sz w:val="32"/>
          <w:szCs w:val="32"/>
          <w:highlight w:val="none"/>
        </w:rPr>
      </w:pPr>
    </w:p>
    <w:p w14:paraId="20C41212">
      <w:pPr>
        <w:widowControl/>
        <w:ind w:firstLine="640"/>
        <w:jc w:val="left"/>
        <w:rPr>
          <w:rFonts w:ascii="Times New Roman" w:hAnsi="Times New Roman" w:eastAsia="黑体" w:cs="Times New Roman"/>
          <w:szCs w:val="21"/>
          <w:highlight w:val="none"/>
        </w:rPr>
      </w:pPr>
      <w:r>
        <w:rPr>
          <w:rFonts w:ascii="Times New Roman" w:hAnsi="Times New Roman" w:eastAsia="黑体" w:cs="Times New Roman"/>
          <w:sz w:val="32"/>
          <w:szCs w:val="32"/>
          <w:highlight w:val="none"/>
        </w:rPr>
        <w:br w:type="page"/>
      </w:r>
      <w:bookmarkStart w:id="2" w:name="_Toc39_WPSOffice_Level1"/>
    </w:p>
    <w:bookmarkEnd w:id="2"/>
    <w:p w14:paraId="1CF6079F">
      <w:pPr>
        <w:ind w:firstLine="400"/>
        <w:jc w:val="center"/>
        <w:rPr>
          <w:rFonts w:ascii="Times New Roman" w:hAnsi="Times New Roman" w:eastAsia="黑体" w:cs="Times New Roman"/>
          <w:szCs w:val="21"/>
          <w:highlight w:val="none"/>
        </w:rPr>
      </w:pPr>
      <w:bookmarkStart w:id="3" w:name="_Toc12533_WPSOffice_Level1"/>
      <w:r>
        <w:rPr>
          <w:rFonts w:hint="eastAsia" w:ascii="Times New Roman" w:hAnsi="Times New Roman" w:eastAsia="黑体" w:cs="Times New Roman"/>
          <w:szCs w:val="21"/>
          <w:highlight w:val="none"/>
          <w:lang w:eastAsia="zh-CN"/>
        </w:rPr>
        <w:t>温室气体</w:t>
      </w:r>
      <w:r>
        <w:rPr>
          <w:rFonts w:ascii="Times New Roman" w:hAnsi="Times New Roman" w:eastAsia="黑体" w:cs="Times New Roman"/>
          <w:szCs w:val="21"/>
          <w:highlight w:val="none"/>
        </w:rPr>
        <w:t>高精度自动监测技术规范</w:t>
      </w:r>
    </w:p>
    <w:p w14:paraId="258F1264">
      <w:pPr>
        <w:ind w:firstLine="400"/>
        <w:jc w:val="center"/>
        <w:rPr>
          <w:rFonts w:ascii="Times New Roman" w:hAnsi="Times New Roman" w:eastAsia="黑体" w:cs="Times New Roman"/>
          <w:szCs w:val="21"/>
          <w:highlight w:val="none"/>
        </w:rPr>
      </w:pPr>
      <w:r>
        <w:rPr>
          <w:rFonts w:ascii="Times New Roman" w:hAnsi="Times New Roman" w:eastAsia="黑体" w:cs="Times New Roman"/>
          <w:szCs w:val="21"/>
          <w:highlight w:val="none"/>
        </w:rPr>
        <w:t>编制说明</w:t>
      </w:r>
      <w:bookmarkEnd w:id="3"/>
    </w:p>
    <w:p w14:paraId="7CC13F92">
      <w:pPr>
        <w:ind w:firstLine="400"/>
        <w:jc w:val="center"/>
        <w:rPr>
          <w:rFonts w:ascii="Times New Roman" w:hAnsi="Times New Roman" w:eastAsia="楷体" w:cs="Times New Roman"/>
          <w:szCs w:val="21"/>
          <w:highlight w:val="none"/>
        </w:rPr>
      </w:pPr>
      <w:bookmarkStart w:id="4" w:name="_Toc5353_WPSOffice_Level1"/>
      <w:r>
        <w:rPr>
          <w:rFonts w:hint="eastAsia" w:ascii="Times New Roman" w:hAnsi="Times New Roman" w:eastAsia="楷体" w:cs="Times New Roman"/>
          <w:szCs w:val="21"/>
          <w:highlight w:val="none"/>
        </w:rPr>
        <w:t>（</w:t>
      </w:r>
      <w:r>
        <w:rPr>
          <w:rFonts w:ascii="Times New Roman" w:hAnsi="Times New Roman" w:eastAsia="楷体" w:cs="Times New Roman"/>
          <w:szCs w:val="21"/>
          <w:highlight w:val="none"/>
        </w:rPr>
        <w:t>征求意见稿</w:t>
      </w:r>
      <w:r>
        <w:rPr>
          <w:rFonts w:hint="eastAsia" w:ascii="Times New Roman" w:hAnsi="Times New Roman" w:eastAsia="楷体" w:cs="Times New Roman"/>
          <w:szCs w:val="21"/>
          <w:highlight w:val="none"/>
        </w:rPr>
        <w:t>）</w:t>
      </w:r>
      <w:bookmarkEnd w:id="4"/>
    </w:p>
    <w:p w14:paraId="1CB0BB8D">
      <w:pPr>
        <w:pStyle w:val="10"/>
        <w:rPr>
          <w:rFonts w:ascii="Times New Roman"/>
          <w:highlight w:val="none"/>
        </w:rPr>
      </w:pPr>
      <w:bookmarkStart w:id="5" w:name="_Toc12533_WPSOffice_Level2"/>
      <w:bookmarkStart w:id="6" w:name="_Toc19361"/>
      <w:bookmarkStart w:id="7" w:name="_Toc31432"/>
      <w:r>
        <w:rPr>
          <w:rFonts w:ascii="Times New Roman"/>
          <w:highlight w:val="none"/>
        </w:rPr>
        <w:t>任务来源</w:t>
      </w:r>
      <w:bookmarkEnd w:id="5"/>
      <w:bookmarkEnd w:id="6"/>
      <w:bookmarkEnd w:id="7"/>
    </w:p>
    <w:p w14:paraId="4317DF46">
      <w:pPr>
        <w:pStyle w:val="11"/>
        <w:rPr>
          <w:highlight w:val="none"/>
        </w:rPr>
      </w:pPr>
      <w:r>
        <w:rPr>
          <w:highlight w:val="none"/>
        </w:rPr>
        <w:t>2023年5月，根据陕西省市场监督管理局《关于下达2023年陕西省地方标准制修订项目计划的通知》（陕市监函〔2023〕410号），下达了《温室气体高精度自动监测技术规范》标准制修订项目任务，项目编号为SDBXM045-2023。项目承担单位：陕西省环境监测中心站</w:t>
      </w:r>
      <w:r>
        <w:rPr>
          <w:rFonts w:hint="eastAsia"/>
          <w:highlight w:val="none"/>
        </w:rPr>
        <w:t>、</w:t>
      </w:r>
      <w:r>
        <w:rPr>
          <w:highlight w:val="none"/>
        </w:rPr>
        <w:t>中国科学院西安光学精密机械研究所</w:t>
      </w:r>
      <w:r>
        <w:rPr>
          <w:rFonts w:hint="eastAsia"/>
          <w:highlight w:val="none"/>
        </w:rPr>
        <w:t>、西安邮电大学、铜川市环境监测站</w:t>
      </w:r>
      <w:r>
        <w:rPr>
          <w:highlight w:val="none"/>
        </w:rPr>
        <w:t>。</w:t>
      </w:r>
    </w:p>
    <w:p w14:paraId="05DD4C1C">
      <w:pPr>
        <w:pStyle w:val="10"/>
        <w:rPr>
          <w:rFonts w:ascii="Times New Roman"/>
          <w:highlight w:val="none"/>
        </w:rPr>
      </w:pPr>
      <w:bookmarkStart w:id="8" w:name="_Toc12538"/>
      <w:bookmarkStart w:id="9" w:name="_Toc11246"/>
      <w:r>
        <w:rPr>
          <w:rFonts w:ascii="Times New Roman"/>
          <w:highlight w:val="none"/>
        </w:rPr>
        <w:t>目的意义</w:t>
      </w:r>
      <w:bookmarkEnd w:id="8"/>
      <w:bookmarkEnd w:id="9"/>
    </w:p>
    <w:p w14:paraId="15BD932F">
      <w:pPr>
        <w:pStyle w:val="12"/>
        <w:tabs>
          <w:tab w:val="center" w:pos="4201"/>
          <w:tab w:val="right" w:leader="dot" w:pos="9298"/>
        </w:tabs>
        <w:rPr>
          <w:rFonts w:ascii="Times New Roman"/>
          <w:highlight w:val="none"/>
          <w:lang w:val="zh-CN"/>
        </w:rPr>
      </w:pPr>
      <w:bookmarkStart w:id="10" w:name="_Toc18927"/>
      <w:bookmarkStart w:id="11" w:name="_Toc3894"/>
      <w:r>
        <w:rPr>
          <w:rFonts w:ascii="Times New Roman"/>
          <w:highlight w:val="none"/>
          <w:lang w:val="zh-CN"/>
        </w:rPr>
        <w:t>2.1温室气体减排是我国在全球气候治理中大国担当的体现</w:t>
      </w:r>
      <w:bookmarkEnd w:id="10"/>
      <w:bookmarkEnd w:id="11"/>
    </w:p>
    <w:p w14:paraId="24C430B7">
      <w:pPr>
        <w:pStyle w:val="11"/>
        <w:rPr>
          <w:highlight w:val="none"/>
        </w:rPr>
      </w:pPr>
      <w:r>
        <w:rPr>
          <w:highlight w:val="none"/>
        </w:rPr>
        <w:t>近年来由于全球变暖所导致的一系列灾难事件频发，全人类对于控制全球变暖、降低温室气体排放这一目标形成了统一的共识并采取相应行动。1992年，IPPC提出第一个气候公约《联合国气候变化框架公约》；中国政府于2009年在哥本哈根气候变化会议上提出到2020年二氧化碳排放量比2005年下降40%</w:t>
      </w:r>
      <w:r>
        <w:rPr>
          <w:rFonts w:hint="eastAsia"/>
          <w:highlight w:val="none"/>
        </w:rPr>
        <w:t>～</w:t>
      </w:r>
      <w:r>
        <w:rPr>
          <w:highlight w:val="none"/>
        </w:rPr>
        <w:t>50%的目标。习近平总书记在2020年9月第七十五届联合国大会一般性辩论上提出“力争于2030年前达到碳峰值，努力争取2060年前实现碳中和，即</w:t>
      </w:r>
      <w:r>
        <w:rPr>
          <w:rFonts w:hint="eastAsia" w:asciiTheme="minorEastAsia" w:hAnsiTheme="minorEastAsia" w:eastAsiaTheme="minorEastAsia" w:cstheme="minorEastAsia"/>
          <w:highlight w:val="none"/>
        </w:rPr>
        <w:t>“双碳目标”</w:t>
      </w:r>
      <w:r>
        <w:rPr>
          <w:highlight w:val="none"/>
        </w:rPr>
        <w:t>。</w:t>
      </w:r>
    </w:p>
    <w:p w14:paraId="158DB0A1">
      <w:pPr>
        <w:pStyle w:val="12"/>
        <w:tabs>
          <w:tab w:val="center" w:pos="4201"/>
          <w:tab w:val="right" w:leader="dot" w:pos="9298"/>
        </w:tabs>
        <w:rPr>
          <w:rFonts w:ascii="Times New Roman"/>
          <w:highlight w:val="none"/>
          <w:lang w:val="zh-CN"/>
        </w:rPr>
      </w:pPr>
      <w:bookmarkStart w:id="12" w:name="_Toc28558"/>
      <w:bookmarkStart w:id="13" w:name="_Toc321"/>
      <w:r>
        <w:rPr>
          <w:rFonts w:ascii="Times New Roman"/>
          <w:highlight w:val="none"/>
          <w:lang w:val="zh-CN"/>
        </w:rPr>
        <w:t>2.2建立温室气体监测标准体系是落实中省应对气候变化工作部署的必然之举</w:t>
      </w:r>
      <w:bookmarkEnd w:id="12"/>
      <w:bookmarkEnd w:id="13"/>
    </w:p>
    <w:p w14:paraId="77BDC349">
      <w:pPr>
        <w:pStyle w:val="11"/>
        <w:rPr>
          <w:highlight w:val="none"/>
        </w:rPr>
      </w:pPr>
      <w:r>
        <w:rPr>
          <w:highlight w:val="none"/>
        </w:rPr>
        <w:t>为提升我国碳排放核算能力、科学评估</w:t>
      </w:r>
      <w:bookmarkStart w:id="14" w:name="_Hlk145080070"/>
      <w:r>
        <w:rPr>
          <w:highlight w:val="none"/>
        </w:rPr>
        <w:t>双碳目标行动成效</w:t>
      </w:r>
      <w:bookmarkEnd w:id="14"/>
      <w:r>
        <w:rPr>
          <w:highlight w:val="none"/>
        </w:rPr>
        <w:t>，2021年，中共中央、国务院印发了《国家标准化发展纲要》，提出完善绿色发展标准化保障，要求</w:t>
      </w:r>
      <w:r>
        <w:rPr>
          <w:rFonts w:hint="eastAsia" w:asciiTheme="minorEastAsia" w:hAnsiTheme="minorEastAsia" w:eastAsiaTheme="minorEastAsia" w:cstheme="minorEastAsia"/>
          <w:highlight w:val="none"/>
        </w:rPr>
        <w:t>“完善能源核算、检测认证、评估、审计等配套标准。加快完善地区、行业、企业、产品等碳排放核查核算标准”</w:t>
      </w:r>
      <w:r>
        <w:rPr>
          <w:highlight w:val="none"/>
        </w:rPr>
        <w:t>。温室气体监测是碳排放核算和评估双碳目标行动成效的重要支撑。2021年，生态环境部印发《关于统筹和加强应对气候变化与生态环境保护相关工作的指导意见》和《</w:t>
      </w:r>
      <w:r>
        <w:rPr>
          <w:rFonts w:hint="eastAsia" w:asciiTheme="minorEastAsia" w:hAnsiTheme="minorEastAsia" w:eastAsiaTheme="minorEastAsia" w:cstheme="minorEastAsia"/>
          <w:highlight w:val="none"/>
        </w:rPr>
        <w:t>“十四五”</w:t>
      </w:r>
      <w:r>
        <w:rPr>
          <w:highlight w:val="none"/>
        </w:rPr>
        <w:t>生态环境监测规划》，前者提出</w:t>
      </w:r>
      <w:r>
        <w:rPr>
          <w:rFonts w:hint="eastAsia" w:asciiTheme="minorEastAsia" w:hAnsiTheme="minorEastAsia" w:eastAsiaTheme="minorEastAsia" w:cstheme="minorEastAsia"/>
          <w:highlight w:val="none"/>
        </w:rPr>
        <w:t>“加强温室气体监测，逐步纳入生态环境监测体系统筹实施”的要求；后者明确指出“要补齐碳监测技术短板”</w:t>
      </w:r>
      <w:r>
        <w:rPr>
          <w:highlight w:val="none"/>
        </w:rPr>
        <w:t>。构建温室气体监测技术体系，加强主要温室气体及其同位素监测分析技术研究。为进一步落实国家</w:t>
      </w:r>
      <w:r>
        <w:rPr>
          <w:rFonts w:hint="eastAsia" w:asciiTheme="minorEastAsia" w:hAnsiTheme="minorEastAsia" w:eastAsiaTheme="minorEastAsia" w:cstheme="minorEastAsia"/>
          <w:highlight w:val="none"/>
        </w:rPr>
        <w:t>“减污降碳”</w:t>
      </w:r>
      <w:r>
        <w:rPr>
          <w:highlight w:val="none"/>
        </w:rPr>
        <w:t>总要求，2022年陕西省委省政府在印发的《关于深入打好污染防治攻坚战的若干措施》，提出</w:t>
      </w:r>
      <w:r>
        <w:rPr>
          <w:rFonts w:hint="eastAsia" w:asciiTheme="minorEastAsia" w:hAnsiTheme="minorEastAsia" w:eastAsiaTheme="minorEastAsia" w:cstheme="minorEastAsia"/>
          <w:highlight w:val="none"/>
        </w:rPr>
        <w:t>“加强甲烷等温室气体排放管控，将温室气体管控纳入环评管理”</w:t>
      </w:r>
      <w:r>
        <w:rPr>
          <w:highlight w:val="none"/>
        </w:rPr>
        <w:t>。</w:t>
      </w:r>
    </w:p>
    <w:p w14:paraId="45F9CD91">
      <w:pPr>
        <w:pStyle w:val="11"/>
        <w:rPr>
          <w:highlight w:val="none"/>
        </w:rPr>
      </w:pPr>
      <w:r>
        <w:rPr>
          <w:highlight w:val="none"/>
        </w:rPr>
        <w:t>为响应中省应对气候变化的工作部署，针对我省乃至全国温室气体监测技术体系不健全的问题，</w:t>
      </w:r>
      <w:r>
        <w:rPr>
          <w:rFonts w:hint="eastAsia"/>
          <w:highlight w:val="none"/>
          <w:lang w:eastAsia="zh-CN"/>
        </w:rPr>
        <w:t>亟须建立</w:t>
      </w:r>
      <w:r>
        <w:rPr>
          <w:highlight w:val="none"/>
        </w:rPr>
        <w:t>一套科学的温室气体监测标准体系。</w:t>
      </w:r>
    </w:p>
    <w:p w14:paraId="1B500BDE">
      <w:pPr>
        <w:pStyle w:val="12"/>
        <w:tabs>
          <w:tab w:val="center" w:pos="4201"/>
          <w:tab w:val="right" w:leader="dot" w:pos="9298"/>
        </w:tabs>
        <w:rPr>
          <w:rFonts w:ascii="Times New Roman"/>
          <w:highlight w:val="none"/>
          <w:lang w:val="zh-CN"/>
        </w:rPr>
      </w:pPr>
      <w:bookmarkStart w:id="15" w:name="_Toc31206"/>
      <w:bookmarkStart w:id="16" w:name="_Toc7724"/>
      <w:r>
        <w:rPr>
          <w:rFonts w:ascii="Times New Roman"/>
          <w:highlight w:val="none"/>
          <w:lang w:val="zh-CN"/>
        </w:rPr>
        <w:t>2.3构建温室气体高精度监测技术规范是提升温室气体监测能力的需要</w:t>
      </w:r>
      <w:bookmarkEnd w:id="15"/>
      <w:bookmarkEnd w:id="16"/>
    </w:p>
    <w:p w14:paraId="68E41578">
      <w:pPr>
        <w:pStyle w:val="11"/>
        <w:rPr>
          <w:highlight w:val="none"/>
        </w:rPr>
      </w:pPr>
      <w:r>
        <w:rPr>
          <w:highlight w:val="none"/>
        </w:rPr>
        <w:t>背景空气CO</w:t>
      </w:r>
      <w:r>
        <w:rPr>
          <w:highlight w:val="none"/>
          <w:vertAlign w:val="subscript"/>
        </w:rPr>
        <w:t>2</w:t>
      </w:r>
      <w:r>
        <w:rPr>
          <w:highlight w:val="none"/>
        </w:rPr>
        <w:t>浓度和环境中实际CO</w:t>
      </w:r>
      <w:r>
        <w:rPr>
          <w:highlight w:val="none"/>
          <w:vertAlign w:val="subscript"/>
        </w:rPr>
        <w:t>2</w:t>
      </w:r>
      <w:r>
        <w:rPr>
          <w:highlight w:val="none"/>
        </w:rPr>
        <w:t>浓度存在量级上的差异，致使二氧化碳监测成为目前所有环境监测项目中对监测数据正确度要求最高的一类项目。同时与常规大气污染物相比，二氧化碳在稳定的环境中变化较小，要体现监测数据很微小的变化趋势，则对监测设备的稳定性和准确性要求更高。国内目前没有针对温室气体高精度自动监测技术的相关规范，为了提高温室气体数据质量，急需规范温室气体高精度自动监测技术，为温室气体监测质量保证和质量控制提供技术支撑，从而更好</w:t>
      </w:r>
      <w:r>
        <w:rPr>
          <w:rFonts w:hint="eastAsia"/>
          <w:highlight w:val="none"/>
        </w:rPr>
        <w:t>地</w:t>
      </w:r>
      <w:r>
        <w:rPr>
          <w:highlight w:val="none"/>
        </w:rPr>
        <w:t>指导各地开展高水平高质量的温室气体监测工作，助力国家</w:t>
      </w:r>
      <w:r>
        <w:rPr>
          <w:rFonts w:hint="eastAsia" w:asciiTheme="minorEastAsia" w:hAnsiTheme="minorEastAsia" w:eastAsiaTheme="minorEastAsia" w:cstheme="minorEastAsia"/>
          <w:highlight w:val="none"/>
        </w:rPr>
        <w:t>“双碳”</w:t>
      </w:r>
      <w:r>
        <w:rPr>
          <w:highlight w:val="none"/>
        </w:rPr>
        <w:t>工作的落实。</w:t>
      </w:r>
    </w:p>
    <w:p w14:paraId="7489BAB7">
      <w:pPr>
        <w:pStyle w:val="10"/>
        <w:rPr>
          <w:rFonts w:ascii="Times New Roman"/>
          <w:highlight w:val="none"/>
        </w:rPr>
      </w:pPr>
      <w:bookmarkStart w:id="17" w:name="_Toc23100"/>
      <w:bookmarkStart w:id="18" w:name="_Toc25938"/>
      <w:bookmarkStart w:id="19" w:name="_Toc87279225"/>
      <w:bookmarkStart w:id="20" w:name="_Toc105418150"/>
      <w:bookmarkStart w:id="21" w:name="_Toc87543398"/>
      <w:r>
        <w:rPr>
          <w:rFonts w:ascii="Times New Roman"/>
          <w:highlight w:val="none"/>
        </w:rPr>
        <w:t>国内外研究进展</w:t>
      </w:r>
      <w:bookmarkEnd w:id="17"/>
      <w:bookmarkEnd w:id="18"/>
    </w:p>
    <w:p w14:paraId="62CCF158">
      <w:pPr>
        <w:pStyle w:val="11"/>
        <w:rPr>
          <w:highlight w:val="none"/>
        </w:rPr>
      </w:pPr>
      <w:bookmarkStart w:id="22" w:name="_Toc4756"/>
      <w:r>
        <w:rPr>
          <w:highlight w:val="none"/>
        </w:rPr>
        <w:t>规范温室气体高精度自动监测是保障温室气体数据质量的关键，温室气体检测方法主要有气相色谱法、离轴积分腔输出光谱法、傅里叶光谱法、光声光谱法等。区别于其他光学检测手段，光声光谱技术是一种间接的光谱检测技术，是一种无背景噪声的吸收光谱技术，具有灵敏度高、响应时间快和气体选择性强等特点。此外光声系统结构相对简单，不需要复杂的光路校准过程，因此光声光谱技术已成为痕量气体检测的一种重要技术手段。近年来，融合光纤传感技术与光声光谱技术的全光学光声光谱气体检测技术得到迅速发展。在全光学光声光谱系统中，光声信号通过光学声波传感器进行探测，避免使用电子探测元件，具有抗电磁干扰的特点，同时系统中全光学的设计可以极大地减小光声系统的体积。在指定相关检测标准制定方面，2017年由中国气象局牵头制定了基于离轴积分腔输出光谱法的二氧化碳和甲烷测量国家标准（GB/T 34286-2017和GB/T 34287-2017）。2011年国际上ISO发布了针对固定源排放的气相色谱法测定甲烷浓度方法的标准（ISO 25139-2011）。总体上来说，温室气体自动监测相关技术标准相对缺乏，需要进一步明确规范，为温室气体监测的质量保证和质量控制提供技术支撑。</w:t>
      </w:r>
      <w:bookmarkEnd w:id="22"/>
    </w:p>
    <w:p w14:paraId="6B53A857">
      <w:pPr>
        <w:pStyle w:val="10"/>
        <w:rPr>
          <w:rFonts w:ascii="Times New Roman"/>
          <w:highlight w:val="none"/>
        </w:rPr>
      </w:pPr>
      <w:bookmarkStart w:id="23" w:name="_Toc27079"/>
      <w:bookmarkStart w:id="24" w:name="_Toc30959"/>
      <w:r>
        <w:rPr>
          <w:rFonts w:ascii="Times New Roman"/>
          <w:highlight w:val="none"/>
        </w:rPr>
        <w:t>主要工作过程</w:t>
      </w:r>
      <w:bookmarkEnd w:id="23"/>
      <w:bookmarkEnd w:id="24"/>
    </w:p>
    <w:p w14:paraId="036DF69D">
      <w:pPr>
        <w:pStyle w:val="12"/>
        <w:numPr>
          <w:ilvl w:val="1"/>
          <w:numId w:val="1"/>
        </w:numPr>
        <w:tabs>
          <w:tab w:val="center" w:pos="4201"/>
          <w:tab w:val="right" w:leader="dot" w:pos="9298"/>
        </w:tabs>
        <w:rPr>
          <w:rFonts w:ascii="Times New Roman"/>
          <w:highlight w:val="none"/>
        </w:rPr>
      </w:pPr>
      <w:bookmarkStart w:id="25" w:name="_Toc6169"/>
      <w:bookmarkStart w:id="26" w:name="_Toc15200"/>
      <w:r>
        <w:rPr>
          <w:rFonts w:ascii="Times New Roman"/>
          <w:highlight w:val="none"/>
        </w:rPr>
        <w:t>成立标准编制组</w:t>
      </w:r>
      <w:bookmarkEnd w:id="19"/>
      <w:bookmarkEnd w:id="20"/>
      <w:bookmarkEnd w:id="21"/>
      <w:bookmarkEnd w:id="25"/>
      <w:bookmarkEnd w:id="26"/>
    </w:p>
    <w:p w14:paraId="2C9A92D1">
      <w:pPr>
        <w:pStyle w:val="11"/>
        <w:rPr>
          <w:highlight w:val="none"/>
        </w:rPr>
      </w:pPr>
      <w:r>
        <w:rPr>
          <w:highlight w:val="none"/>
        </w:rPr>
        <w:t>2023年1月，陕西省环境监测中心站根据计划通知，立即成立了标准起草组。标准起草组综合分析国内外相关技术资料，研究现有温室气体自动监测仪器的技术现状、功能和主要参数，调研我省乃至全国温室气体自动监测和管理要求，提出</w:t>
      </w:r>
      <w:r>
        <w:rPr>
          <w:rFonts w:hint="eastAsia"/>
          <w:highlight w:val="none"/>
        </w:rPr>
        <w:t>相</w:t>
      </w:r>
      <w:r>
        <w:rPr>
          <w:highlight w:val="none"/>
        </w:rPr>
        <w:t>应的解决方案。研究近年来温室气体自动监测系统原理、结构和功能的提升，提出对仪器功能和性能指标的要求，从采样流量、参数控制、温度影响等各个环节把控仪器质量。依据2021年至今的适用性检验经验，在此基础上完成了标准申请书和草案。</w:t>
      </w:r>
    </w:p>
    <w:p w14:paraId="40FF3517">
      <w:pPr>
        <w:pStyle w:val="12"/>
        <w:numPr>
          <w:ilvl w:val="1"/>
          <w:numId w:val="1"/>
        </w:numPr>
        <w:tabs>
          <w:tab w:val="center" w:pos="4201"/>
          <w:tab w:val="right" w:leader="dot" w:pos="9298"/>
        </w:tabs>
        <w:rPr>
          <w:rFonts w:ascii="Times New Roman"/>
          <w:highlight w:val="none"/>
        </w:rPr>
      </w:pPr>
      <w:bookmarkStart w:id="27" w:name="_Toc26003"/>
      <w:bookmarkStart w:id="28" w:name="_Toc9107"/>
      <w:r>
        <w:rPr>
          <w:rFonts w:ascii="Times New Roman"/>
          <w:highlight w:val="none"/>
        </w:rPr>
        <w:t>完成标准征求意见稿</w:t>
      </w:r>
      <w:bookmarkEnd w:id="27"/>
      <w:bookmarkEnd w:id="28"/>
    </w:p>
    <w:p w14:paraId="19A4930B">
      <w:pPr>
        <w:numPr>
          <w:ilvl w:val="2"/>
          <w:numId w:val="1"/>
        </w:numPr>
        <w:ind w:left="0" w:firstLine="420"/>
        <w:rPr>
          <w:rFonts w:ascii="Times New Roman" w:hAnsi="Times New Roman" w:eastAsia="黑体" w:cs="Times New Roman"/>
          <w:szCs w:val="24"/>
          <w:highlight w:val="none"/>
          <w:lang w:val="zh-CN"/>
        </w:rPr>
      </w:pPr>
      <w:r>
        <w:rPr>
          <w:rFonts w:ascii="Times New Roman" w:hAnsi="Times New Roman" w:eastAsia="黑体" w:cs="Times New Roman"/>
          <w:szCs w:val="24"/>
          <w:highlight w:val="none"/>
          <w:lang w:val="zh-CN"/>
        </w:rPr>
        <w:t>形成标准征求意见稿（第一稿）</w:t>
      </w:r>
    </w:p>
    <w:p w14:paraId="59A9BEBF">
      <w:pPr>
        <w:pStyle w:val="11"/>
        <w:rPr>
          <w:highlight w:val="none"/>
          <w:lang w:val="zh-CN"/>
        </w:rPr>
      </w:pPr>
      <w:r>
        <w:rPr>
          <w:highlight w:val="none"/>
          <w:lang w:val="zh-CN"/>
        </w:rPr>
        <w:t>2023年5</w:t>
      </w:r>
      <w:r>
        <w:rPr>
          <w:rFonts w:hint="eastAsia"/>
          <w:highlight w:val="none"/>
          <w:lang w:val="en-US" w:eastAsia="zh-CN"/>
        </w:rPr>
        <w:t>月~</w:t>
      </w:r>
      <w:r>
        <w:rPr>
          <w:highlight w:val="none"/>
          <w:lang w:val="zh-CN"/>
        </w:rPr>
        <w:t>7月，</w:t>
      </w:r>
      <w:bookmarkStart w:id="29" w:name="_Hlk145087383"/>
      <w:r>
        <w:rPr>
          <w:highlight w:val="none"/>
          <w:lang w:val="zh-CN"/>
        </w:rPr>
        <w:t>项目起草组</w:t>
      </w:r>
      <w:bookmarkEnd w:id="29"/>
      <w:r>
        <w:rPr>
          <w:highlight w:val="none"/>
          <w:lang w:val="zh-CN"/>
        </w:rPr>
        <w:t>接到此项标准制修订任务后，再次组织人员对收集的相关资料进行深入分析和对比；对标准草案中的技术性能要求、安装、调试与验收、系统日常运行维护、质量保证和质量控制、数据有效性判断等技术要求，开展实验验证和技术讨论工作，</w:t>
      </w:r>
      <w:bookmarkStart w:id="30" w:name="_Hlk145087212"/>
      <w:r>
        <w:rPr>
          <w:highlight w:val="none"/>
          <w:lang w:val="zh-CN"/>
        </w:rPr>
        <w:t>形成标准征求意见稿（第一稿）</w:t>
      </w:r>
      <w:bookmarkEnd w:id="30"/>
      <w:r>
        <w:rPr>
          <w:highlight w:val="none"/>
          <w:lang w:val="zh-CN"/>
        </w:rPr>
        <w:t>。</w:t>
      </w:r>
    </w:p>
    <w:p w14:paraId="6007969A">
      <w:pPr>
        <w:numPr>
          <w:ilvl w:val="2"/>
          <w:numId w:val="1"/>
        </w:numPr>
        <w:ind w:left="0" w:firstLine="420"/>
        <w:rPr>
          <w:rFonts w:ascii="Times New Roman" w:hAnsi="Times New Roman" w:eastAsia="黑体" w:cs="Times New Roman"/>
          <w:szCs w:val="24"/>
          <w:highlight w:val="none"/>
          <w:lang w:val="zh-CN"/>
        </w:rPr>
      </w:pPr>
      <w:r>
        <w:rPr>
          <w:rFonts w:ascii="Times New Roman" w:hAnsi="Times New Roman" w:eastAsia="黑体" w:cs="Times New Roman"/>
          <w:szCs w:val="24"/>
          <w:highlight w:val="none"/>
          <w:lang w:val="zh-CN"/>
        </w:rPr>
        <w:t>形成标准征求意见稿和编制说明。</w:t>
      </w:r>
    </w:p>
    <w:p w14:paraId="1E297D65">
      <w:pPr>
        <w:pStyle w:val="11"/>
        <w:rPr>
          <w:highlight w:val="none"/>
          <w:lang w:val="zh-CN"/>
        </w:rPr>
      </w:pPr>
      <w:r>
        <w:rPr>
          <w:highlight w:val="none"/>
          <w:lang w:val="zh-CN"/>
        </w:rPr>
        <w:t>2023年8</w:t>
      </w:r>
      <w:r>
        <w:rPr>
          <w:rFonts w:hint="eastAsia"/>
          <w:highlight w:val="none"/>
          <w:lang w:val="en-US" w:eastAsia="zh-CN"/>
        </w:rPr>
        <w:t>月~</w:t>
      </w:r>
      <w:r>
        <w:rPr>
          <w:highlight w:val="none"/>
          <w:lang w:val="zh-CN"/>
        </w:rPr>
        <w:t>9月，项目起草组邀请科研机构、仪器厂家和质检机构的专家对标准进行逐条评审，会后对与会专家提出的意见进行认真讨论分析，并进一步进行验证试验，形成标准征求意见稿和编制说明。</w:t>
      </w:r>
    </w:p>
    <w:p w14:paraId="38BC514D">
      <w:pPr>
        <w:pStyle w:val="12"/>
        <w:numPr>
          <w:ilvl w:val="1"/>
          <w:numId w:val="1"/>
        </w:numPr>
        <w:tabs>
          <w:tab w:val="center" w:pos="4201"/>
          <w:tab w:val="right" w:leader="dot" w:pos="9298"/>
        </w:tabs>
        <w:rPr>
          <w:rFonts w:ascii="Times New Roman"/>
          <w:highlight w:val="none"/>
        </w:rPr>
      </w:pPr>
      <w:bookmarkStart w:id="31" w:name="_Toc22321"/>
      <w:bookmarkStart w:id="32" w:name="_Toc31476"/>
      <w:r>
        <w:rPr>
          <w:rFonts w:ascii="Times New Roman"/>
          <w:highlight w:val="none"/>
        </w:rPr>
        <w:t>征求意见</w:t>
      </w:r>
      <w:bookmarkEnd w:id="31"/>
      <w:bookmarkEnd w:id="32"/>
    </w:p>
    <w:p w14:paraId="2B87C6FF">
      <w:pPr>
        <w:numPr>
          <w:ilvl w:val="2"/>
          <w:numId w:val="1"/>
        </w:numPr>
        <w:ind w:left="0" w:firstLine="420"/>
        <w:rPr>
          <w:rFonts w:ascii="Times New Roman" w:hAnsi="Times New Roman" w:eastAsia="黑体" w:cs="Times New Roman"/>
          <w:szCs w:val="24"/>
          <w:highlight w:val="none"/>
        </w:rPr>
      </w:pPr>
      <w:r>
        <w:rPr>
          <w:rFonts w:ascii="Times New Roman" w:hAnsi="Times New Roman" w:eastAsia="黑体" w:cs="Times New Roman"/>
          <w:szCs w:val="24"/>
          <w:highlight w:val="none"/>
          <w:lang w:val="zh-CN"/>
        </w:rPr>
        <w:t>召开内部审查会，征集专家意见</w:t>
      </w:r>
    </w:p>
    <w:p w14:paraId="12E9FE2E">
      <w:pPr>
        <w:pStyle w:val="11"/>
        <w:rPr>
          <w:highlight w:val="none"/>
        </w:rPr>
      </w:pPr>
      <w:r>
        <w:rPr>
          <w:highlight w:val="none"/>
        </w:rPr>
        <w:t>2023年12月，陕西省生态环境厅组织召开了内部审查会，标准起草组根据审查会意见，进行了完善和修改。</w:t>
      </w:r>
    </w:p>
    <w:p w14:paraId="59E5A879">
      <w:pPr>
        <w:numPr>
          <w:ilvl w:val="2"/>
          <w:numId w:val="1"/>
        </w:numPr>
        <w:ind w:left="0" w:firstLine="420"/>
        <w:rPr>
          <w:rFonts w:eastAsia="黑体"/>
          <w:szCs w:val="24"/>
          <w:highlight w:val="none"/>
          <w:lang w:val="zh-CN"/>
        </w:rPr>
      </w:pPr>
      <w:r>
        <w:rPr>
          <w:rFonts w:hint="eastAsia" w:eastAsia="黑体"/>
          <w:szCs w:val="24"/>
          <w:highlight w:val="none"/>
          <w:lang w:val="zh-CN"/>
        </w:rPr>
        <w:t>4.3.2　公开征求社会意见</w:t>
      </w:r>
    </w:p>
    <w:p w14:paraId="5A7D0FEF">
      <w:pPr>
        <w:pStyle w:val="11"/>
        <w:rPr>
          <w:highlight w:val="none"/>
        </w:rPr>
      </w:pPr>
      <w:r>
        <w:rPr>
          <w:rFonts w:hint="eastAsia"/>
          <w:highlight w:val="none"/>
        </w:rPr>
        <w:t>2024年</w:t>
      </w:r>
      <w:r>
        <w:rPr>
          <w:rFonts w:hint="eastAsia"/>
          <w:highlight w:val="none"/>
          <w:lang w:val="en-US" w:eastAsia="zh-CN"/>
        </w:rPr>
        <w:t>7月~9</w:t>
      </w:r>
      <w:r>
        <w:rPr>
          <w:rFonts w:hint="eastAsia"/>
          <w:highlight w:val="none"/>
        </w:rPr>
        <w:t>月，陕西省生态环境厅向各地市生态环境局、科研机构、生产厂家等相关单位印发关于标准征求意见的函，</w:t>
      </w:r>
      <w:bookmarkStart w:id="113" w:name="_GoBack"/>
      <w:bookmarkEnd w:id="113"/>
      <w:r>
        <w:rPr>
          <w:rFonts w:hint="eastAsia"/>
          <w:highlight w:val="none"/>
        </w:rPr>
        <w:t>同时通过其门户网站向社会公开征集意见。</w:t>
      </w:r>
    </w:p>
    <w:p w14:paraId="0AD925D6">
      <w:pPr>
        <w:pStyle w:val="11"/>
        <w:rPr>
          <w:highlight w:val="none"/>
        </w:rPr>
      </w:pPr>
      <w:r>
        <w:rPr>
          <w:rFonts w:hint="eastAsia"/>
          <w:highlight w:val="none"/>
        </w:rPr>
        <w:t>2024年11月，标准编制组根据10家单位反馈的24条意见和建议进行了修改和完善，形成送审稿。</w:t>
      </w:r>
    </w:p>
    <w:p w14:paraId="478D2655">
      <w:pPr>
        <w:pStyle w:val="12"/>
        <w:numPr>
          <w:ilvl w:val="1"/>
          <w:numId w:val="1"/>
        </w:numPr>
        <w:tabs>
          <w:tab w:val="center" w:pos="4201"/>
          <w:tab w:val="right" w:leader="dot" w:pos="9298"/>
        </w:tabs>
        <w:rPr>
          <w:kern w:val="2"/>
          <w:szCs w:val="24"/>
          <w:highlight w:val="none"/>
          <w:lang w:val="zh-CN"/>
        </w:rPr>
      </w:pPr>
      <w:r>
        <w:rPr>
          <w:rFonts w:hint="eastAsia"/>
          <w:kern w:val="2"/>
          <w:szCs w:val="24"/>
          <w:highlight w:val="none"/>
          <w:lang w:val="zh-CN"/>
        </w:rPr>
        <w:t>提交</w:t>
      </w:r>
      <w:r>
        <w:rPr>
          <w:rFonts w:hint="eastAsia" w:ascii="Times New Roman"/>
          <w:highlight w:val="none"/>
        </w:rPr>
        <w:t>审查</w:t>
      </w:r>
      <w:r>
        <w:rPr>
          <w:rFonts w:hint="eastAsia"/>
          <w:kern w:val="2"/>
          <w:szCs w:val="24"/>
          <w:highlight w:val="none"/>
          <w:lang w:val="zh-CN"/>
        </w:rPr>
        <w:t>、报批</w:t>
      </w:r>
    </w:p>
    <w:p w14:paraId="06311867">
      <w:pPr>
        <w:pStyle w:val="11"/>
        <w:rPr>
          <w:highlight w:val="none"/>
        </w:rPr>
      </w:pPr>
      <w:r>
        <w:rPr>
          <w:rFonts w:hint="eastAsia"/>
          <w:highlight w:val="none"/>
        </w:rPr>
        <w:t>2024年12月，按照GB61/T</w:t>
      </w:r>
      <w:r>
        <w:rPr>
          <w:rFonts w:hint="eastAsia"/>
          <w:highlight w:val="none"/>
          <w:lang w:val="en-US" w:eastAsia="zh-CN"/>
        </w:rPr>
        <w:t xml:space="preserve"> </w:t>
      </w:r>
      <w:r>
        <w:rPr>
          <w:rFonts w:hint="eastAsia"/>
          <w:highlight w:val="none"/>
        </w:rPr>
        <w:t>1214-2020《地方标准管理办法》规定，陕西省市场监督管理局联合生态环境厅组织单位专家组成技术导则审查专家组，对《</w:t>
      </w:r>
      <w:r>
        <w:rPr>
          <w:rFonts w:hint="eastAsia"/>
          <w:highlight w:val="none"/>
          <w:lang w:eastAsia="zh-CN"/>
        </w:rPr>
        <w:t>温室气体</w:t>
      </w:r>
      <w:r>
        <w:rPr>
          <w:rFonts w:hint="eastAsia"/>
          <w:highlight w:val="none"/>
        </w:rPr>
        <w:t>高精度自动监测技术规范（送审稿）》进行了会议审查。</w:t>
      </w:r>
    </w:p>
    <w:p w14:paraId="2481E16A">
      <w:pPr>
        <w:pStyle w:val="10"/>
        <w:rPr>
          <w:rFonts w:ascii="Times New Roman"/>
          <w:highlight w:val="none"/>
        </w:rPr>
      </w:pPr>
      <w:bookmarkStart w:id="33" w:name="_Toc23889"/>
      <w:bookmarkStart w:id="34" w:name="_Toc19419"/>
      <w:r>
        <w:rPr>
          <w:rFonts w:ascii="Times New Roman"/>
          <w:highlight w:val="none"/>
        </w:rPr>
        <w:t>标准起草工作组成员及任务分工</w:t>
      </w:r>
      <w:bookmarkEnd w:id="33"/>
      <w:bookmarkEnd w:id="34"/>
    </w:p>
    <w:p w14:paraId="25B1699D">
      <w:pPr>
        <w:pStyle w:val="12"/>
        <w:numPr>
          <w:ilvl w:val="1"/>
          <w:numId w:val="1"/>
        </w:numPr>
        <w:tabs>
          <w:tab w:val="center" w:pos="4201"/>
          <w:tab w:val="right" w:leader="dot" w:pos="9298"/>
        </w:tabs>
        <w:rPr>
          <w:rFonts w:ascii="Times New Roman"/>
          <w:highlight w:val="none"/>
        </w:rPr>
      </w:pPr>
      <w:bookmarkStart w:id="35" w:name="_Toc29803"/>
      <w:bookmarkStart w:id="36" w:name="_Toc22329"/>
      <w:r>
        <w:rPr>
          <w:rFonts w:ascii="Times New Roman"/>
          <w:highlight w:val="none"/>
        </w:rPr>
        <w:t>标准起草工作组成员</w:t>
      </w:r>
      <w:bookmarkEnd w:id="35"/>
      <w:bookmarkEnd w:id="36"/>
    </w:p>
    <w:p w14:paraId="222D782A">
      <w:pPr>
        <w:pStyle w:val="11"/>
        <w:rPr>
          <w:highlight w:val="none"/>
        </w:rPr>
      </w:pPr>
      <w:r>
        <w:rPr>
          <w:highlight w:val="none"/>
        </w:rPr>
        <w:t>本标准由陕西省环境监测中心站、中国科学院西安光学精密机械研究所、西安邮电大学3家单位负责起草。起草小组成员为</w:t>
      </w:r>
      <w:r>
        <w:rPr>
          <w:rFonts w:ascii="Times New Roman"/>
          <w:highlight w:val="none"/>
        </w:rPr>
        <w:t>张霖琳</w:t>
      </w:r>
      <w:r>
        <w:rPr>
          <w:rFonts w:hint="eastAsia"/>
          <w:highlight w:val="none"/>
          <w:lang w:eastAsia="zh-CN"/>
        </w:rPr>
        <w:t>、</w:t>
      </w:r>
      <w:r>
        <w:rPr>
          <w:rFonts w:hint="eastAsia" w:ascii="Times New Roman"/>
          <w:highlight w:val="none"/>
        </w:rPr>
        <w:t>杨震</w:t>
      </w:r>
      <w:r>
        <w:rPr>
          <w:rFonts w:hint="eastAsia"/>
          <w:highlight w:val="none"/>
          <w:lang w:eastAsia="zh-CN"/>
        </w:rPr>
        <w:t>、</w:t>
      </w:r>
      <w:r>
        <w:rPr>
          <w:rFonts w:hint="eastAsia" w:ascii="Times New Roman"/>
          <w:highlight w:val="none"/>
        </w:rPr>
        <w:t>吕婧</w:t>
      </w:r>
      <w:r>
        <w:rPr>
          <w:rFonts w:hint="eastAsia"/>
          <w:highlight w:val="none"/>
          <w:lang w:eastAsia="zh-CN"/>
        </w:rPr>
        <w:t>、</w:t>
      </w:r>
      <w:r>
        <w:rPr>
          <w:rFonts w:hint="eastAsia" w:ascii="Times New Roman"/>
          <w:highlight w:val="none"/>
        </w:rPr>
        <w:t>曹磊</w:t>
      </w:r>
      <w:r>
        <w:rPr>
          <w:rFonts w:hint="eastAsia"/>
          <w:highlight w:val="none"/>
          <w:lang w:eastAsia="zh-CN"/>
        </w:rPr>
        <w:t>、</w:t>
      </w:r>
      <w:r>
        <w:rPr>
          <w:rFonts w:hint="eastAsia"/>
          <w:highlight w:val="none"/>
          <w:lang w:val="en-US" w:eastAsia="zh-CN"/>
        </w:rPr>
        <w:t>杜伟、</w:t>
      </w:r>
      <w:r>
        <w:rPr>
          <w:rFonts w:hint="eastAsia" w:ascii="Times New Roman"/>
          <w:highlight w:val="none"/>
        </w:rPr>
        <w:t>徐崧博</w:t>
      </w:r>
      <w:r>
        <w:rPr>
          <w:rFonts w:hint="eastAsia"/>
          <w:highlight w:val="none"/>
          <w:lang w:eastAsia="zh-CN"/>
        </w:rPr>
        <w:t>、</w:t>
      </w:r>
      <w:r>
        <w:rPr>
          <w:rFonts w:hint="eastAsia" w:ascii="Times New Roman"/>
          <w:highlight w:val="none"/>
        </w:rPr>
        <w:t>梁磊</w:t>
      </w:r>
      <w:r>
        <w:rPr>
          <w:rFonts w:hint="eastAsia"/>
          <w:highlight w:val="none"/>
          <w:lang w:eastAsia="zh-CN"/>
        </w:rPr>
        <w:t>、</w:t>
      </w:r>
      <w:r>
        <w:rPr>
          <w:rFonts w:hint="eastAsia"/>
          <w:highlight w:val="none"/>
        </w:rPr>
        <w:t>郑益朋</w:t>
      </w:r>
      <w:r>
        <w:rPr>
          <w:rFonts w:hint="eastAsia"/>
          <w:highlight w:val="none"/>
          <w:lang w:val="en-US" w:eastAsia="zh-CN"/>
        </w:rPr>
        <w:t>、</w:t>
      </w:r>
      <w:r>
        <w:rPr>
          <w:rFonts w:hint="eastAsia" w:ascii="Times New Roman"/>
          <w:highlight w:val="none"/>
        </w:rPr>
        <w:t>刘科</w:t>
      </w:r>
      <w:r>
        <w:rPr>
          <w:highlight w:val="none"/>
        </w:rPr>
        <w:t>。</w:t>
      </w:r>
    </w:p>
    <w:p w14:paraId="4567ABB7">
      <w:pPr>
        <w:pStyle w:val="12"/>
        <w:numPr>
          <w:ilvl w:val="1"/>
          <w:numId w:val="1"/>
        </w:numPr>
        <w:tabs>
          <w:tab w:val="center" w:pos="4201"/>
          <w:tab w:val="right" w:leader="dot" w:pos="9298"/>
        </w:tabs>
        <w:rPr>
          <w:rFonts w:ascii="Times New Roman"/>
          <w:highlight w:val="none"/>
        </w:rPr>
      </w:pPr>
      <w:bookmarkStart w:id="37" w:name="_Toc19593"/>
      <w:bookmarkStart w:id="38" w:name="_Toc1195"/>
      <w:r>
        <w:rPr>
          <w:rFonts w:ascii="Times New Roman"/>
          <w:highlight w:val="none"/>
        </w:rPr>
        <w:t>标准起草任务分工</w:t>
      </w:r>
      <w:bookmarkEnd w:id="37"/>
      <w:bookmarkEnd w:id="38"/>
    </w:p>
    <w:p w14:paraId="353357C2">
      <w:pPr>
        <w:pStyle w:val="11"/>
        <w:rPr>
          <w:highlight w:val="none"/>
        </w:rPr>
      </w:pPr>
      <w:r>
        <w:rPr>
          <w:highlight w:val="none"/>
        </w:rPr>
        <w:t>陕西省环境监测中心站负责标准的起草、整体协调和组织工作</w:t>
      </w:r>
      <w:r>
        <w:rPr>
          <w:rFonts w:hint="eastAsia"/>
          <w:highlight w:val="none"/>
          <w:lang w:eastAsia="zh-CN"/>
        </w:rPr>
        <w:t>，</w:t>
      </w:r>
      <w:r>
        <w:rPr>
          <w:highlight w:val="none"/>
        </w:rPr>
        <w:t>中国科学院西安光学精密机械研究所负责温室气体高精度监测方法科学性的验证工作。</w:t>
      </w:r>
      <w:bookmarkStart w:id="39" w:name="_Toc32197_WPSOffice_Level1"/>
    </w:p>
    <w:p w14:paraId="0DBA83DF">
      <w:pPr>
        <w:pStyle w:val="10"/>
        <w:rPr>
          <w:rFonts w:ascii="Times New Roman"/>
          <w:highlight w:val="none"/>
        </w:rPr>
      </w:pPr>
      <w:bookmarkStart w:id="40" w:name="_Toc7540"/>
      <w:bookmarkStart w:id="41" w:name="_Toc2749"/>
      <w:r>
        <w:rPr>
          <w:rFonts w:ascii="Times New Roman"/>
          <w:highlight w:val="none"/>
        </w:rPr>
        <w:t>标准编制的原则、技术路线</w:t>
      </w:r>
      <w:bookmarkEnd w:id="39"/>
      <w:bookmarkEnd w:id="40"/>
      <w:bookmarkEnd w:id="41"/>
    </w:p>
    <w:p w14:paraId="4761C60C">
      <w:pPr>
        <w:pStyle w:val="12"/>
        <w:numPr>
          <w:ilvl w:val="1"/>
          <w:numId w:val="1"/>
        </w:numPr>
        <w:tabs>
          <w:tab w:val="center" w:pos="4201"/>
          <w:tab w:val="right" w:leader="dot" w:pos="9298"/>
        </w:tabs>
        <w:rPr>
          <w:rFonts w:ascii="Times New Roman"/>
          <w:highlight w:val="none"/>
          <w:lang w:val="zh-CN"/>
        </w:rPr>
      </w:pPr>
      <w:bookmarkStart w:id="42" w:name="_Toc22508"/>
      <w:bookmarkStart w:id="43" w:name="_Toc31239"/>
      <w:bookmarkStart w:id="44" w:name="_Toc51225355"/>
      <w:bookmarkStart w:id="45" w:name="_Toc4891_WPSOffice_Level2"/>
      <w:r>
        <w:rPr>
          <w:rFonts w:ascii="Times New Roman"/>
          <w:highlight w:val="none"/>
        </w:rPr>
        <w:t>标准制定的基本</w:t>
      </w:r>
      <w:r>
        <w:rPr>
          <w:rFonts w:ascii="Times New Roman"/>
          <w:highlight w:val="none"/>
          <w:lang w:val="zh-CN"/>
        </w:rPr>
        <w:t>原则</w:t>
      </w:r>
      <w:bookmarkEnd w:id="42"/>
      <w:bookmarkEnd w:id="43"/>
      <w:bookmarkEnd w:id="44"/>
      <w:bookmarkEnd w:id="45"/>
    </w:p>
    <w:p w14:paraId="0CF79181">
      <w:pPr>
        <w:pStyle w:val="11"/>
        <w:rPr>
          <w:highlight w:val="none"/>
        </w:rPr>
      </w:pPr>
      <w:r>
        <w:rPr>
          <w:highlight w:val="none"/>
        </w:rPr>
        <w:t>本技术规范依据《标</w:t>
      </w:r>
      <w:r>
        <w:rPr>
          <w:rFonts w:hint="eastAsia"/>
          <w:highlight w:val="none"/>
        </w:rPr>
        <w:t>准</w:t>
      </w:r>
      <w:r>
        <w:rPr>
          <w:highlight w:val="none"/>
        </w:rPr>
        <w:t>化工作指南》</w:t>
      </w:r>
      <w:r>
        <w:rPr>
          <w:highlight w:val="none"/>
          <w:lang w:val="zh-CN"/>
        </w:rPr>
        <w:t>GB/T</w:t>
      </w:r>
      <w:r>
        <w:rPr>
          <w:highlight w:val="none"/>
        </w:rPr>
        <w:t xml:space="preserve"> </w:t>
      </w:r>
      <w:r>
        <w:rPr>
          <w:highlight w:val="none"/>
          <w:lang w:val="zh-CN"/>
        </w:rPr>
        <w:t>1.1-2022给出的规则，遵循科学性、</w:t>
      </w:r>
      <w:r>
        <w:rPr>
          <w:highlight w:val="none"/>
        </w:rPr>
        <w:t>整体性、针对性</w:t>
      </w:r>
      <w:r>
        <w:rPr>
          <w:highlight w:val="none"/>
          <w:lang w:val="zh-CN"/>
        </w:rPr>
        <w:t>原则，</w:t>
      </w:r>
      <w:r>
        <w:rPr>
          <w:highlight w:val="none"/>
        </w:rPr>
        <w:t>参考国内同行业已使用的较成熟的参考文献</w:t>
      </w:r>
      <w:r>
        <w:rPr>
          <w:highlight w:val="none"/>
          <w:lang w:val="zh-CN"/>
        </w:rPr>
        <w:t>编制起草。</w:t>
      </w:r>
      <w:r>
        <w:rPr>
          <w:highlight w:val="none"/>
        </w:rPr>
        <w:t>技术规范编写的基本原则如下：</w:t>
      </w:r>
    </w:p>
    <w:p w14:paraId="1095BEDC">
      <w:pPr>
        <w:numPr>
          <w:ilvl w:val="2"/>
          <w:numId w:val="1"/>
        </w:numPr>
        <w:ind w:left="0" w:firstLine="420"/>
        <w:rPr>
          <w:rFonts w:ascii="Times New Roman" w:hAnsi="Times New Roman" w:eastAsia="宋体" w:cs="Times New Roman"/>
          <w:szCs w:val="24"/>
          <w:highlight w:val="none"/>
        </w:rPr>
      </w:pPr>
      <w:r>
        <w:rPr>
          <w:rFonts w:ascii="Times New Roman" w:hAnsi="Times New Roman" w:eastAsia="宋体" w:cs="Times New Roman"/>
          <w:szCs w:val="24"/>
          <w:highlight w:val="none"/>
        </w:rPr>
        <w:t>科学性原则。参考现有的国家标准、行业标准和相关技术文件，充分借鉴试点工作的应用经验。</w:t>
      </w:r>
    </w:p>
    <w:p w14:paraId="5BC7ABDA">
      <w:pPr>
        <w:numPr>
          <w:ilvl w:val="2"/>
          <w:numId w:val="1"/>
        </w:numPr>
        <w:ind w:left="0" w:firstLine="420"/>
        <w:rPr>
          <w:rFonts w:ascii="Times New Roman" w:hAnsi="Times New Roman" w:eastAsia="宋体" w:cs="Times New Roman"/>
          <w:szCs w:val="24"/>
          <w:highlight w:val="none"/>
        </w:rPr>
      </w:pPr>
      <w:r>
        <w:rPr>
          <w:rFonts w:ascii="Times New Roman" w:hAnsi="Times New Roman" w:eastAsia="宋体" w:cs="Times New Roman"/>
          <w:szCs w:val="24"/>
          <w:highlight w:val="none"/>
        </w:rPr>
        <w:t>整体</w:t>
      </w:r>
      <w:r>
        <w:rPr>
          <w:rFonts w:ascii="Times New Roman" w:hAnsi="Times New Roman" w:eastAsia="宋体" w:cs="Times New Roman"/>
          <w:szCs w:val="24"/>
          <w:highlight w:val="none"/>
          <w:lang w:val="zh-CN"/>
        </w:rPr>
        <w:t>性原则。</w:t>
      </w:r>
      <w:r>
        <w:rPr>
          <w:rFonts w:ascii="Times New Roman" w:hAnsi="Times New Roman" w:eastAsia="宋体" w:cs="Times New Roman"/>
          <w:szCs w:val="24"/>
          <w:highlight w:val="none"/>
        </w:rPr>
        <w:t>考虑系统规定温室气体高精度连续自动监测系统的方法原理与系统组成、技术性能要求、安装、调试与验收、系统日常运行维护、质量保证和质量控制、数据有效性判断等技术要求。</w:t>
      </w:r>
    </w:p>
    <w:p w14:paraId="1618B14D">
      <w:pPr>
        <w:numPr>
          <w:ilvl w:val="2"/>
          <w:numId w:val="1"/>
        </w:numPr>
        <w:ind w:left="0" w:firstLine="420"/>
        <w:rPr>
          <w:rFonts w:ascii="Times New Roman" w:hAnsi="Times New Roman" w:eastAsia="宋体" w:cs="Times New Roman"/>
          <w:szCs w:val="24"/>
          <w:highlight w:val="none"/>
        </w:rPr>
      </w:pPr>
      <w:r>
        <w:rPr>
          <w:rFonts w:ascii="Times New Roman" w:hAnsi="Times New Roman" w:eastAsia="宋体" w:cs="Times New Roman"/>
          <w:szCs w:val="24"/>
          <w:highlight w:val="none"/>
        </w:rPr>
        <w:t>针对性原则。总结现有文献资料及温室气体高精度自动监测的</w:t>
      </w:r>
      <w:r>
        <w:rPr>
          <w:rFonts w:hint="eastAsia" w:ascii="Times New Roman" w:hAnsi="Times New Roman" w:eastAsia="宋体" w:cs="Times New Roman"/>
          <w:szCs w:val="24"/>
          <w:highlight w:val="none"/>
        </w:rPr>
        <w:t>实际</w:t>
      </w:r>
      <w:r>
        <w:rPr>
          <w:rFonts w:ascii="Times New Roman" w:hAnsi="Times New Roman" w:eastAsia="宋体" w:cs="Times New Roman"/>
          <w:szCs w:val="24"/>
          <w:highlight w:val="none"/>
        </w:rPr>
        <w:t>应用经验基础上，规范内容与指标明确。可操作性强，具有普遍的适用性，易于推广使用。</w:t>
      </w:r>
    </w:p>
    <w:p w14:paraId="4C56880D">
      <w:pPr>
        <w:pStyle w:val="12"/>
        <w:numPr>
          <w:ilvl w:val="1"/>
          <w:numId w:val="1"/>
        </w:numPr>
        <w:tabs>
          <w:tab w:val="center" w:pos="4201"/>
          <w:tab w:val="right" w:leader="dot" w:pos="9298"/>
        </w:tabs>
        <w:rPr>
          <w:rFonts w:ascii="Times New Roman"/>
          <w:highlight w:val="none"/>
          <w:lang w:val="zh-CN"/>
        </w:rPr>
      </w:pPr>
      <w:bookmarkStart w:id="46" w:name="_Toc9296_WPSOffice_Level2"/>
      <w:bookmarkStart w:id="47" w:name="_Toc13753"/>
      <w:bookmarkStart w:id="48" w:name="_Toc21780"/>
      <w:r>
        <w:rPr>
          <w:rFonts w:ascii="Times New Roman"/>
          <w:highlight w:val="none"/>
          <w:lang w:val="zh-CN"/>
        </w:rPr>
        <w:t>技术路线</w:t>
      </w:r>
      <w:bookmarkEnd w:id="46"/>
      <w:bookmarkEnd w:id="47"/>
      <w:bookmarkEnd w:id="48"/>
    </w:p>
    <w:p w14:paraId="2EAE3397">
      <w:pPr>
        <w:pStyle w:val="11"/>
        <w:ind w:firstLine="0" w:firstLineChars="0"/>
        <w:jc w:val="center"/>
        <w:rPr>
          <w:highlight w:val="none"/>
          <w:lang w:val="zh-CN"/>
        </w:rPr>
      </w:pPr>
      <w:r>
        <w:rPr>
          <w:highlight w:val="none"/>
        </w:rPr>
        <w:drawing>
          <wp:inline distT="0" distB="0" distL="114300" distR="114300">
            <wp:extent cx="4235450" cy="3286125"/>
            <wp:effectExtent l="0" t="0" r="6985" b="6350"/>
            <wp:docPr id="68"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图片 2"/>
                    <pic:cNvPicPr>
                      <a:picLocks noChangeAspect="1"/>
                    </pic:cNvPicPr>
                  </pic:nvPicPr>
                  <pic:blipFill>
                    <a:blip r:embed="rId8"/>
                    <a:stretch>
                      <a:fillRect/>
                    </a:stretch>
                  </pic:blipFill>
                  <pic:spPr>
                    <a:xfrm>
                      <a:off x="0" y="0"/>
                      <a:ext cx="4235450" cy="3286125"/>
                    </a:xfrm>
                    <a:prstGeom prst="rect">
                      <a:avLst/>
                    </a:prstGeom>
                    <a:noFill/>
                    <a:ln>
                      <a:noFill/>
                    </a:ln>
                  </pic:spPr>
                </pic:pic>
              </a:graphicData>
            </a:graphic>
          </wp:inline>
        </w:drawing>
      </w:r>
    </w:p>
    <w:p w14:paraId="6BFDEBAA">
      <w:pPr>
        <w:pStyle w:val="11"/>
        <w:ind w:firstLine="0" w:firstLineChars="0"/>
        <w:jc w:val="center"/>
        <w:rPr>
          <w:rFonts w:eastAsia="黑体"/>
          <w:sz w:val="20"/>
          <w:szCs w:val="18"/>
          <w:highlight w:val="none"/>
        </w:rPr>
      </w:pPr>
      <w:r>
        <w:rPr>
          <w:rFonts w:eastAsia="黑体"/>
          <w:sz w:val="20"/>
          <w:szCs w:val="18"/>
          <w:highlight w:val="none"/>
        </w:rPr>
        <w:t>图1 技术规范编制的技术路线图</w:t>
      </w:r>
    </w:p>
    <w:p w14:paraId="0746C15D">
      <w:pPr>
        <w:pStyle w:val="10"/>
        <w:rPr>
          <w:rFonts w:ascii="Times New Roman"/>
          <w:highlight w:val="none"/>
          <w:lang w:val="zh-CN"/>
        </w:rPr>
      </w:pPr>
      <w:bookmarkStart w:id="49" w:name="_Toc17493"/>
      <w:bookmarkStart w:id="50" w:name="_Toc24991"/>
      <w:bookmarkStart w:id="51" w:name="_Toc4058_WPSOffice_Level1"/>
      <w:bookmarkStart w:id="52" w:name="_Hlk37340332"/>
      <w:r>
        <w:rPr>
          <w:rFonts w:ascii="Times New Roman"/>
          <w:highlight w:val="none"/>
        </w:rPr>
        <w:t>标准主要内容</w:t>
      </w:r>
      <w:bookmarkEnd w:id="49"/>
      <w:bookmarkEnd w:id="50"/>
      <w:bookmarkEnd w:id="51"/>
      <w:bookmarkStart w:id="53" w:name="_Toc29094_WPSOffice_Level2"/>
    </w:p>
    <w:p w14:paraId="4074AFC7">
      <w:pPr>
        <w:pStyle w:val="12"/>
        <w:numPr>
          <w:ilvl w:val="1"/>
          <w:numId w:val="1"/>
        </w:numPr>
        <w:tabs>
          <w:tab w:val="center" w:pos="4201"/>
          <w:tab w:val="right" w:leader="dot" w:pos="9298"/>
        </w:tabs>
        <w:rPr>
          <w:rFonts w:ascii="Times New Roman"/>
          <w:highlight w:val="none"/>
          <w:lang w:val="zh-CN"/>
        </w:rPr>
      </w:pPr>
      <w:bookmarkStart w:id="54" w:name="_Toc1848"/>
      <w:bookmarkStart w:id="55" w:name="_Toc20115"/>
      <w:r>
        <w:rPr>
          <w:rFonts w:ascii="Times New Roman"/>
          <w:highlight w:val="none"/>
        </w:rPr>
        <w:t>主要内容</w:t>
      </w:r>
      <w:bookmarkEnd w:id="54"/>
      <w:bookmarkEnd w:id="55"/>
    </w:p>
    <w:p w14:paraId="57883876">
      <w:pPr>
        <w:numPr>
          <w:ilvl w:val="2"/>
          <w:numId w:val="1"/>
        </w:numPr>
        <w:ind w:left="0" w:firstLine="420"/>
        <w:rPr>
          <w:rFonts w:ascii="Times New Roman" w:hAnsi="Times New Roman" w:eastAsia="宋体" w:cs="Times New Roman"/>
          <w:szCs w:val="24"/>
          <w:highlight w:val="none"/>
        </w:rPr>
      </w:pPr>
      <w:r>
        <w:rPr>
          <w:rFonts w:ascii="Times New Roman" w:hAnsi="Times New Roman" w:eastAsia="宋体" w:cs="Times New Roman"/>
          <w:szCs w:val="24"/>
          <w:highlight w:val="none"/>
        </w:rPr>
        <w:t>方法原理与系统组成，明确了温室气体高精度自动监测的方法原理，规定了温室气体高精度自动监测系统的组成。</w:t>
      </w:r>
    </w:p>
    <w:p w14:paraId="1FEAF889">
      <w:pPr>
        <w:numPr>
          <w:ilvl w:val="2"/>
          <w:numId w:val="1"/>
        </w:numPr>
        <w:ind w:left="0" w:firstLine="420"/>
        <w:rPr>
          <w:rFonts w:ascii="Times New Roman" w:hAnsi="Times New Roman" w:eastAsia="黑体_x0005_.." w:cs="Times New Roman"/>
          <w:szCs w:val="24"/>
          <w:highlight w:val="none"/>
        </w:rPr>
      </w:pPr>
      <w:r>
        <w:rPr>
          <w:rFonts w:ascii="Times New Roman" w:hAnsi="Times New Roman" w:eastAsia="宋体" w:cs="Times New Roman"/>
          <w:szCs w:val="24"/>
          <w:highlight w:val="none"/>
        </w:rPr>
        <w:t>技术性能要求，明确了温度测量示值误差、大气压测量示值误差、采样流量等自动监测系统的技术性能要求</w:t>
      </w:r>
      <w:r>
        <w:rPr>
          <w:rFonts w:ascii="Times New Roman" w:hAnsi="Times New Roman" w:eastAsia="黑体_x0005_.." w:cs="Times New Roman"/>
          <w:szCs w:val="24"/>
          <w:highlight w:val="none"/>
        </w:rPr>
        <w:t>。</w:t>
      </w:r>
    </w:p>
    <w:p w14:paraId="144D684E">
      <w:pPr>
        <w:numPr>
          <w:ilvl w:val="2"/>
          <w:numId w:val="1"/>
        </w:numPr>
        <w:ind w:left="0" w:firstLine="420"/>
        <w:rPr>
          <w:rFonts w:ascii="Times New Roman" w:hAnsi="Times New Roman" w:eastAsia="宋体" w:cs="Times New Roman"/>
          <w:szCs w:val="24"/>
          <w:highlight w:val="none"/>
        </w:rPr>
      </w:pPr>
      <w:r>
        <w:rPr>
          <w:rFonts w:ascii="Times New Roman" w:hAnsi="Times New Roman" w:eastAsia="宋体" w:cs="Times New Roman"/>
          <w:szCs w:val="24"/>
          <w:highlight w:val="none"/>
        </w:rPr>
        <w:t>安装、调试与验收，规定了温室气体自动监测点、采样口、站房及辅助设施、安装、调试、试运行、验收的一般要求和技术要求。</w:t>
      </w:r>
    </w:p>
    <w:p w14:paraId="78A72537">
      <w:pPr>
        <w:numPr>
          <w:ilvl w:val="2"/>
          <w:numId w:val="1"/>
        </w:numPr>
        <w:ind w:left="0" w:firstLine="420"/>
        <w:rPr>
          <w:rFonts w:ascii="Times New Roman" w:hAnsi="Times New Roman" w:eastAsia="宋体" w:cs="Times New Roman"/>
          <w:szCs w:val="24"/>
          <w:highlight w:val="none"/>
        </w:rPr>
      </w:pPr>
      <w:r>
        <w:rPr>
          <w:rFonts w:ascii="Times New Roman" w:hAnsi="Times New Roman" w:eastAsia="宋体" w:cs="Times New Roman"/>
          <w:szCs w:val="24"/>
          <w:highlight w:val="none"/>
        </w:rPr>
        <w:t>系统日常维护，规定了温室气体自动监测系统日常维</w:t>
      </w:r>
      <w:r>
        <w:rPr>
          <w:rFonts w:hint="eastAsia" w:ascii="Times New Roman" w:hAnsi="Times New Roman" w:eastAsia="宋体" w:cs="Times New Roman"/>
          <w:szCs w:val="24"/>
          <w:highlight w:val="none"/>
        </w:rPr>
        <w:t>护要</w:t>
      </w:r>
      <w:r>
        <w:rPr>
          <w:rFonts w:ascii="Times New Roman" w:hAnsi="Times New Roman" w:eastAsia="宋体" w:cs="Times New Roman"/>
          <w:szCs w:val="24"/>
          <w:highlight w:val="none"/>
        </w:rPr>
        <w:t>求、仪器操作维护及故障检修的具体要求。</w:t>
      </w:r>
    </w:p>
    <w:p w14:paraId="3F4BA79E">
      <w:pPr>
        <w:numPr>
          <w:ilvl w:val="2"/>
          <w:numId w:val="1"/>
        </w:numPr>
        <w:ind w:left="0" w:firstLine="420"/>
        <w:rPr>
          <w:rFonts w:ascii="Times New Roman" w:hAnsi="Times New Roman" w:eastAsia="宋体" w:cs="Times New Roman"/>
          <w:szCs w:val="24"/>
          <w:highlight w:val="none"/>
        </w:rPr>
      </w:pPr>
      <w:r>
        <w:rPr>
          <w:rFonts w:ascii="Times New Roman" w:hAnsi="Times New Roman" w:eastAsia="宋体" w:cs="Times New Roman"/>
          <w:szCs w:val="24"/>
          <w:highlight w:val="none"/>
        </w:rPr>
        <w:t>质量保证和质量控制，规定了温室气体自动监测中涉及的量值溯源和传递、采样周期要求、校准周期和监测仪器性能审核等的具体要求。</w:t>
      </w:r>
    </w:p>
    <w:p w14:paraId="546A1CF5">
      <w:pPr>
        <w:numPr>
          <w:ilvl w:val="2"/>
          <w:numId w:val="1"/>
        </w:numPr>
        <w:ind w:left="0" w:firstLine="420"/>
        <w:rPr>
          <w:rFonts w:ascii="Times New Roman" w:hAnsi="Times New Roman" w:eastAsia="黑体_x0005_.." w:cs="Times New Roman"/>
          <w:szCs w:val="24"/>
          <w:highlight w:val="none"/>
        </w:rPr>
      </w:pPr>
      <w:r>
        <w:rPr>
          <w:rFonts w:ascii="Times New Roman" w:hAnsi="Times New Roman" w:eastAsia="宋体" w:cs="Times New Roman"/>
          <w:szCs w:val="24"/>
          <w:highlight w:val="none"/>
        </w:rPr>
        <w:t>数据有效性判断，规定了温室气体监测结果的数据有效性判断的要求。</w:t>
      </w:r>
    </w:p>
    <w:p w14:paraId="05E5C490">
      <w:pPr>
        <w:numPr>
          <w:ilvl w:val="2"/>
          <w:numId w:val="1"/>
        </w:numPr>
        <w:ind w:left="0" w:firstLine="420"/>
        <w:rPr>
          <w:rFonts w:ascii="Times New Roman" w:hAnsi="Times New Roman" w:eastAsia="宋体" w:cs="Times New Roman"/>
          <w:szCs w:val="24"/>
          <w:highlight w:val="none"/>
        </w:rPr>
      </w:pPr>
      <w:r>
        <w:rPr>
          <w:rFonts w:ascii="Times New Roman" w:hAnsi="Times New Roman" w:eastAsia="宋体" w:cs="Times New Roman"/>
          <w:szCs w:val="24"/>
          <w:highlight w:val="none"/>
        </w:rPr>
        <w:t>附录，规定了自动监测系统精密度、正确度、可比性的审核方法和流程。</w:t>
      </w:r>
    </w:p>
    <w:p w14:paraId="5AB28ED2">
      <w:pPr>
        <w:pStyle w:val="12"/>
        <w:numPr>
          <w:ilvl w:val="1"/>
          <w:numId w:val="1"/>
        </w:numPr>
        <w:tabs>
          <w:tab w:val="center" w:pos="4201"/>
          <w:tab w:val="right" w:leader="dot" w:pos="9298"/>
        </w:tabs>
        <w:rPr>
          <w:rFonts w:ascii="Times New Roman"/>
          <w:highlight w:val="none"/>
          <w:lang w:val="zh-CN"/>
        </w:rPr>
      </w:pPr>
      <w:bookmarkStart w:id="56" w:name="_Toc28414"/>
      <w:bookmarkStart w:id="57" w:name="_Toc10825"/>
      <w:r>
        <w:rPr>
          <w:rFonts w:ascii="Times New Roman"/>
          <w:highlight w:val="none"/>
        </w:rPr>
        <w:t>适用</w:t>
      </w:r>
      <w:r>
        <w:rPr>
          <w:rFonts w:ascii="Times New Roman"/>
          <w:highlight w:val="none"/>
          <w:lang w:val="zh-CN"/>
        </w:rPr>
        <w:t>范围</w:t>
      </w:r>
      <w:bookmarkEnd w:id="53"/>
      <w:bookmarkEnd w:id="56"/>
      <w:bookmarkEnd w:id="57"/>
    </w:p>
    <w:p w14:paraId="0F1DE536">
      <w:pPr>
        <w:pStyle w:val="11"/>
        <w:rPr>
          <w:highlight w:val="none"/>
        </w:rPr>
      </w:pPr>
      <w:r>
        <w:rPr>
          <w:highlight w:val="none"/>
        </w:rPr>
        <w:t>根据温室气体高精度自动监测系统的功能、使用条件以及前期的实践经验，确定了本技术规范的适用范围。包括温室气体高精度连续自动监测系统的方法原理与系统组成、技术性能要求、安装、调试与验收、系统日常运行维护、质量保证和质量控制、数据有效性判断等技术要求。在编写本技术规范前，已积累了大量的温室气体高精度自动监测的经验，以保证技术规范的有效性和实用性。</w:t>
      </w:r>
    </w:p>
    <w:p w14:paraId="08EEF0B5">
      <w:pPr>
        <w:pStyle w:val="12"/>
        <w:numPr>
          <w:ilvl w:val="1"/>
          <w:numId w:val="1"/>
        </w:numPr>
        <w:tabs>
          <w:tab w:val="center" w:pos="4201"/>
          <w:tab w:val="right" w:leader="dot" w:pos="9298"/>
        </w:tabs>
        <w:rPr>
          <w:rFonts w:ascii="Times New Roman"/>
          <w:highlight w:val="none"/>
          <w:lang w:val="zh-CN"/>
        </w:rPr>
      </w:pPr>
      <w:bookmarkStart w:id="58" w:name="_Toc24696"/>
      <w:bookmarkStart w:id="59" w:name="_Toc28843"/>
      <w:bookmarkStart w:id="60" w:name="_Toc19626_WPSOffice_Level2"/>
      <w:r>
        <w:rPr>
          <w:rFonts w:ascii="Times New Roman"/>
          <w:highlight w:val="none"/>
          <w:lang w:val="zh-CN"/>
        </w:rPr>
        <w:t>术语和定义</w:t>
      </w:r>
      <w:bookmarkEnd w:id="58"/>
      <w:bookmarkEnd w:id="59"/>
      <w:bookmarkEnd w:id="60"/>
    </w:p>
    <w:p w14:paraId="51950A0C">
      <w:pPr>
        <w:pStyle w:val="11"/>
        <w:jc w:val="left"/>
        <w:rPr>
          <w:highlight w:val="none"/>
        </w:rPr>
      </w:pPr>
      <w:r>
        <w:rPr>
          <w:highlight w:val="none"/>
        </w:rPr>
        <w:t>温室气体高精度自动监测中涉及一些专业词汇术语，为规范术语应用，列出技术中的重要术语并给出定义。编制组查阅了引用的规范性文件以及其他</w:t>
      </w:r>
      <w:r>
        <w:rPr>
          <w:rFonts w:hint="eastAsia"/>
          <w:highlight w:val="none"/>
          <w:lang w:eastAsia="zh-CN"/>
        </w:rPr>
        <w:t>法律法规</w:t>
      </w:r>
      <w:r>
        <w:rPr>
          <w:highlight w:val="none"/>
        </w:rPr>
        <w:t>和标准规范等，对于已经颁布实施的</w:t>
      </w:r>
      <w:r>
        <w:rPr>
          <w:rFonts w:hint="eastAsia"/>
          <w:highlight w:val="none"/>
          <w:lang w:eastAsia="zh-CN"/>
        </w:rPr>
        <w:t>法律法规</w:t>
      </w:r>
      <w:r>
        <w:rPr>
          <w:highlight w:val="none"/>
        </w:rPr>
        <w:t>和标准中有明确定义的术语，在本技术规范中不再重复。本技术规范只规定其他规范性文件中明确的专有技术名词。</w:t>
      </w:r>
    </w:p>
    <w:p w14:paraId="5DAF5456">
      <w:pPr>
        <w:pStyle w:val="11"/>
        <w:jc w:val="left"/>
        <w:rPr>
          <w:highlight w:val="none"/>
          <w:lang w:val="zh-CN"/>
        </w:rPr>
      </w:pPr>
      <w:r>
        <w:rPr>
          <w:highlight w:val="none"/>
        </w:rPr>
        <w:t>本技术规定给出了4条术语和定义，包括</w:t>
      </w:r>
      <w:r>
        <w:rPr>
          <w:highlight w:val="none"/>
          <w:lang w:val="zh-CN"/>
        </w:rPr>
        <w:t>温室气体连续自动监测</w:t>
      </w:r>
      <w:r>
        <w:rPr>
          <w:highlight w:val="none"/>
        </w:rPr>
        <w:t>、</w:t>
      </w:r>
      <w:r>
        <w:rPr>
          <w:highlight w:val="none"/>
          <w:lang w:val="zh-CN"/>
        </w:rPr>
        <w:t>连续自动监测系统性能审核、标准气体、</w:t>
      </w:r>
      <w:r>
        <w:rPr>
          <w:highlight w:val="none"/>
        </w:rPr>
        <w:t>光声光谱法</w:t>
      </w:r>
      <w:r>
        <w:rPr>
          <w:highlight w:val="none"/>
          <w:lang w:val="zh-CN"/>
        </w:rPr>
        <w:t>。</w:t>
      </w:r>
    </w:p>
    <w:p w14:paraId="2A434940">
      <w:pPr>
        <w:pStyle w:val="11"/>
        <w:jc w:val="left"/>
        <w:rPr>
          <w:highlight w:val="none"/>
        </w:rPr>
      </w:pPr>
      <w:bookmarkStart w:id="61" w:name="_Toc128642737"/>
      <w:bookmarkStart w:id="62" w:name="_Toc13909"/>
      <w:bookmarkStart w:id="63" w:name="_Toc87541686"/>
      <w:r>
        <w:rPr>
          <w:highlight w:val="none"/>
          <w:lang w:val="zh-CN"/>
        </w:rPr>
        <w:t>温室气体高精度连续自动监测</w:t>
      </w:r>
      <w:bookmarkEnd w:id="61"/>
      <w:bookmarkEnd w:id="62"/>
      <w:r>
        <w:rPr>
          <w:highlight w:val="none"/>
          <w:lang w:val="zh-CN"/>
        </w:rPr>
        <w:t>（</w:t>
      </w:r>
      <w:r>
        <w:rPr>
          <w:highlight w:val="none"/>
        </w:rPr>
        <w:t>High precision continuous automatic monitoring of greenhouse gases</w:t>
      </w:r>
      <w:r>
        <w:rPr>
          <w:highlight w:val="none"/>
          <w:lang w:val="zh-CN"/>
        </w:rPr>
        <w:t>），指采用</w:t>
      </w:r>
      <w:bookmarkStart w:id="64" w:name="_Hlk160983657"/>
      <w:r>
        <w:rPr>
          <w:highlight w:val="none"/>
          <w:lang w:val="zh-CN"/>
        </w:rPr>
        <w:t>高精度连续自动监测仪器对温室气体进行连续的样品采集、处理、分析的过程</w:t>
      </w:r>
      <w:bookmarkEnd w:id="64"/>
      <w:bookmarkStart w:id="65" w:name="_Toc128642738"/>
      <w:bookmarkEnd w:id="65"/>
      <w:bookmarkStart w:id="66" w:name="_Toc13304"/>
      <w:bookmarkEnd w:id="66"/>
      <w:bookmarkStart w:id="67" w:name="_Hlk60130412"/>
      <w:r>
        <w:rPr>
          <w:highlight w:val="none"/>
          <w:lang w:val="zh-CN"/>
        </w:rPr>
        <w:t>。</w:t>
      </w:r>
      <w:r>
        <w:rPr>
          <w:highlight w:val="none"/>
        </w:rPr>
        <w:t>该定义</w:t>
      </w:r>
      <w:r>
        <w:rPr>
          <w:highlight w:val="none"/>
          <w:lang w:val="zh-CN"/>
        </w:rPr>
        <w:t>主要参考了《环境空气质量自动监测技术规范》（HJ 193-2005）</w:t>
      </w:r>
      <w:r>
        <w:rPr>
          <w:highlight w:val="none"/>
        </w:rPr>
        <w:t>中关于</w:t>
      </w:r>
      <w:r>
        <w:rPr>
          <w:rFonts w:hint="eastAsia" w:asciiTheme="minorEastAsia" w:hAnsiTheme="minorEastAsia" w:eastAsiaTheme="minorEastAsia" w:cstheme="minorEastAsia"/>
          <w:highlight w:val="none"/>
        </w:rPr>
        <w:t>“环境空气质量自动监测”</w:t>
      </w:r>
      <w:r>
        <w:rPr>
          <w:highlight w:val="none"/>
        </w:rPr>
        <w:t>的定义。</w:t>
      </w:r>
    </w:p>
    <w:bookmarkEnd w:id="63"/>
    <w:bookmarkEnd w:id="67"/>
    <w:p w14:paraId="725DE634">
      <w:pPr>
        <w:pStyle w:val="11"/>
        <w:jc w:val="left"/>
        <w:rPr>
          <w:highlight w:val="none"/>
        </w:rPr>
      </w:pPr>
      <w:bookmarkStart w:id="68" w:name="_Toc128642739"/>
      <w:bookmarkStart w:id="69" w:name="_Toc8605"/>
      <w:bookmarkStart w:id="70" w:name="_Hlk60130804"/>
      <w:r>
        <w:rPr>
          <w:highlight w:val="none"/>
          <w:lang w:val="zh-CN"/>
        </w:rPr>
        <w:t>连续自动监测系统性能审核</w:t>
      </w:r>
      <w:bookmarkEnd w:id="68"/>
      <w:bookmarkEnd w:id="69"/>
      <w:r>
        <w:rPr>
          <w:highlight w:val="none"/>
        </w:rPr>
        <w:t>（Manual methods for air quality monitorying），</w:t>
      </w:r>
      <w:r>
        <w:rPr>
          <w:highlight w:val="none"/>
          <w:lang w:val="zh-CN"/>
        </w:rPr>
        <w:t>指对连续自动监测系统进行精密度审核、正确度审核的过程。</w:t>
      </w:r>
      <w:r>
        <w:rPr>
          <w:highlight w:val="none"/>
        </w:rPr>
        <w:t>该定义主要参考了</w:t>
      </w:r>
      <w:r>
        <w:rPr>
          <w:highlight w:val="none"/>
          <w:lang w:val="zh-CN"/>
        </w:rPr>
        <w:t>环境空气质量自动监测技术规范（HJ 193-2005）</w:t>
      </w:r>
      <w:r>
        <w:rPr>
          <w:highlight w:val="none"/>
        </w:rPr>
        <w:t>中关于“</w:t>
      </w:r>
      <w:r>
        <w:rPr>
          <w:highlight w:val="none"/>
          <w:lang w:val="zh-CN"/>
        </w:rPr>
        <w:t>连续自动监测系统性能审核</w:t>
      </w:r>
      <w:r>
        <w:rPr>
          <w:highlight w:val="none"/>
        </w:rPr>
        <w:t>”的定义。</w:t>
      </w:r>
    </w:p>
    <w:bookmarkEnd w:id="70"/>
    <w:p w14:paraId="17553D72">
      <w:pPr>
        <w:pStyle w:val="11"/>
        <w:rPr>
          <w:highlight w:val="none"/>
        </w:rPr>
      </w:pPr>
      <w:bookmarkStart w:id="71" w:name="_Toc4191"/>
      <w:bookmarkStart w:id="72" w:name="_Toc128642741"/>
      <w:bookmarkStart w:id="73" w:name="_Toc105423653"/>
      <w:r>
        <w:rPr>
          <w:highlight w:val="none"/>
          <w:lang w:val="zh-CN"/>
        </w:rPr>
        <w:t>标准气体</w:t>
      </w:r>
      <w:bookmarkEnd w:id="71"/>
      <w:bookmarkEnd w:id="72"/>
      <w:r>
        <w:rPr>
          <w:highlight w:val="none"/>
          <w:lang w:val="zh-CN"/>
        </w:rPr>
        <w:t>（Standard gas）</w:t>
      </w:r>
      <w:r>
        <w:rPr>
          <w:highlight w:val="none"/>
        </w:rPr>
        <w:t>，指经过可靠量值溯源程序认可的气体标准物质，主要是以干洁空气或合成空气为底气、被测物种浓度已知的混合气。标准气体按照用途可分为工作气和目标气。工作气是指作为校准用途的标准气体。目标气是指作为验证分析仪器运行稳定性等质控用途的标准气体。</w:t>
      </w:r>
      <w:bookmarkEnd w:id="73"/>
      <w:r>
        <w:rPr>
          <w:highlight w:val="none"/>
        </w:rPr>
        <w:t>该定义主要参考了《中华人民共和国国家计量技术规范》（JJF 1005-2016）标准物质术语和定义中关于</w:t>
      </w:r>
      <w:r>
        <w:rPr>
          <w:rFonts w:hint="eastAsia" w:asciiTheme="minorEastAsia" w:hAnsiTheme="minorEastAsia" w:eastAsiaTheme="minorEastAsia" w:cstheme="minorEastAsia"/>
          <w:highlight w:val="none"/>
        </w:rPr>
        <w:t>“标注物质”</w:t>
      </w:r>
      <w:r>
        <w:rPr>
          <w:highlight w:val="none"/>
        </w:rPr>
        <w:t>的定义。</w:t>
      </w:r>
    </w:p>
    <w:p w14:paraId="02688EF2">
      <w:pPr>
        <w:pStyle w:val="11"/>
        <w:rPr>
          <w:highlight w:val="none"/>
        </w:rPr>
      </w:pPr>
      <w:bookmarkStart w:id="74" w:name="_Toc128642742"/>
      <w:bookmarkStart w:id="75" w:name="_Toc14491"/>
      <w:bookmarkStart w:id="76" w:name="_Toc737"/>
      <w:r>
        <w:rPr>
          <w:highlight w:val="none"/>
        </w:rPr>
        <w:t>光声光谱法（Photoacoustic spectroscopy），光声光谱技术使用间接测量的方法，检测物质对光能的吸收量。</w:t>
      </w:r>
      <w:r>
        <w:rPr>
          <w:rFonts w:hAnsi="宋体"/>
          <w:highlight w:val="none"/>
        </w:rPr>
        <w:t>中红外量子级联激光光声光谱</w:t>
      </w:r>
      <w:r>
        <w:rPr>
          <w:rFonts w:hint="eastAsia" w:hAnsi="宋体"/>
          <w:highlight w:val="none"/>
        </w:rPr>
        <w:t>方法（</w:t>
      </w:r>
      <w:r>
        <w:rPr>
          <w:rStyle w:val="15"/>
          <w:rFonts w:hint="default" w:ascii="Times New Roman" w:hAnsi="Times New Roman"/>
          <w:color w:val="auto"/>
          <w:sz w:val="21"/>
          <w:szCs w:val="21"/>
          <w:highlight w:val="none"/>
        </w:rPr>
        <w:t>QCL</w:t>
      </w:r>
      <w:r>
        <w:rPr>
          <w:highlight w:val="none"/>
        </w:rPr>
        <w:t>PAS</w:t>
      </w:r>
      <w:r>
        <w:rPr>
          <w:rFonts w:hint="eastAsia" w:hAnsi="宋体"/>
          <w:highlight w:val="none"/>
        </w:rPr>
        <w:t>）是以</w:t>
      </w:r>
      <w:r>
        <w:rPr>
          <w:rFonts w:hAnsi="宋体"/>
          <w:highlight w:val="none"/>
        </w:rPr>
        <w:t>中红外量子级联激光</w:t>
      </w:r>
      <w:r>
        <w:rPr>
          <w:rFonts w:hint="eastAsia" w:hAnsi="宋体"/>
          <w:highlight w:val="none"/>
        </w:rPr>
        <w:t>器作为激发光源。</w:t>
      </w:r>
      <w:r>
        <w:rPr>
          <w:highlight w:val="none"/>
        </w:rPr>
        <w:t>当光强为</w:t>
      </w:r>
      <w:r>
        <w:rPr>
          <w:i/>
          <w:iCs/>
          <w:highlight w:val="none"/>
        </w:rPr>
        <w:t>I</w:t>
      </w:r>
      <w:r>
        <w:rPr>
          <w:highlight w:val="none"/>
          <w:vertAlign w:val="subscript"/>
        </w:rPr>
        <w:t>0</w:t>
      </w:r>
      <w:r>
        <w:rPr>
          <w:highlight w:val="none"/>
        </w:rPr>
        <w:t>的光束通过待测气体分子后，其中部分光被待测气体分子所吸收。吸收光能后的气体分子由基态跃迁到激发态，由于激发态的分子不稳定，绝大部分受激分子经过无辐射跃迁回到基态并放出热量，从而产生以光源为中心向外扩展的声波（一种压力波）。当光的强度一定时，声波大小与待测气体浓度成正比，因此通过传感器探测声波的大小，即可获得待测气体的浓度信息。该定义主要参考了《电子学名词》（第一版）中</w:t>
      </w:r>
      <w:r>
        <w:rPr>
          <w:rFonts w:hint="eastAsia" w:asciiTheme="minorEastAsia" w:hAnsiTheme="minorEastAsia" w:eastAsiaTheme="minorEastAsia" w:cstheme="minorEastAsia"/>
          <w:highlight w:val="none"/>
        </w:rPr>
        <w:t>“光声光谱法”</w:t>
      </w:r>
      <w:r>
        <w:rPr>
          <w:highlight w:val="none"/>
        </w:rPr>
        <w:t>的定义。</w:t>
      </w:r>
    </w:p>
    <w:p w14:paraId="280D56CE">
      <w:pPr>
        <w:pStyle w:val="12"/>
        <w:numPr>
          <w:ilvl w:val="1"/>
          <w:numId w:val="1"/>
        </w:numPr>
        <w:tabs>
          <w:tab w:val="center" w:pos="4201"/>
          <w:tab w:val="right" w:leader="dot" w:pos="9298"/>
        </w:tabs>
        <w:rPr>
          <w:rFonts w:ascii="Times New Roman"/>
          <w:highlight w:val="none"/>
          <w:lang w:val="zh-CN"/>
        </w:rPr>
      </w:pPr>
      <w:r>
        <w:rPr>
          <w:rFonts w:ascii="Times New Roman"/>
          <w:highlight w:val="none"/>
          <w:lang w:val="zh-CN"/>
        </w:rPr>
        <w:t>方法原理</w:t>
      </w:r>
      <w:bookmarkEnd w:id="74"/>
      <w:r>
        <w:rPr>
          <w:rFonts w:ascii="Times New Roman"/>
          <w:highlight w:val="none"/>
        </w:rPr>
        <w:t>和系统组成</w:t>
      </w:r>
      <w:bookmarkEnd w:id="75"/>
      <w:bookmarkEnd w:id="76"/>
    </w:p>
    <w:p w14:paraId="22C7F208">
      <w:pPr>
        <w:numPr>
          <w:ilvl w:val="2"/>
          <w:numId w:val="1"/>
        </w:numPr>
        <w:ind w:left="0" w:firstLine="420"/>
        <w:rPr>
          <w:rFonts w:ascii="Times New Roman" w:hAnsi="Times New Roman" w:eastAsia="黑体_x0005_.." w:cs="Times New Roman"/>
          <w:szCs w:val="24"/>
          <w:highlight w:val="none"/>
        </w:rPr>
      </w:pPr>
      <w:r>
        <w:rPr>
          <w:rFonts w:ascii="Times New Roman" w:hAnsi="Times New Roman" w:eastAsia="黑体_x0005_.." w:cs="Times New Roman"/>
          <w:szCs w:val="24"/>
          <w:highlight w:val="none"/>
        </w:rPr>
        <w:t>方法原理</w:t>
      </w:r>
    </w:p>
    <w:p w14:paraId="08EF1AD0">
      <w:pPr>
        <w:ind w:firstLine="420" w:firstLineChars="200"/>
        <w:jc w:val="left"/>
        <w:rPr>
          <w:rFonts w:ascii="Times New Roman" w:hAnsi="Times New Roman" w:eastAsia="宋体" w:cs="Times New Roman"/>
          <w:kern w:val="0"/>
          <w:szCs w:val="20"/>
          <w:highlight w:val="none"/>
        </w:rPr>
      </w:pPr>
      <w:r>
        <w:rPr>
          <w:rFonts w:ascii="Times New Roman" w:hAnsi="Times New Roman" w:eastAsia="宋体" w:cs="Times New Roman"/>
          <w:kern w:val="0"/>
          <w:szCs w:val="20"/>
          <w:highlight w:val="none"/>
        </w:rPr>
        <w:t>通过高性能共振增强型光声腔、低噪声放大处理电路、高灵敏度共振型探测器，采用光声光谱测量方法，利用不同气体指纹区特征检测波长的中红外激光光源和光学组件，实现CO</w:t>
      </w:r>
      <w:r>
        <w:rPr>
          <w:rFonts w:ascii="Times New Roman" w:hAnsi="Times New Roman" w:eastAsia="宋体" w:cs="Times New Roman"/>
          <w:kern w:val="0"/>
          <w:szCs w:val="20"/>
          <w:highlight w:val="none"/>
          <w:vertAlign w:val="subscript"/>
        </w:rPr>
        <w:t>2</w:t>
      </w:r>
      <w:r>
        <w:rPr>
          <w:rFonts w:ascii="Times New Roman" w:hAnsi="Times New Roman" w:eastAsia="宋体" w:cs="Times New Roman"/>
          <w:kern w:val="0"/>
          <w:szCs w:val="20"/>
          <w:highlight w:val="none"/>
        </w:rPr>
        <w:t>、CH</w:t>
      </w:r>
      <w:r>
        <w:rPr>
          <w:rFonts w:ascii="Times New Roman" w:hAnsi="Times New Roman" w:eastAsia="宋体" w:cs="Times New Roman"/>
          <w:kern w:val="0"/>
          <w:szCs w:val="20"/>
          <w:highlight w:val="none"/>
          <w:vertAlign w:val="subscript"/>
        </w:rPr>
        <w:t>4</w:t>
      </w:r>
      <w:r>
        <w:rPr>
          <w:rFonts w:ascii="Times New Roman" w:hAnsi="Times New Roman" w:eastAsia="宋体" w:cs="Times New Roman"/>
          <w:kern w:val="0"/>
          <w:szCs w:val="20"/>
          <w:highlight w:val="none"/>
        </w:rPr>
        <w:t>等温室气体的连续自动监测。</w:t>
      </w:r>
    </w:p>
    <w:p w14:paraId="57E44D97">
      <w:pPr>
        <w:ind w:firstLine="420" w:firstLineChars="200"/>
        <w:jc w:val="left"/>
        <w:rPr>
          <w:rFonts w:ascii="Times New Roman" w:hAnsi="Times New Roman" w:cs="Times New Roman"/>
          <w:highlight w:val="none"/>
        </w:rPr>
      </w:pPr>
      <w:r>
        <w:rPr>
          <w:rFonts w:ascii="Times New Roman" w:hAnsi="Times New Roman" w:cs="Times New Roman"/>
          <w:highlight w:val="none"/>
        </w:rPr>
        <w:t>光声光谱技术与传统吸收光谱技术不同，不需要测量光源经过待测物质后的透射光强，而是使用间接测量的方法，检测物质对光能的吸收量。当光强为I</w:t>
      </w:r>
      <w:r>
        <w:rPr>
          <w:rFonts w:ascii="Times New Roman" w:hAnsi="Times New Roman" w:cs="Times New Roman"/>
          <w:highlight w:val="none"/>
          <w:vertAlign w:val="subscript"/>
        </w:rPr>
        <w:t>0</w:t>
      </w:r>
      <w:r>
        <w:rPr>
          <w:rFonts w:ascii="Times New Roman" w:hAnsi="Times New Roman" w:cs="Times New Roman"/>
          <w:highlight w:val="none"/>
        </w:rPr>
        <w:t>的光束通过待测气体分子后，其中部分光被待测气体分子所吸收。吸收光能后的气体分子由基态跃迁到激发态，由于激发态的分子不稳定，绝大部分受激分子经过无辐射跃迁回到基态并放出热量，从而产生以光源为中心向外扩展的声波（一种压力波）。声波大小与待测气体浓度成正比，因此通过传感器探测声波的大小，即可获得待测气体的浓度信息。</w:t>
      </w:r>
    </w:p>
    <w:p w14:paraId="6C818440">
      <w:pPr>
        <w:pStyle w:val="11"/>
        <w:rPr>
          <w:highlight w:val="none"/>
        </w:rPr>
      </w:pPr>
      <w:r>
        <w:rPr>
          <w:rStyle w:val="15"/>
          <w:rFonts w:hint="default" w:ascii="Times New Roman" w:hAnsi="Times New Roman"/>
          <w:color w:val="auto"/>
          <w:sz w:val="21"/>
          <w:szCs w:val="21"/>
          <w:highlight w:val="none"/>
        </w:rPr>
        <w:t>QCL</w:t>
      </w:r>
      <w:r>
        <w:rPr>
          <w:highlight w:val="none"/>
        </w:rPr>
        <w:t>PAS气体探测装置通常由以下主要部分组成：</w:t>
      </w:r>
      <w:r>
        <w:rPr>
          <w:rFonts w:hAnsi="宋体"/>
          <w:highlight w:val="none"/>
        </w:rPr>
        <w:t>中红外量子级联激光</w:t>
      </w:r>
      <w:r>
        <w:rPr>
          <w:rFonts w:hint="eastAsia" w:hAnsi="宋体"/>
          <w:highlight w:val="none"/>
        </w:rPr>
        <w:t>器</w:t>
      </w:r>
      <w:r>
        <w:rPr>
          <w:highlight w:val="none"/>
        </w:rPr>
        <w:t>、配气系统、气体光声池、声波检测器（麦克风、悬臂梁、石英音叉或者光纤传感器等）以及用于系统测量控制和数据处理的电子单元。</w:t>
      </w:r>
    </w:p>
    <w:p w14:paraId="43030401">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ascii="Times New Roman" w:hAnsi="Times New Roman" w:cs="Times New Roman"/>
          <w:highlight w:val="none"/>
        </w:rPr>
      </w:pPr>
      <w:r>
        <w:rPr>
          <w:rFonts w:ascii="Times New Roman" w:hAnsi="Times New Roman" w:cs="Times New Roman"/>
          <w:highlight w:val="none"/>
        </w:rPr>
        <w:drawing>
          <wp:inline distT="0" distB="0" distL="0" distR="0">
            <wp:extent cx="4543425" cy="2505075"/>
            <wp:effectExtent l="0" t="0" r="1270" b="10160"/>
            <wp:docPr id="74573708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5737086" name="图片 1"/>
                    <pic:cNvPicPr>
                      <a:picLocks noChangeAspect="1"/>
                    </pic:cNvPicPr>
                  </pic:nvPicPr>
                  <pic:blipFill>
                    <a:blip r:embed="rId9"/>
                    <a:stretch>
                      <a:fillRect/>
                    </a:stretch>
                  </pic:blipFill>
                  <pic:spPr>
                    <a:xfrm>
                      <a:off x="0" y="0"/>
                      <a:ext cx="4543458" cy="2505093"/>
                    </a:xfrm>
                    <a:prstGeom prst="rect">
                      <a:avLst/>
                    </a:prstGeom>
                  </pic:spPr>
                </pic:pic>
              </a:graphicData>
            </a:graphic>
          </wp:inline>
        </w:drawing>
      </w:r>
    </w:p>
    <w:p w14:paraId="65BD74BA">
      <w:pPr>
        <w:ind w:firstLine="360" w:firstLineChars="200"/>
        <w:jc w:val="center"/>
        <w:rPr>
          <w:rFonts w:ascii="Times New Roman" w:hAnsi="Times New Roman" w:cs="Times New Roman"/>
          <w:sz w:val="18"/>
          <w:szCs w:val="18"/>
          <w:highlight w:val="none"/>
        </w:rPr>
      </w:pPr>
      <w:r>
        <w:rPr>
          <w:rFonts w:ascii="Times New Roman" w:hAnsi="Times New Roman" w:eastAsia="黑体" w:cs="Times New Roman"/>
          <w:sz w:val="18"/>
          <w:szCs w:val="18"/>
          <w:highlight w:val="none"/>
        </w:rPr>
        <w:t>图2光声气体探测装置基本构成的示意图</w:t>
      </w:r>
    </w:p>
    <w:p w14:paraId="3033DFA9">
      <w:pPr>
        <w:numPr>
          <w:ilvl w:val="2"/>
          <w:numId w:val="1"/>
        </w:numPr>
        <w:ind w:left="0" w:firstLine="420"/>
        <w:rPr>
          <w:rFonts w:ascii="Times New Roman" w:hAnsi="Times New Roman" w:eastAsia="黑体_x0005_.." w:cs="Times New Roman"/>
          <w:szCs w:val="24"/>
          <w:highlight w:val="none"/>
        </w:rPr>
      </w:pPr>
      <w:r>
        <w:rPr>
          <w:rFonts w:ascii="Times New Roman" w:hAnsi="Times New Roman" w:eastAsia="黑体_x0005_.." w:cs="Times New Roman"/>
          <w:szCs w:val="24"/>
          <w:highlight w:val="none"/>
        </w:rPr>
        <w:t>系统的构成</w:t>
      </w:r>
    </w:p>
    <w:p w14:paraId="511812F0">
      <w:pPr>
        <w:ind w:firstLine="420" w:firstLineChars="200"/>
        <w:jc w:val="left"/>
        <w:rPr>
          <w:rFonts w:ascii="Times New Roman" w:hAnsi="Times New Roman" w:eastAsia="宋体_x0005_.." w:cs="Times New Roman"/>
          <w:szCs w:val="24"/>
          <w:highlight w:val="none"/>
        </w:rPr>
      </w:pPr>
      <w:r>
        <w:rPr>
          <w:rFonts w:ascii="Times New Roman" w:hAnsi="Times New Roman" w:eastAsia="宋体" w:cs="Times New Roman"/>
          <w:kern w:val="0"/>
          <w:szCs w:val="20"/>
          <w:highlight w:val="none"/>
        </w:rPr>
        <w:t>温室气体高精度自动监测系统由采样单元、分析单元、气象监测单元、数据采集与控制单元、数据处理与通讯单元、辅助设备及试剂耗材等组成。其中，</w:t>
      </w:r>
      <w:r>
        <w:rPr>
          <w:rFonts w:ascii="Times New Roman" w:hAnsi="Times New Roman" w:eastAsia="宋体" w:cs="Times New Roman"/>
          <w:kern w:val="0"/>
          <w:szCs w:val="20"/>
          <w:highlight w:val="none"/>
          <w:lang w:val="zh-CN"/>
        </w:rPr>
        <w:t>采样单元由采样塔、采样管、除水设施、采样泵、流量压力控制模块、标校模块等组成；分析单元由光源、腔室、探测器、控制电路、温控模块和压控模块等组成，实现进样气体的检测与分析；气象监测单元由温度、湿度、气压、风速和风向五个参数的监测模块组成；数据采集与控制单元用于设置仪器参数、控制仪器、采集和存储监测数据；数据处理与通讯单元用于处理和传输监测数据；辅助设备及试剂、耗材包括</w:t>
      </w:r>
      <w:r>
        <w:rPr>
          <w:rFonts w:ascii="Times New Roman" w:hAnsi="Times New Roman" w:eastAsia="宋体" w:cs="Times New Roman"/>
          <w:kern w:val="0"/>
          <w:szCs w:val="20"/>
          <w:highlight w:val="none"/>
        </w:rPr>
        <w:t>标准</w:t>
      </w:r>
      <w:r>
        <w:rPr>
          <w:rFonts w:ascii="Times New Roman" w:hAnsi="Times New Roman" w:eastAsia="宋体" w:cs="Times New Roman"/>
          <w:kern w:val="0"/>
          <w:szCs w:val="20"/>
          <w:highlight w:val="none"/>
          <w:lang w:val="zh-CN"/>
        </w:rPr>
        <w:t>气体、除氧器、进样针、三脚架、气象传感器等。</w:t>
      </w:r>
      <w:r>
        <w:rPr>
          <w:rFonts w:ascii="Times New Roman" w:hAnsi="Times New Roman" w:eastAsia="宋体_x0005_.." w:cs="Times New Roman"/>
          <w:szCs w:val="24"/>
          <w:highlight w:val="none"/>
        </w:rPr>
        <w:t>系统基本构建框图如下：</w:t>
      </w:r>
    </w:p>
    <w:p w14:paraId="239B520A">
      <w:pPr>
        <w:jc w:val="left"/>
        <w:rPr>
          <w:rFonts w:ascii="Times New Roman" w:hAnsi="Times New Roman" w:eastAsia="宋体_x0005_.." w:cs="Times New Roman"/>
          <w:szCs w:val="24"/>
          <w:highlight w:val="none"/>
        </w:rPr>
      </w:pPr>
      <w:r>
        <w:rPr>
          <w:rFonts w:ascii="Times New Roman" w:hAnsi="Times New Roman" w:cs="Times New Roman"/>
          <w:highlight w:val="none"/>
        </w:rPr>
        <w:drawing>
          <wp:inline distT="0" distB="0" distL="0" distR="0">
            <wp:extent cx="5274310" cy="1947545"/>
            <wp:effectExtent l="0" t="0" r="2540" b="0"/>
            <wp:docPr id="190661387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6613877" name="图片 1"/>
                    <pic:cNvPicPr>
                      <a:picLocks noChangeAspect="1"/>
                    </pic:cNvPicPr>
                  </pic:nvPicPr>
                  <pic:blipFill>
                    <a:blip r:embed="rId10"/>
                    <a:stretch>
                      <a:fillRect/>
                    </a:stretch>
                  </pic:blipFill>
                  <pic:spPr>
                    <a:xfrm>
                      <a:off x="0" y="0"/>
                      <a:ext cx="5274310" cy="1947545"/>
                    </a:xfrm>
                    <a:prstGeom prst="rect">
                      <a:avLst/>
                    </a:prstGeom>
                  </pic:spPr>
                </pic:pic>
              </a:graphicData>
            </a:graphic>
          </wp:inline>
        </w:drawing>
      </w:r>
    </w:p>
    <w:p w14:paraId="18A6FCBD">
      <w:pPr>
        <w:ind w:firstLine="360" w:firstLineChars="200"/>
        <w:jc w:val="center"/>
        <w:rPr>
          <w:rFonts w:ascii="Times New Roman" w:hAnsi="Times New Roman" w:eastAsia="黑体" w:cs="Times New Roman"/>
          <w:sz w:val="18"/>
          <w:szCs w:val="18"/>
          <w:highlight w:val="none"/>
        </w:rPr>
      </w:pPr>
      <w:r>
        <w:rPr>
          <w:rFonts w:ascii="Times New Roman" w:hAnsi="Times New Roman" w:eastAsia="黑体" w:cs="Times New Roman"/>
          <w:sz w:val="18"/>
          <w:szCs w:val="18"/>
          <w:highlight w:val="none"/>
        </w:rPr>
        <w:t>图3 系统组成示意图</w:t>
      </w:r>
    </w:p>
    <w:p w14:paraId="593A8D7D">
      <w:pPr>
        <w:pStyle w:val="12"/>
        <w:numPr>
          <w:ilvl w:val="1"/>
          <w:numId w:val="1"/>
        </w:numPr>
        <w:tabs>
          <w:tab w:val="center" w:pos="4201"/>
          <w:tab w:val="right" w:leader="dot" w:pos="9298"/>
        </w:tabs>
        <w:rPr>
          <w:rFonts w:ascii="Times New Roman" w:eastAsia="宋体"/>
          <w:szCs w:val="20"/>
          <w:highlight w:val="none"/>
        </w:rPr>
      </w:pPr>
      <w:bookmarkStart w:id="77" w:name="_Toc10741"/>
      <w:bookmarkStart w:id="78" w:name="_Toc21010"/>
      <w:r>
        <w:rPr>
          <w:rFonts w:ascii="Times New Roman"/>
          <w:highlight w:val="none"/>
        </w:rPr>
        <w:t>技术性能要求</w:t>
      </w:r>
      <w:bookmarkEnd w:id="77"/>
      <w:bookmarkEnd w:id="78"/>
    </w:p>
    <w:p w14:paraId="3652E268">
      <w:pPr>
        <w:numPr>
          <w:ilvl w:val="2"/>
          <w:numId w:val="1"/>
        </w:numPr>
        <w:ind w:left="0" w:firstLine="420"/>
        <w:rPr>
          <w:rFonts w:ascii="Times New Roman" w:hAnsi="Times New Roman" w:cs="Times New Roman"/>
          <w:highlight w:val="none"/>
        </w:rPr>
      </w:pPr>
      <w:r>
        <w:rPr>
          <w:rFonts w:ascii="Times New Roman" w:hAnsi="Times New Roman" w:eastAsia="黑体_x0005_.." w:cs="Times New Roman"/>
          <w:szCs w:val="24"/>
          <w:highlight w:val="none"/>
        </w:rPr>
        <w:t>温度测量示值误差</w:t>
      </w:r>
    </w:p>
    <w:p w14:paraId="24C47C23">
      <w:pPr>
        <w:ind w:firstLine="420" w:firstLineChars="200"/>
        <w:rPr>
          <w:rFonts w:ascii="Times New Roman" w:hAnsi="Times New Roman" w:cs="Times New Roman" w:eastAsiaTheme="majorEastAsia"/>
          <w:highlight w:val="none"/>
        </w:rPr>
      </w:pPr>
      <w:r>
        <w:rPr>
          <w:rFonts w:ascii="Times New Roman" w:hAnsi="Times New Roman" w:cs="Times New Roman" w:eastAsiaTheme="majorEastAsia"/>
          <w:highlight w:val="none"/>
        </w:rPr>
        <w:t>本标准规定</w:t>
      </w:r>
      <w:r>
        <w:rPr>
          <w:rFonts w:hint="eastAsia" w:asciiTheme="minorEastAsia" w:hAnsiTheme="minorEastAsia" w:eastAsiaTheme="minorEastAsia" w:cstheme="minorEastAsia"/>
          <w:highlight w:val="none"/>
        </w:rPr>
        <w:t>“环境温度示值误差±</w:t>
      </w:r>
      <w:r>
        <w:rPr>
          <w:rFonts w:hint="default" w:ascii="Times New Roman" w:hAnsi="Times New Roman" w:cs="Times New Roman"/>
          <w:highlight w:val="none"/>
          <w:lang w:val="en-US" w:eastAsia="zh-CN"/>
        </w:rPr>
        <w:t>0.5</w:t>
      </w:r>
      <w:r>
        <w:rPr>
          <w:rFonts w:hint="eastAsia" w:asciiTheme="minorEastAsia" w:hAnsiTheme="minorEastAsia" w:eastAsiaTheme="minorEastAsia" w:cstheme="minorEastAsia"/>
          <w:highlight w:val="none"/>
        </w:rPr>
        <w:t>℃”</w:t>
      </w:r>
      <w:r>
        <w:rPr>
          <w:rFonts w:ascii="Times New Roman" w:hAnsi="Times New Roman" w:cs="Times New Roman" w:eastAsiaTheme="majorEastAsia"/>
          <w:highlight w:val="none"/>
        </w:rPr>
        <w:t>，旨在评价仪器对环境温度测量的准确性，性能指标要求和检测方法</w:t>
      </w:r>
      <w:bookmarkStart w:id="79" w:name="_Hlk150879212"/>
      <w:r>
        <w:rPr>
          <w:rFonts w:ascii="Times New Roman" w:hAnsi="Times New Roman" w:cs="Times New Roman" w:eastAsiaTheme="majorEastAsia"/>
          <w:highlight w:val="none"/>
        </w:rPr>
        <w:t>可参考《环境空气颗粒物</w:t>
      </w:r>
      <w:r>
        <w:rPr>
          <w:rFonts w:hint="eastAsia" w:ascii="Times New Roman" w:hAnsi="Times New Roman" w:cs="Times New Roman" w:eastAsiaTheme="majorEastAsia"/>
          <w:highlight w:val="none"/>
        </w:rPr>
        <w:t>（</w:t>
      </w:r>
      <w:r>
        <w:rPr>
          <w:rFonts w:ascii="Times New Roman" w:hAnsi="Times New Roman" w:cs="Times New Roman" w:eastAsiaTheme="majorEastAsia"/>
          <w:highlight w:val="none"/>
        </w:rPr>
        <w:t>PM</w:t>
      </w:r>
      <w:r>
        <w:rPr>
          <w:rFonts w:ascii="Times New Roman" w:hAnsi="Times New Roman" w:cs="Times New Roman" w:eastAsiaTheme="majorEastAsia"/>
          <w:highlight w:val="none"/>
          <w:vertAlign w:val="subscript"/>
        </w:rPr>
        <w:t>10</w:t>
      </w:r>
      <w:r>
        <w:rPr>
          <w:rFonts w:ascii="Times New Roman" w:hAnsi="Times New Roman" w:cs="Times New Roman" w:eastAsiaTheme="majorEastAsia"/>
          <w:highlight w:val="none"/>
        </w:rPr>
        <w:t>和PM</w:t>
      </w:r>
      <w:r>
        <w:rPr>
          <w:rFonts w:ascii="Times New Roman" w:hAnsi="Times New Roman" w:cs="Times New Roman" w:eastAsiaTheme="majorEastAsia"/>
          <w:highlight w:val="none"/>
          <w:vertAlign w:val="subscript"/>
        </w:rPr>
        <w:t>2.5</w:t>
      </w:r>
      <w:r>
        <w:rPr>
          <w:rFonts w:hint="eastAsia" w:ascii="Times New Roman" w:hAnsi="Times New Roman" w:cs="Times New Roman" w:eastAsiaTheme="majorEastAsia"/>
          <w:highlight w:val="none"/>
          <w:vertAlign w:val="subscript"/>
        </w:rPr>
        <w:t>）</w:t>
      </w:r>
      <w:r>
        <w:rPr>
          <w:rFonts w:ascii="Times New Roman" w:hAnsi="Times New Roman" w:cs="Times New Roman" w:eastAsiaTheme="majorEastAsia"/>
          <w:highlight w:val="none"/>
        </w:rPr>
        <w:t>连续自动监测系统技术要求及检测方法》HJ 653-2013标准</w:t>
      </w:r>
      <w:bookmarkEnd w:id="79"/>
      <w:r>
        <w:rPr>
          <w:rFonts w:ascii="Times New Roman" w:hAnsi="Times New Roman" w:cs="Times New Roman" w:eastAsiaTheme="majorEastAsia"/>
          <w:highlight w:val="none"/>
        </w:rPr>
        <w:t>。</w:t>
      </w:r>
    </w:p>
    <w:p w14:paraId="20DB01B7">
      <w:pPr>
        <w:numPr>
          <w:ilvl w:val="2"/>
          <w:numId w:val="1"/>
        </w:numPr>
        <w:ind w:left="0" w:firstLine="420"/>
        <w:rPr>
          <w:rFonts w:ascii="Times New Roman" w:hAnsi="Times New Roman" w:cs="Times New Roman"/>
          <w:highlight w:val="none"/>
        </w:rPr>
      </w:pPr>
      <w:r>
        <w:rPr>
          <w:rFonts w:ascii="Times New Roman" w:hAnsi="Times New Roman" w:eastAsia="黑体_x0005_.." w:cs="Times New Roman"/>
          <w:szCs w:val="24"/>
          <w:highlight w:val="none"/>
        </w:rPr>
        <w:t>大气压测量示值误</w:t>
      </w:r>
    </w:p>
    <w:p w14:paraId="0CDD8966">
      <w:pPr>
        <w:ind w:firstLine="420" w:firstLineChars="200"/>
        <w:rPr>
          <w:rFonts w:ascii="Times New Roman" w:hAnsi="Times New Roman" w:cs="Times New Roman"/>
          <w:highlight w:val="none"/>
        </w:rPr>
      </w:pPr>
      <w:r>
        <w:rPr>
          <w:rFonts w:ascii="Times New Roman" w:hAnsi="Times New Roman" w:cs="Times New Roman"/>
          <w:highlight w:val="none"/>
        </w:rPr>
        <w:t>本标准规定</w:t>
      </w:r>
      <w:r>
        <w:rPr>
          <w:rFonts w:hint="eastAsia" w:asciiTheme="minorEastAsia" w:hAnsiTheme="minorEastAsia" w:eastAsiaTheme="minorEastAsia" w:cstheme="minorEastAsia"/>
          <w:highlight w:val="none"/>
        </w:rPr>
        <w:t>“大气压示值误差±1kPa”</w:t>
      </w:r>
      <w:r>
        <w:rPr>
          <w:rFonts w:ascii="Times New Roman" w:hAnsi="Times New Roman" w:cs="Times New Roman"/>
          <w:highlight w:val="none"/>
        </w:rPr>
        <w:t>，旨在评价仪器对环境大气压测量的准确性，性能指标要求和检测方法可参考《环境空气颗粒物</w:t>
      </w:r>
      <w:r>
        <w:rPr>
          <w:rFonts w:hint="eastAsia" w:ascii="Times New Roman" w:hAnsi="Times New Roman" w:cs="Times New Roman"/>
          <w:highlight w:val="none"/>
        </w:rPr>
        <w:t>（</w:t>
      </w:r>
      <w:r>
        <w:rPr>
          <w:rFonts w:ascii="Times New Roman" w:hAnsi="Times New Roman" w:cs="Times New Roman"/>
          <w:highlight w:val="none"/>
        </w:rPr>
        <w:t>PM</w:t>
      </w:r>
      <w:r>
        <w:rPr>
          <w:rFonts w:ascii="Times New Roman" w:hAnsi="Times New Roman" w:cs="Times New Roman"/>
          <w:highlight w:val="none"/>
          <w:vertAlign w:val="subscript"/>
        </w:rPr>
        <w:t>10</w:t>
      </w:r>
      <w:r>
        <w:rPr>
          <w:rFonts w:ascii="Times New Roman" w:hAnsi="Times New Roman" w:cs="Times New Roman"/>
          <w:highlight w:val="none"/>
        </w:rPr>
        <w:t>和PM</w:t>
      </w:r>
      <w:r>
        <w:rPr>
          <w:rFonts w:ascii="Times New Roman" w:hAnsi="Times New Roman" w:cs="Times New Roman"/>
          <w:highlight w:val="none"/>
          <w:vertAlign w:val="subscript"/>
        </w:rPr>
        <w:t>2.5</w:t>
      </w:r>
      <w:r>
        <w:rPr>
          <w:rFonts w:hint="eastAsia" w:ascii="Times New Roman" w:hAnsi="Times New Roman" w:cs="Times New Roman"/>
          <w:highlight w:val="none"/>
          <w:vertAlign w:val="subscript"/>
        </w:rPr>
        <w:t>）</w:t>
      </w:r>
      <w:r>
        <w:rPr>
          <w:rFonts w:ascii="Times New Roman" w:hAnsi="Times New Roman" w:cs="Times New Roman"/>
          <w:highlight w:val="none"/>
        </w:rPr>
        <w:t>连续自动监测系统技术要求及检测方法》（HJ 653-2013）标准。</w:t>
      </w:r>
    </w:p>
    <w:p w14:paraId="29ECBF36">
      <w:pPr>
        <w:numPr>
          <w:ilvl w:val="2"/>
          <w:numId w:val="1"/>
        </w:numPr>
        <w:ind w:left="0" w:firstLine="420"/>
        <w:rPr>
          <w:rFonts w:ascii="Times New Roman" w:hAnsi="Times New Roman" w:cs="Times New Roman"/>
          <w:highlight w:val="none"/>
        </w:rPr>
      </w:pPr>
      <w:r>
        <w:rPr>
          <w:rFonts w:ascii="Times New Roman" w:hAnsi="Times New Roman" w:eastAsia="黑体_x0005_.." w:cs="Times New Roman"/>
          <w:szCs w:val="24"/>
          <w:highlight w:val="none"/>
        </w:rPr>
        <w:t>采样流量</w:t>
      </w:r>
    </w:p>
    <w:p w14:paraId="7A703415">
      <w:pPr>
        <w:ind w:firstLine="420" w:firstLineChars="200"/>
        <w:rPr>
          <w:rFonts w:ascii="Times New Roman" w:hAnsi="Times New Roman" w:cs="Times New Roman"/>
          <w:highlight w:val="none"/>
        </w:rPr>
      </w:pPr>
      <w:r>
        <w:rPr>
          <w:rFonts w:ascii="Times New Roman" w:hAnsi="Times New Roman" w:cs="Times New Roman"/>
          <w:highlight w:val="none"/>
        </w:rPr>
        <w:t>采样流量是指在采集空气样品时，每分钟通过空气收集器的空气体积。仪器运行过程中，流量控制器和流量传感器都可能出现性能下降和损坏，会造成样气流量的不正确，影响检测一致性和精确性。为保证采样流量测量结果的稳定性，参考《环境空气自动监测系统检测作业指导书》，本标准要求仪器运行中，样气流量稳定性小于±5%。</w:t>
      </w:r>
    </w:p>
    <w:p w14:paraId="3D8B160C">
      <w:pPr>
        <w:numPr>
          <w:ilvl w:val="2"/>
          <w:numId w:val="1"/>
        </w:numPr>
        <w:ind w:left="0" w:firstLine="420"/>
        <w:rPr>
          <w:rFonts w:ascii="Times New Roman" w:hAnsi="Times New Roman" w:eastAsia="黑体_x0005_.." w:cs="Times New Roman"/>
          <w:szCs w:val="24"/>
          <w:highlight w:val="none"/>
        </w:rPr>
      </w:pPr>
      <w:r>
        <w:rPr>
          <w:rFonts w:ascii="Times New Roman" w:hAnsi="Times New Roman" w:eastAsia="黑体_x0005_.." w:cs="Times New Roman"/>
          <w:szCs w:val="24"/>
          <w:highlight w:val="none"/>
        </w:rPr>
        <w:t>分析流量</w:t>
      </w:r>
    </w:p>
    <w:p w14:paraId="1BD98D1F">
      <w:pPr>
        <w:ind w:firstLine="420" w:firstLineChars="200"/>
        <w:rPr>
          <w:rFonts w:ascii="Times New Roman" w:hAnsi="Times New Roman" w:cs="Times New Roman"/>
          <w:highlight w:val="none"/>
        </w:rPr>
      </w:pPr>
      <w:r>
        <w:rPr>
          <w:rFonts w:ascii="Times New Roman" w:hAnsi="Times New Roman" w:cs="Times New Roman"/>
          <w:highlight w:val="none"/>
        </w:rPr>
        <w:t>温室气体高精度自动监测系统的分析流量需要综合考虑仪器的进气管路、排气管路、腔室大小、腔室压力控制等因素进行确定，进入仪器内部腔室的气体流量需要具有良好的稳定性，以保证仪器对温室气体进行连续稳定的监测分析。</w:t>
      </w:r>
    </w:p>
    <w:p w14:paraId="0407B209">
      <w:pPr>
        <w:numPr>
          <w:ilvl w:val="2"/>
          <w:numId w:val="1"/>
        </w:numPr>
        <w:ind w:left="0" w:firstLine="420"/>
        <w:rPr>
          <w:rFonts w:ascii="Times New Roman" w:hAnsi="Times New Roman" w:cs="Times New Roman"/>
          <w:highlight w:val="none"/>
        </w:rPr>
      </w:pPr>
      <w:r>
        <w:rPr>
          <w:rFonts w:ascii="Times New Roman" w:hAnsi="Times New Roman" w:eastAsia="黑体_x0005_.." w:cs="Times New Roman"/>
          <w:szCs w:val="24"/>
          <w:highlight w:val="none"/>
        </w:rPr>
        <w:t>精密度</w:t>
      </w:r>
    </w:p>
    <w:p w14:paraId="3645B998">
      <w:pPr>
        <w:ind w:firstLine="420" w:firstLineChars="200"/>
        <w:rPr>
          <w:rFonts w:ascii="Times New Roman" w:hAnsi="Times New Roman" w:cs="Times New Roman"/>
          <w:highlight w:val="none"/>
        </w:rPr>
      </w:pPr>
      <w:r>
        <w:rPr>
          <w:rFonts w:ascii="Times New Roman" w:hAnsi="Times New Roman" w:cs="Times New Roman"/>
          <w:highlight w:val="none"/>
        </w:rPr>
        <w:t>精密度是指仪器的重复性精度，反应仪器重复测量同一浓度气体时一起读数相对均值的偏差，使用标准偏差表示。</w:t>
      </w:r>
      <w:bookmarkStart w:id="80" w:name="_Toc128642773"/>
      <w:r>
        <w:rPr>
          <w:rFonts w:ascii="Times New Roman" w:hAnsi="Times New Roman" w:cs="Times New Roman"/>
          <w:highlight w:val="none"/>
        </w:rPr>
        <w:t>向监测系统通入某一浓度的标气，标气浓度在所监测地区被测气体全年小时浓度范围的50百分位浓度附近每次等待仪器读数稳定后记录仪器示值，根据仪器示值的相对标准偏差，来确定仪器的精密度。</w:t>
      </w:r>
      <w:bookmarkEnd w:id="80"/>
      <w:r>
        <w:rPr>
          <w:rFonts w:ascii="Times New Roman" w:hAnsi="Times New Roman" w:cs="Times New Roman"/>
          <w:highlight w:val="none"/>
        </w:rPr>
        <w:t>例如，向监测系统通入要求浓度的标气，待仪器读数稳定后，记录仪器示值，建议每次通气15分钟，取后5分钟原始监测数据参与计算。</w:t>
      </w:r>
      <w:r>
        <w:rPr>
          <w:rFonts w:hint="eastAsia" w:ascii="Times New Roman" w:hAnsi="Times New Roman" w:cs="Times New Roman"/>
          <w:highlight w:val="none"/>
        </w:rPr>
        <w:t>利用</w:t>
      </w:r>
      <w:r>
        <w:rPr>
          <w:rFonts w:ascii="Times New Roman" w:hAnsi="Times New Roman" w:cs="Times New Roman"/>
          <w:highlight w:val="none"/>
        </w:rPr>
        <w:t>该仪器示值计算相对标准偏差，用相对标准偏差作为该仪器报出的精密度。</w:t>
      </w:r>
    </w:p>
    <w:p w14:paraId="2BEDCA25">
      <w:pPr>
        <w:numPr>
          <w:ilvl w:val="2"/>
          <w:numId w:val="1"/>
        </w:numPr>
        <w:ind w:left="0" w:firstLine="420"/>
        <w:rPr>
          <w:rFonts w:ascii="Times New Roman" w:hAnsi="Times New Roman" w:cs="Times New Roman"/>
          <w:highlight w:val="none"/>
        </w:rPr>
      </w:pPr>
      <w:r>
        <w:rPr>
          <w:rFonts w:ascii="Times New Roman" w:hAnsi="Times New Roman" w:eastAsia="黑体_x0005_.." w:cs="Times New Roman"/>
          <w:szCs w:val="24"/>
          <w:highlight w:val="none"/>
        </w:rPr>
        <w:t>正确度</w:t>
      </w:r>
    </w:p>
    <w:p w14:paraId="5C70C3AF">
      <w:pPr>
        <w:ind w:firstLine="420" w:firstLineChars="200"/>
        <w:rPr>
          <w:rFonts w:ascii="Times New Roman" w:hAnsi="Times New Roman" w:cs="Times New Roman"/>
          <w:highlight w:val="none"/>
        </w:rPr>
      </w:pPr>
      <w:r>
        <w:rPr>
          <w:rFonts w:ascii="Times New Roman" w:hAnsi="Times New Roman" w:cs="Times New Roman"/>
          <w:highlight w:val="none"/>
        </w:rPr>
        <w:t>向监测系统通入一系列浓度的标气，每次等待仪器读数稳定后记录仪器示值，用最小二乘法步骤做出多点校准曲线，用相关系数和站点工作气相关差值对仪器正确度进行评价。例如，将1组6瓶审核标气与站点工作气交叉通入监测系统，浓度由低到高，每次通气15分钟，取后5分钟监测数据均值为记录结果。将审核标气的仪器响应浓度值与标气标称浓度值进行线性相关分析，用最小二乘法绘制仪器校准曲线。将工作气仪器响应值代入校准曲线的拟合方程，计算出工作气的差值。对所获校准曲线的相关系数和工作气差值应符合以下要求，若其中任何一项指标不满足要求，则需对监测仪器及系统进行保养、检修，直至检验指标符合要求。</w:t>
      </w:r>
    </w:p>
    <w:p w14:paraId="6D0FED09">
      <w:pPr>
        <w:numPr>
          <w:ilvl w:val="2"/>
          <w:numId w:val="1"/>
        </w:numPr>
        <w:ind w:left="0" w:firstLine="420"/>
        <w:rPr>
          <w:rFonts w:ascii="Times New Roman" w:hAnsi="Times New Roman" w:eastAsia="黑体_x0005_.." w:cs="Times New Roman"/>
          <w:szCs w:val="24"/>
          <w:highlight w:val="none"/>
        </w:rPr>
      </w:pPr>
      <w:r>
        <w:rPr>
          <w:rFonts w:ascii="Times New Roman" w:hAnsi="Times New Roman" w:eastAsia="黑体_x0005_.." w:cs="Times New Roman"/>
          <w:szCs w:val="24"/>
          <w:highlight w:val="none"/>
        </w:rPr>
        <w:t>可比性</w:t>
      </w:r>
    </w:p>
    <w:p w14:paraId="170551A8">
      <w:pPr>
        <w:ind w:firstLine="420" w:firstLineChars="200"/>
        <w:rPr>
          <w:rFonts w:ascii="Times New Roman" w:hAnsi="Times New Roman" w:cs="Times New Roman"/>
          <w:highlight w:val="none"/>
        </w:rPr>
      </w:pPr>
      <w:r>
        <w:rPr>
          <w:rFonts w:ascii="Times New Roman" w:hAnsi="Times New Roman" w:cs="Times New Roman"/>
          <w:highlight w:val="none"/>
        </w:rPr>
        <w:t>向监测系统通入某一浓度的标气，等待仪器读数稳定后记录仪器示值，根据仪器示值的修正浓度值与标称浓度值的差值，来确定监测系统与标准气体的可比性。例如，将审核用标气从站房内除水设备前端通入监测系统，每次通气20分钟，取后5分钟监测数据均值为记录结果。根据校准方程计算出审核标气的修正浓度值，将审核标气修正浓度值与标气标称浓度值比较，计算出审核标气差值，作为</w:t>
      </w:r>
      <w:r>
        <w:rPr>
          <w:rFonts w:ascii="Times New Roman" w:hAnsi="Times New Roman" w:cs="Times New Roman"/>
          <w:szCs w:val="21"/>
          <w:highlight w:val="none"/>
        </w:rPr>
        <w:t>监测仪器与标准气体的可比性。</w:t>
      </w:r>
      <w:r>
        <w:rPr>
          <w:rFonts w:ascii="Times New Roman" w:hAnsi="Times New Roman" w:cs="Times New Roman"/>
          <w:highlight w:val="none"/>
        </w:rPr>
        <w:t xml:space="preserve"> </w:t>
      </w:r>
    </w:p>
    <w:p w14:paraId="421A5659">
      <w:pPr>
        <w:numPr>
          <w:ilvl w:val="1"/>
          <w:numId w:val="1"/>
        </w:numPr>
        <w:tabs>
          <w:tab w:val="center" w:pos="4201"/>
          <w:tab w:val="right" w:leader="dot" w:pos="9298"/>
        </w:tabs>
        <w:spacing w:before="156" w:beforeLines="50" w:after="156" w:afterLines="50"/>
        <w:ind w:firstLine="420"/>
        <w:outlineLvl w:val="2"/>
        <w:rPr>
          <w:rFonts w:ascii="Times New Roman" w:hAnsi="Times New Roman" w:eastAsia="黑体" w:cs="Times New Roman"/>
          <w:szCs w:val="21"/>
          <w:highlight w:val="none"/>
        </w:rPr>
      </w:pPr>
      <w:bookmarkStart w:id="81" w:name="_Toc12860"/>
      <w:bookmarkStart w:id="82" w:name="_Toc128642752"/>
      <w:bookmarkStart w:id="83" w:name="_Toc877"/>
      <w:bookmarkStart w:id="84" w:name="_Toc26952"/>
      <w:r>
        <w:rPr>
          <w:rFonts w:ascii="Times New Roman" w:hAnsi="Times New Roman" w:eastAsia="黑体" w:cs="Times New Roman"/>
          <w:szCs w:val="21"/>
          <w:highlight w:val="none"/>
        </w:rPr>
        <w:t>安装、调试与验收</w:t>
      </w:r>
      <w:bookmarkEnd w:id="81"/>
      <w:bookmarkEnd w:id="82"/>
      <w:bookmarkEnd w:id="83"/>
      <w:bookmarkEnd w:id="84"/>
    </w:p>
    <w:p w14:paraId="076F76A4">
      <w:pPr>
        <w:numPr>
          <w:ilvl w:val="2"/>
          <w:numId w:val="1"/>
        </w:numPr>
        <w:ind w:left="0" w:firstLine="420"/>
        <w:rPr>
          <w:rFonts w:ascii="Times New Roman" w:hAnsi="Times New Roman" w:eastAsia="黑体_x0005_.." w:cs="Times New Roman"/>
          <w:szCs w:val="24"/>
          <w:highlight w:val="none"/>
        </w:rPr>
      </w:pPr>
      <w:r>
        <w:rPr>
          <w:rFonts w:ascii="Times New Roman" w:hAnsi="Times New Roman" w:eastAsia="黑体_x0005_.." w:cs="Times New Roman"/>
          <w:szCs w:val="24"/>
          <w:highlight w:val="none"/>
        </w:rPr>
        <w:t>监测点位要求</w:t>
      </w:r>
    </w:p>
    <w:p w14:paraId="5A27310B">
      <w:pPr>
        <w:pStyle w:val="13"/>
        <w:numPr>
          <w:ilvl w:val="0"/>
          <w:numId w:val="3"/>
        </w:numPr>
        <w:ind w:left="0" w:firstLine="420" w:firstLineChars="200"/>
        <w:jc w:val="both"/>
        <w:rPr>
          <w:highlight w:val="none"/>
        </w:rPr>
      </w:pPr>
      <w:r>
        <w:rPr>
          <w:highlight w:val="none"/>
        </w:rPr>
        <w:t>布设要求</w:t>
      </w:r>
    </w:p>
    <w:p w14:paraId="2C914711">
      <w:pPr>
        <w:ind w:firstLine="420" w:firstLineChars="200"/>
        <w:rPr>
          <w:rFonts w:ascii="Times New Roman" w:hAnsi="Times New Roman" w:cs="Times New Roman"/>
          <w:highlight w:val="none"/>
        </w:rPr>
      </w:pPr>
      <w:r>
        <w:rPr>
          <w:rFonts w:ascii="Times New Roman" w:hAnsi="Times New Roman" w:cs="Times New Roman"/>
          <w:highlight w:val="none"/>
        </w:rPr>
        <w:t>城市点，综合考虑城市环境条件、经济社会特点以及温室气体排放特征，新建或者依托城市现有符合要求的设施，在城市内合理布设点位。</w:t>
      </w:r>
    </w:p>
    <w:p w14:paraId="5C60295F">
      <w:pPr>
        <w:ind w:firstLine="420" w:firstLineChars="200"/>
        <w:rPr>
          <w:rFonts w:ascii="Times New Roman" w:hAnsi="Times New Roman" w:cs="Times New Roman"/>
          <w:highlight w:val="none"/>
        </w:rPr>
      </w:pPr>
      <w:r>
        <w:rPr>
          <w:rFonts w:ascii="Times New Roman" w:hAnsi="Times New Roman" w:cs="Times New Roman"/>
          <w:highlight w:val="none"/>
        </w:rPr>
        <w:t>背景点，综合考虑城市环境条件、经济社会特点以及温室气体排放特征，新建或者依托城市现有符合要求的设施，在远离温室气体排放源的地区合理布设点位。背景点布设流程与城市点类似，但应注意如下事项。背景点布设应在城市点布设基础上进行。实地勘察时应注意点位附近植被等对监测的影响。背景点应在远离城市内及区域主要温室气体排放源的地区布设。</w:t>
      </w:r>
    </w:p>
    <w:p w14:paraId="70200550">
      <w:pPr>
        <w:ind w:firstLine="420" w:firstLineChars="200"/>
        <w:rPr>
          <w:rFonts w:ascii="Times New Roman" w:hAnsi="Times New Roman" w:cs="Times New Roman"/>
          <w:highlight w:val="none"/>
        </w:rPr>
      </w:pPr>
      <w:r>
        <w:rPr>
          <w:rFonts w:ascii="Times New Roman" w:hAnsi="Times New Roman" w:cs="Times New Roman"/>
          <w:highlight w:val="none"/>
        </w:rPr>
        <w:t>边界点，综合考虑城市环境条件、经济社会特点以及温室气体排放特征，新建或者依托城市现有符合要求的设施，在城市边缘远离温室气体排放源的地区合理布设点位。边界点布设流程与城市点类似，但应注意如下事项。边界点布设应在城市点布设基础上进行。使用模式模拟计算方法开展点位精确筛选时，应最大限度地提高所选点位对区域外温室气体排放贡献的代表性，并使所选点位能较好反映区域外温室气体排放对城市点监测的影响。实地勘察时应注意点位附近植被等对监测的影响。</w:t>
      </w:r>
    </w:p>
    <w:p w14:paraId="1778CC2B">
      <w:pPr>
        <w:pStyle w:val="13"/>
        <w:numPr>
          <w:ilvl w:val="0"/>
          <w:numId w:val="3"/>
        </w:numPr>
        <w:ind w:left="0" w:firstLine="420" w:firstLineChars="200"/>
        <w:jc w:val="both"/>
        <w:rPr>
          <w:highlight w:val="none"/>
        </w:rPr>
      </w:pPr>
      <w:r>
        <w:rPr>
          <w:highlight w:val="none"/>
        </w:rPr>
        <w:t xml:space="preserve">点位布设数量要求 </w:t>
      </w:r>
    </w:p>
    <w:p w14:paraId="103D5C13">
      <w:pPr>
        <w:pStyle w:val="13"/>
        <w:numPr>
          <w:ilvl w:val="0"/>
          <w:numId w:val="0"/>
        </w:numPr>
        <w:ind w:firstLine="420" w:firstLineChars="200"/>
        <w:jc w:val="both"/>
        <w:rPr>
          <w:highlight w:val="none"/>
        </w:rPr>
      </w:pPr>
      <w:r>
        <w:rPr>
          <w:highlight w:val="none"/>
        </w:rPr>
        <w:t>结合城市大气温室气体监测目标、经费情况、技术力量等因素合理确定点位布设数量。</w:t>
      </w:r>
    </w:p>
    <w:p w14:paraId="1D01FF33">
      <w:pPr>
        <w:pStyle w:val="13"/>
        <w:numPr>
          <w:ilvl w:val="0"/>
          <w:numId w:val="0"/>
        </w:numPr>
        <w:ind w:firstLine="420" w:firstLineChars="200"/>
        <w:jc w:val="both"/>
        <w:rPr>
          <w:highlight w:val="none"/>
        </w:rPr>
      </w:pPr>
      <w:r>
        <w:rPr>
          <w:highlight w:val="none"/>
        </w:rPr>
        <w:t>一般情况，最小监测网络至少需要2个点位。在主导风的上、下风向各设置1个边界点。适用于前期试验性监测。中型监测网络需要4</w:t>
      </w:r>
      <w:r>
        <w:rPr>
          <w:rFonts w:hint="eastAsia"/>
          <w:highlight w:val="none"/>
        </w:rPr>
        <w:t>～</w:t>
      </w:r>
      <w:r>
        <w:rPr>
          <w:highlight w:val="none"/>
        </w:rPr>
        <w:t>6个点位。在主导风的上、下风向各设置1个边界点在城市内设置2</w:t>
      </w:r>
      <w:r>
        <w:rPr>
          <w:rFonts w:hint="eastAsia"/>
          <w:highlight w:val="none"/>
        </w:rPr>
        <w:t>～</w:t>
      </w:r>
      <w:r>
        <w:rPr>
          <w:highlight w:val="none"/>
        </w:rPr>
        <w:t>4个点位。适用于中小型城市，或主导风向明确、地势平坦、以服务业为主的大城市。大型监测网络需要超过8个点位。点位类型涵盖城市点、背景点和边界点，一般需要开展系统性的监测网络设计。适用于大型城市。城市重要温室气体排放源区大型电厂、工业园区等）可以补充布设适当数量的中精度传感器点位。城市点、背景点和边界点根据城市具体情况合理布设，处于上风向的边界点可兼具背景点功能。</w:t>
      </w:r>
    </w:p>
    <w:p w14:paraId="70A80724">
      <w:pPr>
        <w:pStyle w:val="13"/>
        <w:numPr>
          <w:ilvl w:val="0"/>
          <w:numId w:val="3"/>
        </w:numPr>
        <w:ind w:left="0" w:firstLine="420" w:firstLineChars="200"/>
        <w:jc w:val="both"/>
        <w:rPr>
          <w:highlight w:val="none"/>
        </w:rPr>
      </w:pPr>
      <w:r>
        <w:rPr>
          <w:highlight w:val="none"/>
        </w:rPr>
        <w:t>监测点周围环境要求</w:t>
      </w:r>
    </w:p>
    <w:p w14:paraId="7926D215">
      <w:pPr>
        <w:pStyle w:val="13"/>
        <w:numPr>
          <w:ilvl w:val="0"/>
          <w:numId w:val="4"/>
        </w:numPr>
        <w:ind w:left="0" w:firstLine="420" w:firstLineChars="200"/>
        <w:jc w:val="both"/>
        <w:rPr>
          <w:highlight w:val="none"/>
        </w:rPr>
      </w:pPr>
      <w:r>
        <w:rPr>
          <w:highlight w:val="none"/>
        </w:rPr>
        <w:t>监测点与城市主要温室气体排放源保持至少1公里，背景点与城市主要温室气体排放源保持至少10公里。应采取措施保证监测点附近1公里内的土地使用状况相对稳定。</w:t>
      </w:r>
    </w:p>
    <w:p w14:paraId="61565FF2">
      <w:pPr>
        <w:pStyle w:val="13"/>
        <w:numPr>
          <w:ilvl w:val="0"/>
          <w:numId w:val="4"/>
        </w:numPr>
        <w:ind w:left="0" w:firstLine="420" w:firstLineChars="200"/>
        <w:jc w:val="both"/>
        <w:rPr>
          <w:highlight w:val="none"/>
        </w:rPr>
      </w:pPr>
      <w:r>
        <w:rPr>
          <w:highlight w:val="none"/>
        </w:rPr>
        <w:t>监测点周围环境状况相对稳定，所在地质条件需长期稳定和足够坚实，所在地点应避免受山洪、雪崩、山林火灾和泥石流等局地灾害影响，安全和防火措施有保障。</w:t>
      </w:r>
    </w:p>
    <w:p w14:paraId="49ABAB8B">
      <w:pPr>
        <w:pStyle w:val="13"/>
        <w:numPr>
          <w:ilvl w:val="0"/>
          <w:numId w:val="4"/>
        </w:numPr>
        <w:ind w:left="0" w:firstLine="420" w:firstLineChars="200"/>
        <w:jc w:val="both"/>
        <w:rPr>
          <w:rFonts w:eastAsia="黑体_x0005_.."/>
          <w:szCs w:val="24"/>
          <w:highlight w:val="none"/>
        </w:rPr>
      </w:pPr>
      <w:r>
        <w:rPr>
          <w:highlight w:val="none"/>
        </w:rPr>
        <w:t>监测点附近无强大的电磁干扰，周围有稳定可靠的电力供应和避雷设备，通信线路容易安装和检修。</w:t>
      </w:r>
    </w:p>
    <w:p w14:paraId="59E0CB29">
      <w:pPr>
        <w:numPr>
          <w:ilvl w:val="2"/>
          <w:numId w:val="1"/>
        </w:numPr>
        <w:ind w:left="0" w:firstLine="420"/>
        <w:rPr>
          <w:rFonts w:ascii="Times New Roman" w:hAnsi="Times New Roman" w:eastAsia="黑体_x0005_.." w:cs="Times New Roman"/>
          <w:szCs w:val="24"/>
          <w:highlight w:val="none"/>
        </w:rPr>
      </w:pPr>
      <w:r>
        <w:rPr>
          <w:rFonts w:ascii="Times New Roman" w:hAnsi="Times New Roman" w:eastAsia="黑体_x0005_.." w:cs="Times New Roman"/>
          <w:szCs w:val="24"/>
          <w:highlight w:val="none"/>
        </w:rPr>
        <w:t>采样口要求</w:t>
      </w:r>
    </w:p>
    <w:p w14:paraId="1FDED1AB">
      <w:pPr>
        <w:pStyle w:val="13"/>
        <w:numPr>
          <w:ilvl w:val="0"/>
          <w:numId w:val="5"/>
        </w:numPr>
        <w:ind w:left="0" w:firstLine="420" w:firstLineChars="200"/>
        <w:jc w:val="both"/>
        <w:rPr>
          <w:highlight w:val="none"/>
        </w:rPr>
      </w:pPr>
      <w:r>
        <w:rPr>
          <w:highlight w:val="none"/>
        </w:rPr>
        <w:t>采样口周围水平面尽可能保证360°以上的捕集空间。</w:t>
      </w:r>
    </w:p>
    <w:p w14:paraId="421E4491">
      <w:pPr>
        <w:pStyle w:val="13"/>
        <w:numPr>
          <w:ilvl w:val="0"/>
          <w:numId w:val="5"/>
        </w:numPr>
        <w:ind w:left="0" w:firstLine="420" w:firstLineChars="200"/>
        <w:jc w:val="both"/>
        <w:rPr>
          <w:highlight w:val="none"/>
        </w:rPr>
      </w:pPr>
      <w:r>
        <w:rPr>
          <w:highlight w:val="none"/>
        </w:rPr>
        <w:t>采样口距采样塔塔基的相对高度应在50</w:t>
      </w:r>
      <w:r>
        <w:rPr>
          <w:rFonts w:hint="eastAsia"/>
          <w:highlight w:val="none"/>
        </w:rPr>
        <w:t>～</w:t>
      </w:r>
      <w:r>
        <w:rPr>
          <w:highlight w:val="none"/>
        </w:rPr>
        <w:t>100米，以保证采集充分混合的样气避免局地人为和自然的源汇影响。下垫面情况简单的，可适度将采样高度调整到30</w:t>
      </w:r>
      <w:r>
        <w:rPr>
          <w:rFonts w:hint="eastAsia"/>
          <w:highlight w:val="none"/>
        </w:rPr>
        <w:t>～</w:t>
      </w:r>
      <w:r>
        <w:rPr>
          <w:highlight w:val="none"/>
        </w:rPr>
        <w:t>50米。</w:t>
      </w:r>
    </w:p>
    <w:p w14:paraId="1E395867">
      <w:pPr>
        <w:pStyle w:val="13"/>
        <w:numPr>
          <w:ilvl w:val="0"/>
          <w:numId w:val="5"/>
        </w:numPr>
        <w:ind w:left="0" w:firstLine="420" w:firstLineChars="200"/>
        <w:jc w:val="both"/>
        <w:rPr>
          <w:rFonts w:eastAsia="黑体_x0005_.."/>
          <w:szCs w:val="24"/>
          <w:highlight w:val="none"/>
        </w:rPr>
      </w:pPr>
      <w:r>
        <w:rPr>
          <w:highlight w:val="none"/>
        </w:rPr>
        <w:t>优先新建铁塔或在已有的开放式高塔上采样。已有塔基平台优先选择气象塔、通信塔等不影响城市大气环流的公共设施，或雷达站、水塔等不受人为影响的公共设施，或厘清出气口影响的高建屋顶。</w:t>
      </w:r>
    </w:p>
    <w:p w14:paraId="19012636">
      <w:pPr>
        <w:numPr>
          <w:ilvl w:val="2"/>
          <w:numId w:val="1"/>
        </w:numPr>
        <w:ind w:left="0" w:firstLine="420"/>
        <w:rPr>
          <w:rFonts w:ascii="Times New Roman" w:hAnsi="Times New Roman" w:eastAsia="黑体_x0005_.." w:cs="Times New Roman"/>
          <w:szCs w:val="24"/>
          <w:highlight w:val="none"/>
        </w:rPr>
      </w:pPr>
      <w:r>
        <w:rPr>
          <w:rFonts w:ascii="Times New Roman" w:hAnsi="Times New Roman" w:eastAsia="黑体_x0005_.." w:cs="Times New Roman"/>
          <w:szCs w:val="24"/>
          <w:highlight w:val="none"/>
        </w:rPr>
        <w:t>监测站房及辅助设施</w:t>
      </w:r>
    </w:p>
    <w:p w14:paraId="5C23A155">
      <w:pPr>
        <w:widowControl/>
        <w:tabs>
          <w:tab w:val="center" w:pos="4201"/>
          <w:tab w:val="right" w:leader="dot" w:pos="9298"/>
        </w:tabs>
        <w:autoSpaceDE w:val="0"/>
        <w:autoSpaceDN w:val="0"/>
        <w:ind w:firstLine="420" w:firstLineChars="200"/>
        <w:rPr>
          <w:rFonts w:ascii="Times New Roman" w:hAnsi="Times New Roman" w:eastAsia="宋体" w:cs="Times New Roman"/>
          <w:kern w:val="0"/>
          <w:szCs w:val="20"/>
          <w:highlight w:val="none"/>
        </w:rPr>
      </w:pPr>
      <w:r>
        <w:rPr>
          <w:rFonts w:ascii="Times New Roman" w:hAnsi="Times New Roman" w:eastAsia="宋体" w:cs="Times New Roman"/>
          <w:kern w:val="0"/>
          <w:szCs w:val="20"/>
          <w:highlight w:val="none"/>
        </w:rPr>
        <w:t>监测站房应安装温湿度控制设备，站房内温度应控制在（25</w:t>
      </w:r>
      <w:r>
        <w:rPr>
          <w:rFonts w:ascii="Times New Roman" w:hAnsi="Times New Roman" w:eastAsia="仿宋" w:cs="Times New Roman"/>
          <w:kern w:val="0"/>
          <w:szCs w:val="20"/>
          <w:highlight w:val="none"/>
        </w:rPr>
        <w:t>±</w:t>
      </w:r>
      <w:r>
        <w:rPr>
          <w:rFonts w:ascii="Times New Roman" w:hAnsi="Times New Roman" w:eastAsia="宋体" w:cs="Times New Roman"/>
          <w:kern w:val="0"/>
          <w:szCs w:val="20"/>
          <w:highlight w:val="none"/>
        </w:rPr>
        <w:t>5）℃范围内，相对湿度应控制在80%以下，大气压应控制在（80~106）kPa范围内。其供电系统，采用三相五线供电，分相使用；站房供电系统应配有电源过压、过载和漏电保护装置，电源电压波动不超过AC（220</w:t>
      </w:r>
      <w:r>
        <w:rPr>
          <w:rFonts w:ascii="Times New Roman" w:hAnsi="Times New Roman" w:eastAsia="仿宋" w:cs="Times New Roman"/>
          <w:kern w:val="0"/>
          <w:szCs w:val="20"/>
          <w:highlight w:val="none"/>
        </w:rPr>
        <w:t>±</w:t>
      </w:r>
      <w:r>
        <w:rPr>
          <w:rFonts w:ascii="Times New Roman" w:hAnsi="Times New Roman" w:eastAsia="宋体" w:cs="Times New Roman"/>
          <w:kern w:val="0"/>
          <w:szCs w:val="20"/>
          <w:highlight w:val="none"/>
        </w:rPr>
        <w:t>22）V，频率波动不超过（50</w:t>
      </w:r>
      <w:r>
        <w:rPr>
          <w:rFonts w:ascii="Times New Roman" w:hAnsi="Times New Roman" w:eastAsia="仿宋" w:cs="Times New Roman"/>
          <w:kern w:val="0"/>
          <w:szCs w:val="20"/>
          <w:highlight w:val="none"/>
        </w:rPr>
        <w:t>±</w:t>
      </w:r>
      <w:r>
        <w:rPr>
          <w:rFonts w:ascii="Times New Roman" w:hAnsi="Times New Roman" w:eastAsia="宋体" w:cs="Times New Roman"/>
          <w:kern w:val="0"/>
          <w:szCs w:val="20"/>
          <w:highlight w:val="none"/>
        </w:rPr>
        <w:t>1）Hz；站房应有防雷电和防电磁波干扰的措施，应有良好的接地线路，接地电阻应＜4Ω；有条件的站房可配备UPS电源。</w:t>
      </w:r>
    </w:p>
    <w:p w14:paraId="5DF1312A">
      <w:pPr>
        <w:widowControl/>
        <w:tabs>
          <w:tab w:val="center" w:pos="4201"/>
          <w:tab w:val="right" w:leader="dot" w:pos="9298"/>
        </w:tabs>
        <w:autoSpaceDE w:val="0"/>
        <w:autoSpaceDN w:val="0"/>
        <w:ind w:firstLine="420" w:firstLineChars="200"/>
        <w:rPr>
          <w:rFonts w:ascii="Times New Roman" w:hAnsi="Times New Roman" w:eastAsia="宋体" w:cs="Times New Roman"/>
          <w:kern w:val="0"/>
          <w:szCs w:val="20"/>
          <w:highlight w:val="none"/>
        </w:rPr>
      </w:pPr>
      <w:r>
        <w:rPr>
          <w:rFonts w:ascii="Times New Roman" w:hAnsi="Times New Roman" w:eastAsia="宋体" w:cs="Times New Roman"/>
          <w:kern w:val="0"/>
          <w:szCs w:val="20"/>
          <w:highlight w:val="none"/>
        </w:rPr>
        <w:t>站房应配备实验台或机柜，用于安装监测仪器及辅助设备。站房应配备通风装置（排风扇）或废气口，保持室内空气清洁，排风扇要求带防尘百叶窗；站房应设置气瓶放置间（柜）并安全放置气瓶；没有条件设置气瓶放置间（柜）时，应在特定位置放置气瓶并将其固定；站房内应安装气瓶漏气报警装置；站房安装的冷暖式空调机出风口不能正对仪器和采样管，空调应具有来电自启功能；站房应配置自动灭火装置。</w:t>
      </w:r>
    </w:p>
    <w:p w14:paraId="08F7F8B2">
      <w:pPr>
        <w:numPr>
          <w:ilvl w:val="2"/>
          <w:numId w:val="1"/>
        </w:numPr>
        <w:ind w:left="0" w:firstLine="420"/>
        <w:rPr>
          <w:rFonts w:ascii="Times New Roman" w:hAnsi="Times New Roman" w:eastAsia="黑体_x0005_.." w:cs="Times New Roman"/>
          <w:szCs w:val="24"/>
          <w:highlight w:val="none"/>
        </w:rPr>
      </w:pPr>
      <w:r>
        <w:rPr>
          <w:rFonts w:ascii="Times New Roman" w:hAnsi="Times New Roman" w:eastAsia="黑体_x0005_.." w:cs="Times New Roman"/>
          <w:szCs w:val="24"/>
          <w:highlight w:val="none"/>
        </w:rPr>
        <w:t>安装</w:t>
      </w:r>
    </w:p>
    <w:p w14:paraId="2C0C6F60">
      <w:pPr>
        <w:widowControl/>
        <w:tabs>
          <w:tab w:val="center" w:pos="4201"/>
          <w:tab w:val="right" w:leader="dot" w:pos="9298"/>
        </w:tabs>
        <w:autoSpaceDE w:val="0"/>
        <w:autoSpaceDN w:val="0"/>
        <w:ind w:firstLine="420" w:firstLineChars="200"/>
        <w:rPr>
          <w:rFonts w:ascii="Times New Roman" w:hAnsi="Times New Roman" w:eastAsia="宋体" w:cs="Times New Roman"/>
          <w:kern w:val="0"/>
          <w:szCs w:val="20"/>
          <w:highlight w:val="none"/>
        </w:rPr>
      </w:pPr>
      <w:r>
        <w:rPr>
          <w:rFonts w:ascii="Times New Roman" w:hAnsi="Times New Roman" w:eastAsia="宋体" w:cs="Times New Roman"/>
          <w:kern w:val="0"/>
          <w:szCs w:val="20"/>
          <w:highlight w:val="none"/>
        </w:rPr>
        <w:t>监测仪器安装的一般要求如下，仪器铭牌上应标有仪器名称、型号、生产单位、出厂编号、生产日期等信息；仪器各零部件应连接可靠，表面无明显缺陷，各操作旋钮或按键使用灵活，定位准确；仪器各显示部分的刻度、数字清晰，涂色牢固，不应有影响读数的缺陷；仪器应具备数字信号输出功能；仪器电源引入线与机壳之间的绝缘电阻应</w:t>
      </w:r>
      <w:r>
        <w:rPr>
          <w:rFonts w:hint="eastAsia" w:asciiTheme="minorEastAsia" w:hAnsiTheme="minorEastAsia" w:eastAsiaTheme="minorEastAsia" w:cstheme="minorEastAsia"/>
          <w:kern w:val="0"/>
          <w:szCs w:val="20"/>
          <w:highlight w:val="none"/>
        </w:rPr>
        <w:t>≥</w:t>
      </w:r>
      <w:r>
        <w:rPr>
          <w:rFonts w:ascii="Times New Roman" w:hAnsi="Times New Roman" w:eastAsia="宋体" w:cs="Times New Roman"/>
          <w:kern w:val="0"/>
          <w:szCs w:val="20"/>
          <w:highlight w:val="none"/>
        </w:rPr>
        <w:t>20MΩ；电缆和管路的相关标识明显，电缆线路的施工应满足GB</w:t>
      </w:r>
      <w:r>
        <w:rPr>
          <w:rFonts w:hint="eastAsia" w:ascii="Times New Roman" w:hAnsi="Times New Roman" w:eastAsia="宋体" w:cs="Times New Roman"/>
          <w:kern w:val="0"/>
          <w:szCs w:val="20"/>
          <w:highlight w:val="none"/>
          <w:lang w:val="en-US" w:eastAsia="zh-CN"/>
        </w:rPr>
        <w:t xml:space="preserve"> </w:t>
      </w:r>
      <w:r>
        <w:rPr>
          <w:rFonts w:ascii="Times New Roman" w:hAnsi="Times New Roman" w:eastAsia="宋体" w:cs="Times New Roman"/>
          <w:kern w:val="0"/>
          <w:szCs w:val="20"/>
          <w:highlight w:val="none"/>
        </w:rPr>
        <w:t>50168的相关要求。</w:t>
      </w:r>
    </w:p>
    <w:p w14:paraId="74197DE1">
      <w:pPr>
        <w:widowControl/>
        <w:tabs>
          <w:tab w:val="center" w:pos="4201"/>
          <w:tab w:val="right" w:leader="dot" w:pos="9298"/>
        </w:tabs>
        <w:autoSpaceDE w:val="0"/>
        <w:autoSpaceDN w:val="0"/>
        <w:ind w:firstLine="420" w:firstLineChars="200"/>
        <w:rPr>
          <w:rFonts w:ascii="Times New Roman" w:hAnsi="Times New Roman" w:eastAsia="宋体" w:cs="Times New Roman"/>
          <w:kern w:val="0"/>
          <w:szCs w:val="20"/>
          <w:highlight w:val="none"/>
        </w:rPr>
      </w:pPr>
      <w:r>
        <w:rPr>
          <w:rFonts w:ascii="Times New Roman" w:hAnsi="Times New Roman" w:eastAsia="宋体" w:cs="Times New Roman"/>
          <w:kern w:val="0"/>
          <w:szCs w:val="20"/>
          <w:highlight w:val="none"/>
        </w:rPr>
        <w:t>监测仪器安装的具体要求如下，依照仪器清单进行检查，要求所有零配件配备齐全；仪器应安装在实验台上或机柜内，确保水平安装；仪器安装完毕后，确保仪器后方有0.8m以上的操作维护空间，仪器采样入口和站房天花板之间有足够的空间安装溶蚀器、采样管等。</w:t>
      </w:r>
    </w:p>
    <w:p w14:paraId="10FF0FEF">
      <w:pPr>
        <w:widowControl/>
        <w:tabs>
          <w:tab w:val="center" w:pos="4201"/>
          <w:tab w:val="right" w:leader="dot" w:pos="9298"/>
        </w:tabs>
        <w:autoSpaceDE w:val="0"/>
        <w:autoSpaceDN w:val="0"/>
        <w:ind w:firstLine="420" w:firstLineChars="200"/>
        <w:rPr>
          <w:rFonts w:ascii="Times New Roman" w:hAnsi="Times New Roman" w:eastAsia="宋体" w:cs="Times New Roman"/>
          <w:kern w:val="0"/>
          <w:szCs w:val="20"/>
          <w:highlight w:val="none"/>
        </w:rPr>
      </w:pPr>
      <w:r>
        <w:rPr>
          <w:rFonts w:ascii="Times New Roman" w:hAnsi="Times New Roman" w:eastAsia="宋体" w:cs="Times New Roman"/>
          <w:kern w:val="0"/>
          <w:szCs w:val="20"/>
          <w:highlight w:val="none"/>
        </w:rPr>
        <w:t>采样管安装，采样管线安装在侧边，置于保护槽（管）内上从顶部沿引采样管线安装在采样塔侧边，置于保护槽（管）内，塔上采样管线从顶部沿保护槽（管）引下，保护槽（管）的直径不小于10厘米。多层气路管线布设尽量保持整齐和美观，并在适当位置采用卡箍固定，避免出现死弯及凹陷，导致管线内积水。根据实际情况选择地下管道或架空保护槽（管）引入监测室。若采用地下管道方式，为维护方便，尽量使用盖板地沟而非埋管方式架设，地下管道深度宜在0.5</w:t>
      </w:r>
      <w:r>
        <w:rPr>
          <w:rFonts w:hint="eastAsia" w:ascii="Times New Roman" w:hAnsi="Times New Roman" w:eastAsia="宋体" w:cs="Times New Roman"/>
          <w:kern w:val="0"/>
          <w:szCs w:val="20"/>
          <w:highlight w:val="none"/>
        </w:rPr>
        <w:t>～</w:t>
      </w:r>
      <w:r>
        <w:rPr>
          <w:rFonts w:ascii="Times New Roman" w:hAnsi="Times New Roman" w:eastAsia="宋体" w:cs="Times New Roman"/>
          <w:kern w:val="0"/>
          <w:szCs w:val="20"/>
          <w:highlight w:val="none"/>
        </w:rPr>
        <w:t>0.8米，并有一定的向下倾斜角度。地下管道内应使用采样管线托架（杆）或保护槽（管），保护槽应做到防腐、防水、防鼠，并应在气路最低点设置冷凝水检查点。若采用架空保护槽（管）方式，架空高度应不小于2.5米，并有一定的向下倾斜角度。对于多层气路，每根管线间隔一定长度处米，并有一定的向下倾斜角度。对于多层气路，每根管线间隔一定长度处及进入仪器前应粘贴管线层高等说明标签。保护槽（管）应尽量使用不易老化的材质。为断开金属导雷，实现防雷，进入站房前需断开黑胶铝塑采样管，换接1米左右与采样管同等直径的聚四氟乙烯管，断开处采用不锈钢接头连接，保证气密性符</w:t>
      </w:r>
      <w:r>
        <w:rPr>
          <w:rFonts w:hint="eastAsia" w:ascii="Times New Roman" w:hAnsi="Times New Roman" w:eastAsia="宋体" w:cs="Times New Roman"/>
          <w:kern w:val="0"/>
          <w:szCs w:val="20"/>
          <w:highlight w:val="none"/>
        </w:rPr>
        <w:t>合要求</w:t>
      </w:r>
      <w:r>
        <w:rPr>
          <w:rFonts w:ascii="Times New Roman" w:hAnsi="Times New Roman" w:eastAsia="宋体" w:cs="Times New Roman"/>
          <w:kern w:val="0"/>
          <w:szCs w:val="20"/>
          <w:highlight w:val="none"/>
        </w:rPr>
        <w:t>。进入站房的采样管室外合要求。进入站房的采样管室外部分应安装在保护管内，防止老化及磕碰。严禁重型物压过采样管，如大载货车等。采样管路所在位置严禁挖掘施工，避免断气路。采样管路所在位置严禁挖掘施工，避免断气路。</w:t>
      </w:r>
    </w:p>
    <w:p w14:paraId="24130C95">
      <w:pPr>
        <w:widowControl/>
        <w:tabs>
          <w:tab w:val="center" w:pos="4201"/>
          <w:tab w:val="right" w:leader="dot" w:pos="9298"/>
        </w:tabs>
        <w:autoSpaceDE w:val="0"/>
        <w:autoSpaceDN w:val="0"/>
        <w:ind w:firstLine="420" w:firstLineChars="200"/>
        <w:rPr>
          <w:rFonts w:ascii="Times New Roman" w:hAnsi="Times New Roman" w:eastAsia="宋体" w:cs="Times New Roman"/>
          <w:kern w:val="0"/>
          <w:szCs w:val="20"/>
          <w:highlight w:val="none"/>
        </w:rPr>
      </w:pPr>
      <w:r>
        <w:rPr>
          <w:rFonts w:ascii="Times New Roman" w:hAnsi="Times New Roman" w:eastAsia="宋体" w:cs="Times New Roman"/>
          <w:kern w:val="0"/>
          <w:szCs w:val="20"/>
          <w:highlight w:val="none"/>
        </w:rPr>
        <w:t>辅助设备安装要求如下，采样管支撑部件与房顶、采样管的连接应牢固、可靠，防止采样管摇摆；采样辅助设备与采样管应连接可靠；环境温湿度及大气压传感器应安装在采样入口附近，不干扰切割器的正常工作；环境温湿度及大气压传感器的信号传输线与站房连接处应符合防水要求；环境温湿度传感器应防止太阳光直射，具备防雨、遮光的功能。</w:t>
      </w:r>
    </w:p>
    <w:p w14:paraId="09D671EB">
      <w:pPr>
        <w:widowControl/>
        <w:tabs>
          <w:tab w:val="center" w:pos="4201"/>
          <w:tab w:val="right" w:leader="dot" w:pos="9298"/>
        </w:tabs>
        <w:autoSpaceDE w:val="0"/>
        <w:autoSpaceDN w:val="0"/>
        <w:ind w:firstLine="420" w:firstLineChars="200"/>
        <w:rPr>
          <w:rFonts w:ascii="Times New Roman" w:hAnsi="Times New Roman" w:eastAsia="宋体" w:cs="Times New Roman"/>
          <w:kern w:val="0"/>
          <w:szCs w:val="20"/>
          <w:highlight w:val="none"/>
        </w:rPr>
      </w:pPr>
      <w:r>
        <w:rPr>
          <w:rFonts w:ascii="Times New Roman" w:hAnsi="Times New Roman" w:eastAsia="宋体" w:cs="Times New Roman"/>
          <w:kern w:val="0"/>
          <w:szCs w:val="20"/>
          <w:highlight w:val="none"/>
        </w:rPr>
        <w:t>未与主机集成的数据采集和传输设备安装要求如下，设备应采用无线或有线通信方式，数据可实时传输到服务器；设备应安装在实验台上或机柜内，确保安装牢固、可靠；设备应能正确记录、存储、显示数据和仪器状态；设备线路应连接牢固。</w:t>
      </w:r>
    </w:p>
    <w:p w14:paraId="02DD0A49">
      <w:pPr>
        <w:numPr>
          <w:ilvl w:val="2"/>
          <w:numId w:val="1"/>
        </w:numPr>
        <w:ind w:left="0" w:firstLine="420"/>
        <w:rPr>
          <w:rFonts w:ascii="Times New Roman" w:hAnsi="Times New Roman" w:eastAsia="黑体_x0005_.." w:cs="Times New Roman"/>
          <w:szCs w:val="24"/>
          <w:highlight w:val="none"/>
        </w:rPr>
      </w:pPr>
      <w:r>
        <w:rPr>
          <w:rFonts w:ascii="Times New Roman" w:hAnsi="Times New Roman" w:eastAsia="黑体_x0005_.." w:cs="Times New Roman"/>
          <w:szCs w:val="24"/>
          <w:highlight w:val="none"/>
        </w:rPr>
        <w:t>调试</w:t>
      </w:r>
    </w:p>
    <w:p w14:paraId="74E031B0">
      <w:pPr>
        <w:widowControl/>
        <w:tabs>
          <w:tab w:val="center" w:pos="4201"/>
          <w:tab w:val="right" w:leader="dot" w:pos="9298"/>
        </w:tabs>
        <w:autoSpaceDE w:val="0"/>
        <w:autoSpaceDN w:val="0"/>
        <w:ind w:firstLine="420" w:firstLineChars="200"/>
        <w:rPr>
          <w:rFonts w:ascii="Times New Roman" w:hAnsi="Times New Roman" w:eastAsia="宋体" w:cs="Times New Roman"/>
          <w:kern w:val="0"/>
          <w:szCs w:val="20"/>
          <w:highlight w:val="none"/>
        </w:rPr>
      </w:pPr>
      <w:r>
        <w:rPr>
          <w:rFonts w:ascii="Times New Roman" w:hAnsi="Times New Roman" w:eastAsia="宋体" w:cs="Times New Roman"/>
          <w:kern w:val="0"/>
          <w:szCs w:val="20"/>
          <w:highlight w:val="none"/>
        </w:rPr>
        <w:t>监测系统在现场安装并正常运行后，在验收前应进行调试，调试完成后的性能指标应满足调试检测指标及要求。调试检测可由系统制造者、供应者、用户或受委托的有检测能力的部门承担。调试检测的一般要求如下，在现场完成</w:t>
      </w:r>
      <w:r>
        <w:rPr>
          <w:rFonts w:ascii="Times New Roman" w:hAnsi="Times New Roman" w:cs="Times New Roman"/>
          <w:highlight w:val="none"/>
        </w:rPr>
        <w:t>温室气体高精度连续自动监测系统</w:t>
      </w:r>
      <w:r>
        <w:rPr>
          <w:rFonts w:ascii="Times New Roman" w:hAnsi="Times New Roman" w:eastAsia="宋体" w:cs="Times New Roman"/>
          <w:kern w:val="0"/>
          <w:szCs w:val="20"/>
          <w:highlight w:val="none"/>
        </w:rPr>
        <w:t>安装、调试后投入试运行；系统连续运行24</w:t>
      </w:r>
      <w:r>
        <w:rPr>
          <w:rFonts w:hint="eastAsia" w:ascii="Times New Roman" w:hAnsi="Times New Roman" w:eastAsia="宋体" w:cs="Times New Roman"/>
          <w:kern w:val="0"/>
          <w:szCs w:val="20"/>
          <w:highlight w:val="none"/>
          <w:lang w:val="en-US" w:eastAsia="zh-CN"/>
        </w:rPr>
        <w:t>~</w:t>
      </w:r>
      <w:r>
        <w:rPr>
          <w:rFonts w:ascii="Times New Roman" w:hAnsi="Times New Roman" w:eastAsia="宋体" w:cs="Times New Roman"/>
          <w:kern w:val="0"/>
          <w:szCs w:val="20"/>
          <w:highlight w:val="none"/>
        </w:rPr>
        <w:t>48h后，进行调试检测；如果因系统故障、断电等原因造成调试检测中断，则需重新进行调试检测；调试检测后应编制安装调试报告。</w:t>
      </w:r>
    </w:p>
    <w:p w14:paraId="57DF1C5B">
      <w:pPr>
        <w:widowControl/>
        <w:tabs>
          <w:tab w:val="center" w:pos="4201"/>
          <w:tab w:val="right" w:leader="dot" w:pos="9298"/>
        </w:tabs>
        <w:autoSpaceDE w:val="0"/>
        <w:autoSpaceDN w:val="0"/>
        <w:ind w:firstLine="420" w:firstLineChars="200"/>
        <w:rPr>
          <w:rFonts w:ascii="Times New Roman" w:hAnsi="Times New Roman" w:eastAsia="宋体" w:cs="Times New Roman"/>
          <w:kern w:val="0"/>
          <w:szCs w:val="20"/>
          <w:highlight w:val="none"/>
        </w:rPr>
      </w:pPr>
      <w:r>
        <w:rPr>
          <w:rFonts w:ascii="Times New Roman" w:hAnsi="Times New Roman" w:eastAsia="宋体" w:cs="Times New Roman"/>
          <w:kern w:val="0"/>
          <w:szCs w:val="20"/>
          <w:highlight w:val="none"/>
        </w:rPr>
        <w:t>调试监测指标包括温度测量示值误差、大气压测量示值误差、采样流量、辅助气体流量、精密度、正确度、可比性等。具体要求如下，仪器与标准温度计的环境温度测量示值误差应在±2℃范围内；仪器与标准气压计的环境大气压测量示值误差应在</w:t>
      </w:r>
      <w:r>
        <w:rPr>
          <w:rFonts w:hint="eastAsia" w:asciiTheme="minorEastAsia" w:hAnsiTheme="minorEastAsia" w:eastAsiaTheme="minorEastAsia" w:cstheme="minorEastAsia"/>
          <w:kern w:val="0"/>
          <w:szCs w:val="20"/>
          <w:highlight w:val="none"/>
        </w:rPr>
        <w:t>±</w:t>
      </w:r>
      <w:r>
        <w:rPr>
          <w:rFonts w:ascii="Times New Roman" w:hAnsi="Times New Roman" w:eastAsia="宋体" w:cs="Times New Roman"/>
          <w:kern w:val="0"/>
          <w:szCs w:val="20"/>
          <w:highlight w:val="none"/>
        </w:rPr>
        <w:t>1kPa范围内；平均流量偏差应在±5%范围内；流量相对标准偏差应</w:t>
      </w:r>
      <w:r>
        <w:rPr>
          <w:rFonts w:hint="eastAsia" w:ascii="仿宋" w:hAnsi="仿宋" w:eastAsia="仿宋" w:cs="仿宋"/>
          <w:kern w:val="0"/>
          <w:szCs w:val="20"/>
          <w:highlight w:val="none"/>
        </w:rPr>
        <w:t>≤</w:t>
      </w:r>
      <w:r>
        <w:rPr>
          <w:rFonts w:ascii="Times New Roman" w:hAnsi="Times New Roman" w:eastAsia="宋体" w:cs="Times New Roman"/>
          <w:kern w:val="0"/>
          <w:szCs w:val="20"/>
          <w:highlight w:val="none"/>
        </w:rPr>
        <w:t>2%；平均流量示值误差应在</w:t>
      </w:r>
      <w:r>
        <w:rPr>
          <w:rFonts w:hint="eastAsia" w:ascii="仿宋" w:hAnsi="仿宋" w:eastAsia="仿宋" w:cs="仿宋"/>
          <w:kern w:val="0"/>
          <w:szCs w:val="20"/>
          <w:highlight w:val="none"/>
        </w:rPr>
        <w:t>±</w:t>
      </w:r>
      <w:r>
        <w:rPr>
          <w:rFonts w:ascii="Times New Roman" w:hAnsi="Times New Roman" w:eastAsia="宋体" w:cs="Times New Roman"/>
          <w:kern w:val="0"/>
          <w:szCs w:val="20"/>
          <w:highlight w:val="none"/>
        </w:rPr>
        <w:t>2%范围内；辅助气体的设定流量与实测流量的线性拟合，相关系数r</w:t>
      </w:r>
      <w:r>
        <w:rPr>
          <w:rFonts w:hint="eastAsia" w:asciiTheme="minorEastAsia" w:hAnsiTheme="minorEastAsia" w:eastAsiaTheme="minorEastAsia" w:cstheme="minorEastAsia"/>
          <w:kern w:val="0"/>
          <w:szCs w:val="20"/>
          <w:highlight w:val="none"/>
        </w:rPr>
        <w:t>≥</w:t>
      </w:r>
      <w:r>
        <w:rPr>
          <w:rFonts w:ascii="Times New Roman" w:hAnsi="Times New Roman" w:eastAsia="宋体" w:cs="Times New Roman"/>
          <w:kern w:val="0"/>
          <w:szCs w:val="20"/>
          <w:highlight w:val="none"/>
        </w:rPr>
        <w:t>0.999，斜率应满足0.95</w:t>
      </w:r>
      <w:r>
        <w:rPr>
          <w:rFonts w:hint="eastAsia" w:ascii="仿宋" w:hAnsi="仿宋" w:eastAsia="仿宋" w:cs="仿宋"/>
          <w:kern w:val="0"/>
          <w:szCs w:val="20"/>
          <w:highlight w:val="none"/>
        </w:rPr>
        <w:t>≤</w:t>
      </w:r>
      <w:r>
        <w:rPr>
          <w:rFonts w:ascii="Times New Roman" w:hAnsi="Times New Roman" w:eastAsia="宋体" w:cs="Times New Roman"/>
          <w:kern w:val="0"/>
          <w:szCs w:val="20"/>
          <w:highlight w:val="none"/>
        </w:rPr>
        <w:t>k</w:t>
      </w:r>
      <w:r>
        <w:rPr>
          <w:rFonts w:hint="eastAsia" w:ascii="仿宋" w:hAnsi="仿宋" w:eastAsia="仿宋" w:cs="仿宋"/>
          <w:kern w:val="0"/>
          <w:szCs w:val="20"/>
          <w:highlight w:val="none"/>
        </w:rPr>
        <w:t>≤1</w:t>
      </w:r>
      <w:r>
        <w:rPr>
          <w:rFonts w:ascii="Times New Roman" w:hAnsi="Times New Roman" w:eastAsia="宋体" w:cs="Times New Roman"/>
          <w:kern w:val="0"/>
          <w:szCs w:val="20"/>
          <w:highlight w:val="none"/>
        </w:rPr>
        <w:t>.05，截距应满足﹣1ml/min</w:t>
      </w:r>
      <w:r>
        <w:rPr>
          <w:rFonts w:hint="eastAsia" w:ascii="仿宋" w:hAnsi="仿宋" w:eastAsia="仿宋" w:cs="仿宋"/>
          <w:kern w:val="0"/>
          <w:szCs w:val="20"/>
          <w:highlight w:val="none"/>
        </w:rPr>
        <w:t>≤</w:t>
      </w:r>
      <w:r>
        <w:rPr>
          <w:rFonts w:ascii="Times New Roman" w:hAnsi="Times New Roman" w:eastAsia="宋体" w:cs="Times New Roman"/>
          <w:kern w:val="0"/>
          <w:szCs w:val="20"/>
          <w:highlight w:val="none"/>
        </w:rPr>
        <w:t>b</w:t>
      </w:r>
      <w:r>
        <w:rPr>
          <w:rFonts w:hint="eastAsia" w:ascii="仿宋" w:hAnsi="仿宋" w:eastAsia="仿宋" w:cs="仿宋"/>
          <w:kern w:val="0"/>
          <w:szCs w:val="20"/>
          <w:highlight w:val="none"/>
        </w:rPr>
        <w:t>≤</w:t>
      </w:r>
      <w:r>
        <w:rPr>
          <w:rFonts w:ascii="Times New Roman" w:hAnsi="Times New Roman" w:eastAsia="宋体" w:cs="Times New Roman"/>
          <w:kern w:val="0"/>
          <w:szCs w:val="20"/>
          <w:highlight w:val="none"/>
        </w:rPr>
        <w:t>1ml/min；仪器示值相对标准偏差应</w:t>
      </w:r>
      <w:r>
        <w:rPr>
          <w:rFonts w:hint="eastAsia" w:ascii="仿宋" w:hAnsi="仿宋" w:eastAsia="仿宋" w:cs="仿宋"/>
          <w:kern w:val="0"/>
          <w:szCs w:val="20"/>
          <w:highlight w:val="none"/>
        </w:rPr>
        <w:t>≤</w:t>
      </w:r>
      <w:r>
        <w:rPr>
          <w:rFonts w:ascii="Times New Roman" w:hAnsi="Times New Roman" w:eastAsia="宋体" w:cs="Times New Roman"/>
          <w:kern w:val="0"/>
          <w:szCs w:val="20"/>
          <w:highlight w:val="none"/>
        </w:rPr>
        <w:t>0.05%；CO</w:t>
      </w:r>
      <w:r>
        <w:rPr>
          <w:rFonts w:ascii="Times New Roman" w:hAnsi="Times New Roman" w:eastAsia="宋体" w:cs="Times New Roman"/>
          <w:kern w:val="0"/>
          <w:szCs w:val="20"/>
          <w:highlight w:val="none"/>
          <w:vertAlign w:val="subscript"/>
        </w:rPr>
        <w:t>2</w:t>
      </w:r>
      <w:r>
        <w:rPr>
          <w:rFonts w:ascii="Times New Roman" w:hAnsi="Times New Roman" w:eastAsia="宋体" w:cs="Times New Roman"/>
          <w:kern w:val="0"/>
          <w:szCs w:val="20"/>
          <w:highlight w:val="none"/>
        </w:rPr>
        <w:t>/CH</w:t>
      </w:r>
      <w:r>
        <w:rPr>
          <w:rFonts w:ascii="Times New Roman" w:hAnsi="Times New Roman" w:eastAsia="宋体" w:cs="Times New Roman"/>
          <w:kern w:val="0"/>
          <w:szCs w:val="20"/>
          <w:highlight w:val="none"/>
          <w:vertAlign w:val="subscript"/>
        </w:rPr>
        <w:t>4</w:t>
      </w:r>
      <w:r>
        <w:rPr>
          <w:rFonts w:ascii="Times New Roman" w:hAnsi="Times New Roman" w:eastAsia="宋体" w:cs="Times New Roman"/>
          <w:kern w:val="0"/>
          <w:szCs w:val="20"/>
          <w:highlight w:val="none"/>
        </w:rPr>
        <w:t>校准曲线相关系数r＞0.99999；审核用标准气体的修正浓度值与标称浓度值的差值应符合以下要求CO</w:t>
      </w:r>
      <w:r>
        <w:rPr>
          <w:rFonts w:ascii="Times New Roman" w:hAnsi="Times New Roman" w:eastAsia="宋体" w:cs="Times New Roman"/>
          <w:kern w:val="0"/>
          <w:szCs w:val="20"/>
          <w:highlight w:val="none"/>
          <w:vertAlign w:val="subscript"/>
        </w:rPr>
        <w:t>2</w:t>
      </w:r>
      <w:r>
        <w:rPr>
          <w:rFonts w:ascii="Times New Roman" w:hAnsi="Times New Roman" w:eastAsia="宋体" w:cs="Times New Roman"/>
          <w:kern w:val="0"/>
          <w:szCs w:val="20"/>
          <w:highlight w:val="none"/>
        </w:rPr>
        <w:t>/CH</w:t>
      </w:r>
      <w:r>
        <w:rPr>
          <w:rFonts w:ascii="Times New Roman" w:hAnsi="Times New Roman" w:eastAsia="宋体" w:cs="Times New Roman"/>
          <w:kern w:val="0"/>
          <w:szCs w:val="20"/>
          <w:highlight w:val="none"/>
          <w:vertAlign w:val="subscript"/>
        </w:rPr>
        <w:t>4</w:t>
      </w:r>
      <w:r>
        <w:rPr>
          <w:rFonts w:ascii="Times New Roman" w:hAnsi="Times New Roman" w:eastAsia="宋体" w:cs="Times New Roman"/>
          <w:kern w:val="0"/>
          <w:szCs w:val="20"/>
          <w:highlight w:val="none"/>
        </w:rPr>
        <w:t>差值应不超过</w:t>
      </w:r>
      <w:r>
        <w:rPr>
          <w:rFonts w:hint="eastAsia" w:asciiTheme="minorEastAsia" w:hAnsiTheme="minorEastAsia" w:eastAsiaTheme="minorEastAsia" w:cstheme="minorEastAsia"/>
          <w:kern w:val="0"/>
          <w:szCs w:val="20"/>
          <w:highlight w:val="none"/>
        </w:rPr>
        <w:t>±</w:t>
      </w:r>
      <w:r>
        <w:rPr>
          <w:rFonts w:ascii="Times New Roman" w:hAnsi="Times New Roman" w:eastAsia="宋体" w:cs="Times New Roman"/>
          <w:kern w:val="0"/>
          <w:szCs w:val="20"/>
          <w:highlight w:val="none"/>
        </w:rPr>
        <w:t>0.2ppm/5ppb，有条件的进一步提升为不超过</w:t>
      </w:r>
      <w:r>
        <w:rPr>
          <w:rFonts w:hint="eastAsia" w:asciiTheme="minorEastAsia" w:hAnsiTheme="minorEastAsia" w:eastAsiaTheme="minorEastAsia" w:cstheme="minorEastAsia"/>
          <w:kern w:val="0"/>
          <w:szCs w:val="20"/>
          <w:highlight w:val="none"/>
        </w:rPr>
        <w:t>±</w:t>
      </w:r>
      <w:r>
        <w:rPr>
          <w:rFonts w:ascii="Times New Roman" w:hAnsi="Times New Roman" w:eastAsia="宋体" w:cs="Times New Roman"/>
          <w:kern w:val="0"/>
          <w:szCs w:val="20"/>
          <w:highlight w:val="none"/>
        </w:rPr>
        <w:t>0.1ppm/2ppb。</w:t>
      </w:r>
    </w:p>
    <w:p w14:paraId="254FC3B9">
      <w:pPr>
        <w:numPr>
          <w:ilvl w:val="2"/>
          <w:numId w:val="1"/>
        </w:numPr>
        <w:ind w:left="0" w:firstLine="420"/>
        <w:rPr>
          <w:rFonts w:ascii="Times New Roman" w:hAnsi="Times New Roman" w:eastAsia="黑体_x0005_.." w:cs="Times New Roman"/>
          <w:szCs w:val="24"/>
          <w:highlight w:val="none"/>
        </w:rPr>
      </w:pPr>
      <w:r>
        <w:rPr>
          <w:rFonts w:ascii="Times New Roman" w:hAnsi="Times New Roman" w:eastAsia="黑体_x0005_.." w:cs="Times New Roman"/>
          <w:szCs w:val="24"/>
          <w:highlight w:val="none"/>
        </w:rPr>
        <w:t>试运行</w:t>
      </w:r>
    </w:p>
    <w:p w14:paraId="001462EF">
      <w:pPr>
        <w:widowControl/>
        <w:tabs>
          <w:tab w:val="center" w:pos="4201"/>
          <w:tab w:val="right" w:leader="dot" w:pos="9298"/>
        </w:tabs>
        <w:autoSpaceDE w:val="0"/>
        <w:autoSpaceDN w:val="0"/>
        <w:ind w:firstLine="420" w:firstLineChars="200"/>
        <w:rPr>
          <w:rFonts w:ascii="Times New Roman" w:hAnsi="Times New Roman" w:eastAsia="宋体" w:cs="Times New Roman"/>
          <w:kern w:val="0"/>
          <w:szCs w:val="20"/>
          <w:highlight w:val="none"/>
        </w:rPr>
      </w:pPr>
      <w:r>
        <w:rPr>
          <w:rFonts w:ascii="Times New Roman" w:hAnsi="Times New Roman" w:eastAsia="宋体" w:cs="Times New Roman"/>
          <w:kern w:val="0"/>
          <w:szCs w:val="20"/>
          <w:highlight w:val="none"/>
        </w:rPr>
        <w:t>温室气体高精度自动监测系统试运行至少30</w:t>
      </w:r>
      <w:r>
        <w:rPr>
          <w:rFonts w:hint="eastAsia" w:ascii="Times New Roman" w:hAnsi="Times New Roman" w:eastAsia="宋体" w:cs="Times New Roman"/>
          <w:kern w:val="0"/>
          <w:szCs w:val="20"/>
          <w:highlight w:val="none"/>
          <w:lang w:val="en-US" w:eastAsia="zh-CN"/>
        </w:rPr>
        <w:t>天</w:t>
      </w:r>
      <w:r>
        <w:rPr>
          <w:rFonts w:ascii="Times New Roman" w:hAnsi="Times New Roman" w:eastAsia="宋体" w:cs="Times New Roman"/>
          <w:kern w:val="0"/>
          <w:szCs w:val="20"/>
          <w:highlight w:val="none"/>
        </w:rPr>
        <w:t>。因系统故障等造成运行中断，恢复正常后，重新开始试运行。试运行结束时，</w:t>
      </w:r>
      <w:r>
        <w:rPr>
          <w:rFonts w:hint="eastAsia" w:ascii="Times New Roman" w:hAnsi="Times New Roman" w:eastAsia="宋体" w:cs="Times New Roman"/>
          <w:kern w:val="0"/>
          <w:szCs w:val="20"/>
          <w:highlight w:val="none"/>
        </w:rPr>
        <w:t>按以下公式</w:t>
      </w:r>
      <w:r>
        <w:rPr>
          <w:rFonts w:ascii="Times New Roman" w:hAnsi="Times New Roman" w:eastAsia="宋体" w:cs="Times New Roman"/>
          <w:kern w:val="0"/>
          <w:szCs w:val="20"/>
          <w:highlight w:val="none"/>
        </w:rPr>
        <w:t>计算系统数据获取率，数据获取率应大于</w:t>
      </w:r>
      <w:r>
        <w:rPr>
          <w:rFonts w:hint="eastAsia" w:asciiTheme="minorEastAsia" w:hAnsiTheme="minorEastAsia" w:eastAsiaTheme="minorEastAsia" w:cstheme="minorEastAsia"/>
          <w:kern w:val="0"/>
          <w:szCs w:val="20"/>
          <w:highlight w:val="none"/>
        </w:rPr>
        <w:t>≥</w:t>
      </w:r>
      <w:r>
        <w:rPr>
          <w:rFonts w:ascii="Times New Roman" w:hAnsi="Times New Roman" w:eastAsia="宋体" w:cs="Times New Roman"/>
          <w:kern w:val="0"/>
          <w:szCs w:val="20"/>
          <w:highlight w:val="none"/>
        </w:rPr>
        <w:t>90%。根据试运行结果编制试运行报告。</w:t>
      </w:r>
    </w:p>
    <w:p w14:paraId="29240C52">
      <w:pPr>
        <w:widowControl/>
        <w:tabs>
          <w:tab w:val="center" w:pos="4201"/>
          <w:tab w:val="right" w:leader="dot" w:pos="9298"/>
        </w:tabs>
        <w:autoSpaceDE w:val="0"/>
        <w:autoSpaceDN w:val="0"/>
        <w:ind w:firstLine="420" w:firstLineChars="200"/>
        <w:jc w:val="center"/>
        <w:rPr>
          <w:rFonts w:ascii="Times New Roman" w:hAnsi="Times New Roman" w:eastAsia="宋体" w:cs="Times New Roman"/>
          <w:kern w:val="0"/>
          <w:szCs w:val="20"/>
          <w:highlight w:val="none"/>
        </w:rPr>
      </w:pPr>
      <w:r>
        <w:rPr>
          <w:rFonts w:ascii="Times New Roman" w:hAnsi="Times New Roman" w:eastAsia="宋体" w:cs="Times New Roman"/>
          <w:kern w:val="0"/>
          <w:position w:val="-30"/>
          <w:szCs w:val="20"/>
          <w:highlight w:val="none"/>
        </w:rPr>
        <w:object>
          <v:shape id="_x0000_i1025" o:spt="75" type="#_x0000_t75" style="height:36pt;width:99.25pt;" o:ole="t" filled="f" o:preferrelative="t" stroked="f" coordsize="21600,21600">
            <v:path/>
            <v:fill on="f" focussize="0,0"/>
            <v:stroke on="f" joinstyle="miter"/>
            <v:imagedata r:id="rId12" o:title=""/>
            <o:lock v:ext="edit" aspectratio="t"/>
            <w10:wrap type="none"/>
            <w10:anchorlock/>
          </v:shape>
          <o:OLEObject Type="Embed" ProgID="Equation.KSEE3" ShapeID="_x0000_i1025" DrawAspect="Content" ObjectID="_1468075725" r:id="rId11">
            <o:LockedField>false</o:LockedField>
          </o:OLEObject>
        </w:object>
      </w:r>
    </w:p>
    <w:p w14:paraId="10F1D575">
      <w:pPr>
        <w:widowControl/>
        <w:tabs>
          <w:tab w:val="center" w:pos="4201"/>
          <w:tab w:val="right" w:leader="dot" w:pos="9298"/>
        </w:tabs>
        <w:autoSpaceDE w:val="0"/>
        <w:autoSpaceDN w:val="0"/>
        <w:ind w:firstLine="420" w:firstLineChars="200"/>
        <w:rPr>
          <w:rFonts w:ascii="Times New Roman" w:hAnsi="Times New Roman" w:eastAsia="宋体" w:cs="Times New Roman"/>
          <w:kern w:val="0"/>
          <w:szCs w:val="20"/>
          <w:highlight w:val="none"/>
        </w:rPr>
      </w:pPr>
      <w:r>
        <w:rPr>
          <w:rFonts w:ascii="Times New Roman" w:hAnsi="Times New Roman" w:eastAsia="宋体" w:cs="Times New Roman"/>
          <w:kern w:val="0"/>
          <w:szCs w:val="20"/>
          <w:highlight w:val="none"/>
        </w:rPr>
        <w:t>式中：</w:t>
      </w:r>
      <w:r>
        <w:rPr>
          <w:rFonts w:ascii="Times New Roman" w:hAnsi="Times New Roman" w:eastAsia="宋体" w:cs="Times New Roman"/>
          <w:i/>
          <w:iCs/>
          <w:kern w:val="0"/>
          <w:szCs w:val="20"/>
          <w:highlight w:val="none"/>
        </w:rPr>
        <w:t>Ra</w:t>
      </w:r>
      <w:r>
        <w:rPr>
          <w:rFonts w:ascii="Times New Roman" w:hAnsi="Times New Roman" w:eastAsia="宋体" w:cs="Times New Roman"/>
          <w:kern w:val="0"/>
          <w:szCs w:val="20"/>
          <w:highlight w:val="none"/>
        </w:rPr>
        <w:t>——数据获取率，%；</w:t>
      </w:r>
    </w:p>
    <w:p w14:paraId="2896957D">
      <w:pPr>
        <w:widowControl/>
        <w:tabs>
          <w:tab w:val="center" w:pos="4201"/>
          <w:tab w:val="right" w:leader="dot" w:pos="9298"/>
        </w:tabs>
        <w:autoSpaceDE w:val="0"/>
        <w:autoSpaceDN w:val="0"/>
        <w:ind w:firstLine="1050" w:firstLineChars="500"/>
        <w:rPr>
          <w:rFonts w:ascii="Times New Roman" w:hAnsi="Times New Roman" w:eastAsia="宋体" w:cs="Times New Roman"/>
          <w:kern w:val="0"/>
          <w:szCs w:val="20"/>
          <w:highlight w:val="none"/>
        </w:rPr>
      </w:pPr>
      <w:r>
        <w:rPr>
          <w:rFonts w:ascii="Times New Roman" w:hAnsi="Times New Roman" w:eastAsia="宋体" w:cs="Times New Roman"/>
          <w:i/>
          <w:iCs/>
          <w:kern w:val="0"/>
          <w:szCs w:val="20"/>
          <w:highlight w:val="none"/>
        </w:rPr>
        <w:t>T</w:t>
      </w:r>
      <w:r>
        <w:rPr>
          <w:rFonts w:ascii="Times New Roman" w:hAnsi="Times New Roman" w:eastAsia="宋体" w:cs="Times New Roman"/>
          <w:i/>
          <w:iCs/>
          <w:kern w:val="0"/>
          <w:szCs w:val="20"/>
          <w:highlight w:val="none"/>
          <w:vertAlign w:val="subscript"/>
        </w:rPr>
        <w:t>t</w:t>
      </w:r>
      <w:r>
        <w:rPr>
          <w:rFonts w:ascii="Times New Roman" w:hAnsi="Times New Roman" w:eastAsia="宋体" w:cs="Times New Roman"/>
          <w:kern w:val="0"/>
          <w:szCs w:val="20"/>
          <w:highlight w:val="none"/>
        </w:rPr>
        <w:t>——试运行总小时数；</w:t>
      </w:r>
    </w:p>
    <w:p w14:paraId="33F1A7CA">
      <w:pPr>
        <w:widowControl/>
        <w:tabs>
          <w:tab w:val="center" w:pos="4201"/>
          <w:tab w:val="right" w:leader="dot" w:pos="9298"/>
        </w:tabs>
        <w:autoSpaceDE w:val="0"/>
        <w:autoSpaceDN w:val="0"/>
        <w:ind w:firstLine="1050" w:firstLineChars="500"/>
        <w:rPr>
          <w:rFonts w:ascii="Times New Roman" w:hAnsi="Times New Roman" w:eastAsia="宋体" w:cs="Times New Roman"/>
          <w:kern w:val="0"/>
          <w:szCs w:val="20"/>
          <w:highlight w:val="none"/>
        </w:rPr>
      </w:pPr>
      <w:r>
        <w:rPr>
          <w:rFonts w:ascii="Times New Roman" w:hAnsi="Times New Roman" w:eastAsia="宋体" w:cs="Times New Roman"/>
          <w:i/>
          <w:iCs/>
          <w:kern w:val="0"/>
          <w:szCs w:val="20"/>
          <w:highlight w:val="none"/>
        </w:rPr>
        <w:t>T</w:t>
      </w:r>
      <w:r>
        <w:rPr>
          <w:rFonts w:ascii="Times New Roman" w:hAnsi="Times New Roman" w:eastAsia="宋体" w:cs="Times New Roman"/>
          <w:i/>
          <w:iCs/>
          <w:kern w:val="0"/>
          <w:szCs w:val="20"/>
          <w:highlight w:val="none"/>
          <w:vertAlign w:val="subscript"/>
        </w:rPr>
        <w:t>f</w:t>
      </w:r>
      <w:r>
        <w:rPr>
          <w:rFonts w:ascii="Times New Roman" w:hAnsi="Times New Roman" w:eastAsia="宋体" w:cs="Times New Roman"/>
          <w:kern w:val="0"/>
          <w:szCs w:val="20"/>
          <w:highlight w:val="none"/>
        </w:rPr>
        <w:t>——系统故障小时数。</w:t>
      </w:r>
    </w:p>
    <w:p w14:paraId="1667661B">
      <w:pPr>
        <w:numPr>
          <w:ilvl w:val="2"/>
          <w:numId w:val="1"/>
        </w:numPr>
        <w:ind w:left="0" w:firstLine="420"/>
        <w:rPr>
          <w:rFonts w:ascii="Times New Roman" w:hAnsi="Times New Roman" w:eastAsia="黑体_x0005_.." w:cs="Times New Roman"/>
          <w:szCs w:val="24"/>
          <w:highlight w:val="none"/>
        </w:rPr>
      </w:pPr>
      <w:r>
        <w:rPr>
          <w:rFonts w:ascii="Times New Roman" w:hAnsi="Times New Roman" w:eastAsia="黑体_x0005_.." w:cs="Times New Roman"/>
          <w:szCs w:val="24"/>
          <w:highlight w:val="none"/>
        </w:rPr>
        <w:t>验收</w:t>
      </w:r>
    </w:p>
    <w:p w14:paraId="17C4D9A6">
      <w:pPr>
        <w:widowControl/>
        <w:tabs>
          <w:tab w:val="center" w:pos="4201"/>
          <w:tab w:val="right" w:leader="dot" w:pos="9298"/>
        </w:tabs>
        <w:autoSpaceDE w:val="0"/>
        <w:autoSpaceDN w:val="0"/>
        <w:ind w:firstLine="420" w:firstLineChars="200"/>
        <w:rPr>
          <w:rFonts w:ascii="Times New Roman" w:hAnsi="Times New Roman" w:eastAsia="宋体" w:cs="Times New Roman"/>
          <w:kern w:val="0"/>
          <w:szCs w:val="20"/>
          <w:highlight w:val="none"/>
        </w:rPr>
      </w:pPr>
      <w:r>
        <w:rPr>
          <w:rFonts w:ascii="Times New Roman" w:hAnsi="Times New Roman" w:eastAsia="宋体" w:cs="Times New Roman"/>
          <w:kern w:val="0"/>
          <w:szCs w:val="20"/>
          <w:highlight w:val="none"/>
        </w:rPr>
        <w:t>（1）准备与申请</w:t>
      </w:r>
    </w:p>
    <w:p w14:paraId="75DE85DA">
      <w:pPr>
        <w:pStyle w:val="11"/>
        <w:rPr>
          <w:highlight w:val="none"/>
        </w:rPr>
      </w:pPr>
      <w:r>
        <w:rPr>
          <w:highlight w:val="none"/>
        </w:rPr>
        <w:t>在申请验收前应做好以下准备工作，提供温室气体高精度连续自动监测系统的安装调试报告、试运行报告和联网证明；温室气体高精度连续自动监测系统已至少连续稳定运行 30 d，出具监测数据报表；提供质量保证和质量控制计划文档；建立完整的温室气体高精度连续自动监测系统的技术档案。</w:t>
      </w:r>
    </w:p>
    <w:p w14:paraId="74C1E026">
      <w:pPr>
        <w:pStyle w:val="11"/>
        <w:rPr>
          <w:highlight w:val="none"/>
        </w:rPr>
      </w:pPr>
      <w:r>
        <w:rPr>
          <w:highlight w:val="none"/>
        </w:rPr>
        <w:t>验收申请，温室气体连续自动监测系统完成安装、调试及试运行后提出验收申请，经验收单位核准符合验收条件后实施验收。</w:t>
      </w:r>
    </w:p>
    <w:p w14:paraId="4CC0F7A2">
      <w:pPr>
        <w:widowControl/>
        <w:numPr>
          <w:ilvl w:val="0"/>
          <w:numId w:val="6"/>
        </w:numPr>
        <w:tabs>
          <w:tab w:val="center" w:pos="4201"/>
          <w:tab w:val="right" w:leader="dot" w:pos="9298"/>
        </w:tabs>
        <w:autoSpaceDE w:val="0"/>
        <w:autoSpaceDN w:val="0"/>
        <w:ind w:firstLine="420" w:firstLineChars="200"/>
        <w:rPr>
          <w:rFonts w:ascii="Times New Roman" w:hAnsi="Times New Roman" w:eastAsia="宋体" w:cs="Times New Roman"/>
          <w:kern w:val="0"/>
          <w:szCs w:val="20"/>
          <w:highlight w:val="none"/>
        </w:rPr>
      </w:pPr>
      <w:r>
        <w:rPr>
          <w:rFonts w:ascii="Times New Roman" w:hAnsi="Times New Roman" w:eastAsia="宋体" w:cs="Times New Roman"/>
          <w:kern w:val="0"/>
          <w:szCs w:val="20"/>
          <w:highlight w:val="none"/>
        </w:rPr>
        <w:t>验收内容</w:t>
      </w:r>
    </w:p>
    <w:p w14:paraId="21E8D600">
      <w:pPr>
        <w:pStyle w:val="11"/>
        <w:rPr>
          <w:highlight w:val="none"/>
        </w:rPr>
      </w:pPr>
      <w:r>
        <w:rPr>
          <w:highlight w:val="none"/>
        </w:rPr>
        <w:t>性能指标验收包括温度测量示值误差、大气压测量示值误差、采样流量、辅助气体流量、精密度、正确度、可比性等验收。</w:t>
      </w:r>
    </w:p>
    <w:p w14:paraId="7C6670CC">
      <w:pPr>
        <w:pStyle w:val="11"/>
        <w:rPr>
          <w:highlight w:val="none"/>
        </w:rPr>
      </w:pPr>
      <w:r>
        <w:rPr>
          <w:highlight w:val="none"/>
        </w:rPr>
        <w:t>联网验收分为通信及数据传输验收、现场数据比对验收和联网稳定性验收三部分。通信及数据传输验收。数据采集和传输设备与监测仪器之间的通信应稳定，不出现经常性的通信连接中断、报文丢失、报文不完整等通信问题。为保证监测数据在公共数据网上传输的安全性，应进行加密传输。现场数据比对验收。对数据进行抽样检查，随机抽取试运行期间7d的监测数据，对比上位机接收到的数据和现场机存储的数据，数据传输正确率应≥95%。联网稳定性验收。在连续一个月内，数据采集和传输设备能稳定运行，不出现除通信稳定性、数据传输正确性以外的其他联网问题。联网验收技术指标见下表。</w:t>
      </w:r>
    </w:p>
    <w:tbl>
      <w:tblPr>
        <w:tblStyle w:val="6"/>
        <w:tblpPr w:leftFromText="180" w:rightFromText="180" w:vertAnchor="text" w:horzAnchor="page" w:tblpXSpec="center" w:tblpY="312"/>
        <w:tblOverlap w:val="never"/>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694"/>
        <w:gridCol w:w="6578"/>
      </w:tblGrid>
      <w:tr w14:paraId="6EB6D10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694" w:type="dxa"/>
            <w:shd w:val="clear" w:color="auto" w:fill="auto"/>
          </w:tcPr>
          <w:p w14:paraId="01024829">
            <w:pPr>
              <w:autoSpaceDE w:val="0"/>
              <w:autoSpaceDN w:val="0"/>
              <w:ind w:firstLine="361"/>
              <w:jc w:val="center"/>
              <w:rPr>
                <w:rFonts w:ascii="Times New Roman" w:hAnsi="Times New Roman" w:eastAsia="宋体" w:cs="Times New Roman"/>
                <w:b/>
                <w:sz w:val="18"/>
                <w:szCs w:val="18"/>
                <w:highlight w:val="none"/>
              </w:rPr>
            </w:pPr>
            <w:r>
              <w:rPr>
                <w:rFonts w:ascii="Times New Roman" w:hAnsi="Times New Roman" w:eastAsia="宋体" w:cs="Times New Roman"/>
                <w:b/>
                <w:sz w:val="18"/>
                <w:szCs w:val="18"/>
                <w:highlight w:val="none"/>
              </w:rPr>
              <w:t>验收检测项目</w:t>
            </w:r>
          </w:p>
        </w:tc>
        <w:tc>
          <w:tcPr>
            <w:tcW w:w="6578" w:type="dxa"/>
            <w:shd w:val="clear" w:color="auto" w:fill="auto"/>
          </w:tcPr>
          <w:p w14:paraId="4F96FEB9">
            <w:pPr>
              <w:autoSpaceDE w:val="0"/>
              <w:autoSpaceDN w:val="0"/>
              <w:ind w:firstLine="361"/>
              <w:jc w:val="center"/>
              <w:rPr>
                <w:rFonts w:ascii="Times New Roman" w:hAnsi="Times New Roman" w:eastAsia="宋体" w:cs="Times New Roman"/>
                <w:b/>
                <w:sz w:val="18"/>
                <w:szCs w:val="18"/>
                <w:highlight w:val="none"/>
              </w:rPr>
            </w:pPr>
            <w:r>
              <w:rPr>
                <w:rFonts w:ascii="Times New Roman" w:hAnsi="Times New Roman" w:eastAsia="宋体" w:cs="Times New Roman"/>
                <w:b/>
                <w:sz w:val="18"/>
                <w:szCs w:val="18"/>
                <w:highlight w:val="none"/>
              </w:rPr>
              <w:t>考核指标</w:t>
            </w:r>
          </w:p>
        </w:tc>
      </w:tr>
      <w:tr w14:paraId="0465179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694" w:type="dxa"/>
            <w:shd w:val="clear" w:color="auto" w:fill="auto"/>
            <w:vAlign w:val="center"/>
          </w:tcPr>
          <w:p w14:paraId="767DEC55">
            <w:pPr>
              <w:keepNext w:val="0"/>
              <w:keepLines w:val="0"/>
              <w:pageBreakBefore w:val="0"/>
              <w:widowControl w:val="0"/>
              <w:kinsoku/>
              <w:wordWrap/>
              <w:overflowPunct/>
              <w:topLinePunct w:val="0"/>
              <w:autoSpaceDE w:val="0"/>
              <w:autoSpaceDN w:val="0"/>
              <w:bidi w:val="0"/>
              <w:adjustRightInd/>
              <w:snapToGrid/>
              <w:spacing w:line="240" w:lineRule="exact"/>
              <w:ind w:firstLine="0" w:firstLineChars="0"/>
              <w:jc w:val="center"/>
              <w:textAlignment w:val="auto"/>
              <w:rPr>
                <w:rFonts w:ascii="Times New Roman" w:hAnsi="Times New Roman" w:eastAsia="宋体" w:cs="Times New Roman"/>
                <w:sz w:val="18"/>
                <w:szCs w:val="18"/>
                <w:highlight w:val="none"/>
              </w:rPr>
            </w:pPr>
            <w:r>
              <w:rPr>
                <w:rFonts w:ascii="Times New Roman" w:hAnsi="Times New Roman" w:eastAsia="宋体" w:cs="Times New Roman"/>
                <w:sz w:val="18"/>
                <w:szCs w:val="18"/>
                <w:highlight w:val="none"/>
              </w:rPr>
              <w:t>通信稳定性</w:t>
            </w:r>
          </w:p>
        </w:tc>
        <w:tc>
          <w:tcPr>
            <w:tcW w:w="6578" w:type="dxa"/>
            <w:shd w:val="clear" w:color="auto" w:fill="auto"/>
          </w:tcPr>
          <w:p w14:paraId="57E05D35">
            <w:pPr>
              <w:keepNext w:val="0"/>
              <w:keepLines w:val="0"/>
              <w:pageBreakBefore w:val="0"/>
              <w:widowControl w:val="0"/>
              <w:kinsoku/>
              <w:wordWrap/>
              <w:overflowPunct/>
              <w:topLinePunct w:val="0"/>
              <w:autoSpaceDE w:val="0"/>
              <w:autoSpaceDN w:val="0"/>
              <w:bidi w:val="0"/>
              <w:adjustRightInd/>
              <w:snapToGrid/>
              <w:spacing w:line="240" w:lineRule="exact"/>
              <w:ind w:firstLine="0" w:firstLineChars="0"/>
              <w:textAlignment w:val="auto"/>
              <w:rPr>
                <w:rFonts w:ascii="Times New Roman" w:hAnsi="Times New Roman" w:eastAsia="宋体" w:cs="Times New Roman"/>
                <w:sz w:val="18"/>
                <w:szCs w:val="18"/>
                <w:highlight w:val="none"/>
              </w:rPr>
            </w:pPr>
            <w:r>
              <w:rPr>
                <w:rFonts w:ascii="Times New Roman" w:hAnsi="Times New Roman" w:eastAsia="宋体" w:cs="Times New Roman"/>
                <w:sz w:val="18"/>
                <w:szCs w:val="18"/>
                <w:highlight w:val="none"/>
              </w:rPr>
              <w:t>1．现场机在线率为90%以上；</w:t>
            </w:r>
          </w:p>
          <w:p w14:paraId="55649C7C">
            <w:pPr>
              <w:keepNext w:val="0"/>
              <w:keepLines w:val="0"/>
              <w:pageBreakBefore w:val="0"/>
              <w:widowControl w:val="0"/>
              <w:kinsoku/>
              <w:wordWrap/>
              <w:overflowPunct/>
              <w:topLinePunct w:val="0"/>
              <w:autoSpaceDE w:val="0"/>
              <w:autoSpaceDN w:val="0"/>
              <w:bidi w:val="0"/>
              <w:adjustRightInd/>
              <w:snapToGrid/>
              <w:spacing w:line="240" w:lineRule="exact"/>
              <w:ind w:firstLine="0" w:firstLineChars="0"/>
              <w:textAlignment w:val="auto"/>
              <w:rPr>
                <w:rFonts w:ascii="Times New Roman" w:hAnsi="Times New Roman" w:eastAsia="宋体" w:cs="Times New Roman"/>
                <w:sz w:val="18"/>
                <w:szCs w:val="18"/>
                <w:highlight w:val="none"/>
              </w:rPr>
            </w:pPr>
            <w:r>
              <w:rPr>
                <w:rFonts w:ascii="Times New Roman" w:hAnsi="Times New Roman" w:eastAsia="宋体" w:cs="Times New Roman"/>
                <w:sz w:val="18"/>
                <w:szCs w:val="18"/>
                <w:highlight w:val="none"/>
              </w:rPr>
              <w:t>2．正常情况下，掉线后，应在5min之内重新上线；</w:t>
            </w:r>
          </w:p>
          <w:p w14:paraId="0FD41FE9">
            <w:pPr>
              <w:keepNext w:val="0"/>
              <w:keepLines w:val="0"/>
              <w:pageBreakBefore w:val="0"/>
              <w:widowControl w:val="0"/>
              <w:kinsoku/>
              <w:wordWrap/>
              <w:overflowPunct/>
              <w:topLinePunct w:val="0"/>
              <w:autoSpaceDE w:val="0"/>
              <w:autoSpaceDN w:val="0"/>
              <w:bidi w:val="0"/>
              <w:adjustRightInd/>
              <w:snapToGrid/>
              <w:spacing w:line="240" w:lineRule="exact"/>
              <w:ind w:firstLine="0" w:firstLineChars="0"/>
              <w:textAlignment w:val="auto"/>
              <w:rPr>
                <w:rFonts w:ascii="Times New Roman" w:hAnsi="Times New Roman" w:eastAsia="宋体" w:cs="Times New Roman"/>
                <w:sz w:val="18"/>
                <w:szCs w:val="18"/>
                <w:highlight w:val="none"/>
              </w:rPr>
            </w:pPr>
            <w:r>
              <w:rPr>
                <w:rFonts w:ascii="Times New Roman" w:hAnsi="Times New Roman" w:eastAsia="宋体" w:cs="Times New Roman"/>
                <w:sz w:val="18"/>
                <w:szCs w:val="18"/>
                <w:highlight w:val="none"/>
              </w:rPr>
              <w:t>3．单台数据采集传输仪每日掉线次数在5次以内；</w:t>
            </w:r>
          </w:p>
          <w:p w14:paraId="57D8DF79">
            <w:pPr>
              <w:keepNext w:val="0"/>
              <w:keepLines w:val="0"/>
              <w:pageBreakBefore w:val="0"/>
              <w:widowControl w:val="0"/>
              <w:kinsoku/>
              <w:wordWrap/>
              <w:overflowPunct/>
              <w:topLinePunct w:val="0"/>
              <w:autoSpaceDE w:val="0"/>
              <w:autoSpaceDN w:val="0"/>
              <w:bidi w:val="0"/>
              <w:adjustRightInd/>
              <w:snapToGrid/>
              <w:spacing w:line="240" w:lineRule="exact"/>
              <w:ind w:firstLine="0" w:firstLineChars="0"/>
              <w:textAlignment w:val="auto"/>
              <w:rPr>
                <w:rFonts w:ascii="Times New Roman" w:hAnsi="Times New Roman" w:eastAsia="宋体" w:cs="Times New Roman"/>
                <w:sz w:val="18"/>
                <w:szCs w:val="18"/>
                <w:highlight w:val="none"/>
              </w:rPr>
            </w:pPr>
            <w:r>
              <w:rPr>
                <w:rFonts w:ascii="Times New Roman" w:hAnsi="Times New Roman" w:eastAsia="宋体" w:cs="Times New Roman"/>
                <w:sz w:val="18"/>
                <w:szCs w:val="18"/>
                <w:highlight w:val="none"/>
              </w:rPr>
              <w:t>4．报文传输稳定性在99%以上，当出现报文错误或丢失时，启动纠错逻辑，要求</w:t>
            </w:r>
          </w:p>
          <w:p w14:paraId="3601F6C8">
            <w:pPr>
              <w:keepNext w:val="0"/>
              <w:keepLines w:val="0"/>
              <w:pageBreakBefore w:val="0"/>
              <w:widowControl w:val="0"/>
              <w:kinsoku/>
              <w:wordWrap/>
              <w:overflowPunct/>
              <w:topLinePunct w:val="0"/>
              <w:autoSpaceDE w:val="0"/>
              <w:autoSpaceDN w:val="0"/>
              <w:bidi w:val="0"/>
              <w:adjustRightInd/>
              <w:snapToGrid/>
              <w:spacing w:line="240" w:lineRule="exact"/>
              <w:ind w:firstLine="0" w:firstLineChars="0"/>
              <w:textAlignment w:val="auto"/>
              <w:rPr>
                <w:rFonts w:ascii="Times New Roman" w:hAnsi="Times New Roman" w:eastAsia="宋体" w:cs="Times New Roman"/>
                <w:sz w:val="18"/>
                <w:szCs w:val="18"/>
                <w:highlight w:val="none"/>
              </w:rPr>
            </w:pPr>
            <w:r>
              <w:rPr>
                <w:rFonts w:ascii="Times New Roman" w:hAnsi="Times New Roman" w:eastAsia="宋体" w:cs="Times New Roman"/>
                <w:sz w:val="18"/>
                <w:szCs w:val="18"/>
                <w:highlight w:val="none"/>
              </w:rPr>
              <w:t>数据采集传输仪重新发送报文。</w:t>
            </w:r>
          </w:p>
        </w:tc>
      </w:tr>
      <w:tr w14:paraId="0C3CB0E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694" w:type="dxa"/>
            <w:shd w:val="clear" w:color="auto" w:fill="auto"/>
            <w:vAlign w:val="center"/>
          </w:tcPr>
          <w:p w14:paraId="3547F4BF">
            <w:pPr>
              <w:keepNext w:val="0"/>
              <w:keepLines w:val="0"/>
              <w:pageBreakBefore w:val="0"/>
              <w:widowControl w:val="0"/>
              <w:kinsoku/>
              <w:wordWrap/>
              <w:overflowPunct/>
              <w:topLinePunct w:val="0"/>
              <w:autoSpaceDE w:val="0"/>
              <w:autoSpaceDN w:val="0"/>
              <w:bidi w:val="0"/>
              <w:adjustRightInd/>
              <w:snapToGrid/>
              <w:spacing w:line="240" w:lineRule="exact"/>
              <w:ind w:firstLine="0" w:firstLineChars="0"/>
              <w:jc w:val="center"/>
              <w:textAlignment w:val="auto"/>
              <w:rPr>
                <w:rFonts w:ascii="Times New Roman" w:hAnsi="Times New Roman" w:eastAsia="宋体" w:cs="Times New Roman"/>
                <w:sz w:val="18"/>
                <w:szCs w:val="18"/>
                <w:highlight w:val="none"/>
              </w:rPr>
            </w:pPr>
            <w:r>
              <w:rPr>
                <w:rFonts w:ascii="Times New Roman" w:hAnsi="Times New Roman" w:eastAsia="宋体" w:cs="Times New Roman"/>
                <w:sz w:val="18"/>
                <w:szCs w:val="18"/>
                <w:highlight w:val="none"/>
              </w:rPr>
              <w:t>数据传输安全性</w:t>
            </w:r>
          </w:p>
        </w:tc>
        <w:tc>
          <w:tcPr>
            <w:tcW w:w="6578" w:type="dxa"/>
            <w:shd w:val="clear" w:color="auto" w:fill="auto"/>
          </w:tcPr>
          <w:p w14:paraId="24850FE4">
            <w:pPr>
              <w:keepNext w:val="0"/>
              <w:keepLines w:val="0"/>
              <w:pageBreakBefore w:val="0"/>
              <w:widowControl w:val="0"/>
              <w:kinsoku/>
              <w:wordWrap/>
              <w:overflowPunct/>
              <w:topLinePunct w:val="0"/>
              <w:autoSpaceDE w:val="0"/>
              <w:autoSpaceDN w:val="0"/>
              <w:bidi w:val="0"/>
              <w:adjustRightInd/>
              <w:snapToGrid/>
              <w:spacing w:line="240" w:lineRule="exact"/>
              <w:ind w:firstLine="0" w:firstLineChars="0"/>
              <w:textAlignment w:val="auto"/>
              <w:rPr>
                <w:rFonts w:ascii="Times New Roman" w:hAnsi="Times New Roman" w:eastAsia="宋体" w:cs="Times New Roman"/>
                <w:sz w:val="18"/>
                <w:szCs w:val="18"/>
                <w:highlight w:val="none"/>
              </w:rPr>
            </w:pPr>
            <w:r>
              <w:rPr>
                <w:rFonts w:ascii="Times New Roman" w:hAnsi="Times New Roman" w:eastAsia="宋体" w:cs="Times New Roman"/>
                <w:sz w:val="18"/>
                <w:szCs w:val="18"/>
                <w:highlight w:val="none"/>
              </w:rPr>
              <w:t>1．对所传输的数据应加密处理，保证数据传输的安全性；</w:t>
            </w:r>
          </w:p>
          <w:p w14:paraId="1FBF62C4">
            <w:pPr>
              <w:keepNext w:val="0"/>
              <w:keepLines w:val="0"/>
              <w:pageBreakBefore w:val="0"/>
              <w:widowControl w:val="0"/>
              <w:kinsoku/>
              <w:wordWrap/>
              <w:overflowPunct/>
              <w:topLinePunct w:val="0"/>
              <w:autoSpaceDE w:val="0"/>
              <w:autoSpaceDN w:val="0"/>
              <w:bidi w:val="0"/>
              <w:adjustRightInd/>
              <w:snapToGrid/>
              <w:spacing w:line="240" w:lineRule="exact"/>
              <w:ind w:firstLine="0" w:firstLineChars="0"/>
              <w:textAlignment w:val="auto"/>
              <w:rPr>
                <w:rFonts w:ascii="Times New Roman" w:hAnsi="Times New Roman" w:eastAsia="宋体" w:cs="Times New Roman"/>
                <w:sz w:val="18"/>
                <w:szCs w:val="18"/>
                <w:highlight w:val="none"/>
              </w:rPr>
            </w:pPr>
            <w:r>
              <w:rPr>
                <w:rFonts w:ascii="Times New Roman" w:hAnsi="Times New Roman" w:eastAsia="宋体" w:cs="Times New Roman"/>
                <w:sz w:val="18"/>
                <w:szCs w:val="18"/>
                <w:highlight w:val="none"/>
              </w:rPr>
              <w:t>2．服务器端对请求连接的客户端进行身份验证。</w:t>
            </w:r>
          </w:p>
        </w:tc>
      </w:tr>
      <w:tr w14:paraId="2E60165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694" w:type="dxa"/>
            <w:shd w:val="clear" w:color="auto" w:fill="auto"/>
            <w:vAlign w:val="center"/>
          </w:tcPr>
          <w:p w14:paraId="0F5A59A5">
            <w:pPr>
              <w:keepNext w:val="0"/>
              <w:keepLines w:val="0"/>
              <w:pageBreakBefore w:val="0"/>
              <w:widowControl w:val="0"/>
              <w:kinsoku/>
              <w:wordWrap/>
              <w:overflowPunct/>
              <w:topLinePunct w:val="0"/>
              <w:autoSpaceDE w:val="0"/>
              <w:autoSpaceDN w:val="0"/>
              <w:bidi w:val="0"/>
              <w:adjustRightInd/>
              <w:snapToGrid/>
              <w:spacing w:line="240" w:lineRule="exact"/>
              <w:ind w:firstLine="0" w:firstLineChars="0"/>
              <w:jc w:val="center"/>
              <w:textAlignment w:val="auto"/>
              <w:rPr>
                <w:rFonts w:ascii="Times New Roman" w:hAnsi="Times New Roman" w:eastAsia="宋体" w:cs="Times New Roman"/>
                <w:sz w:val="18"/>
                <w:szCs w:val="18"/>
                <w:highlight w:val="none"/>
              </w:rPr>
            </w:pPr>
            <w:r>
              <w:rPr>
                <w:rFonts w:ascii="Times New Roman" w:hAnsi="Times New Roman" w:eastAsia="宋体" w:cs="Times New Roman"/>
                <w:sz w:val="18"/>
                <w:szCs w:val="18"/>
                <w:highlight w:val="none"/>
              </w:rPr>
              <w:t>通信协议正确性</w:t>
            </w:r>
          </w:p>
        </w:tc>
        <w:tc>
          <w:tcPr>
            <w:tcW w:w="6578" w:type="dxa"/>
            <w:shd w:val="clear" w:color="auto" w:fill="auto"/>
          </w:tcPr>
          <w:p w14:paraId="182DC15F">
            <w:pPr>
              <w:keepNext w:val="0"/>
              <w:keepLines w:val="0"/>
              <w:pageBreakBefore w:val="0"/>
              <w:widowControl w:val="0"/>
              <w:kinsoku/>
              <w:wordWrap/>
              <w:overflowPunct/>
              <w:topLinePunct w:val="0"/>
              <w:autoSpaceDE w:val="0"/>
              <w:autoSpaceDN w:val="0"/>
              <w:bidi w:val="0"/>
              <w:adjustRightInd/>
              <w:snapToGrid/>
              <w:spacing w:line="240" w:lineRule="exact"/>
              <w:ind w:firstLine="0" w:firstLineChars="0"/>
              <w:textAlignment w:val="auto"/>
              <w:rPr>
                <w:rFonts w:ascii="Times New Roman" w:hAnsi="Times New Roman" w:eastAsia="宋体" w:cs="Times New Roman"/>
                <w:sz w:val="18"/>
                <w:szCs w:val="18"/>
                <w:highlight w:val="none"/>
              </w:rPr>
            </w:pPr>
            <w:r>
              <w:rPr>
                <w:rFonts w:ascii="Times New Roman" w:hAnsi="Times New Roman" w:eastAsia="宋体" w:cs="Times New Roman"/>
                <w:sz w:val="18"/>
                <w:szCs w:val="18"/>
                <w:highlight w:val="none"/>
              </w:rPr>
              <w:t>现场机和上位机的通信协议应符合HJ 212中的相关规定，正确率100%。</w:t>
            </w:r>
          </w:p>
        </w:tc>
      </w:tr>
      <w:tr w14:paraId="74FD4DE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694" w:type="dxa"/>
            <w:shd w:val="clear" w:color="auto" w:fill="auto"/>
            <w:vAlign w:val="center"/>
          </w:tcPr>
          <w:p w14:paraId="3746676B">
            <w:pPr>
              <w:keepNext w:val="0"/>
              <w:keepLines w:val="0"/>
              <w:pageBreakBefore w:val="0"/>
              <w:widowControl w:val="0"/>
              <w:kinsoku/>
              <w:wordWrap/>
              <w:overflowPunct/>
              <w:topLinePunct w:val="0"/>
              <w:autoSpaceDE w:val="0"/>
              <w:autoSpaceDN w:val="0"/>
              <w:bidi w:val="0"/>
              <w:adjustRightInd/>
              <w:snapToGrid/>
              <w:spacing w:line="240" w:lineRule="exact"/>
              <w:ind w:firstLine="0" w:firstLineChars="0"/>
              <w:jc w:val="center"/>
              <w:textAlignment w:val="auto"/>
              <w:rPr>
                <w:rFonts w:ascii="Times New Roman" w:hAnsi="Times New Roman" w:eastAsia="宋体" w:cs="Times New Roman"/>
                <w:sz w:val="18"/>
                <w:szCs w:val="18"/>
                <w:highlight w:val="none"/>
              </w:rPr>
            </w:pPr>
            <w:r>
              <w:rPr>
                <w:rFonts w:ascii="Times New Roman" w:hAnsi="Times New Roman" w:eastAsia="宋体" w:cs="Times New Roman"/>
                <w:sz w:val="18"/>
                <w:szCs w:val="18"/>
                <w:highlight w:val="none"/>
              </w:rPr>
              <w:t>数据传输正确性</w:t>
            </w:r>
          </w:p>
        </w:tc>
        <w:tc>
          <w:tcPr>
            <w:tcW w:w="6578" w:type="dxa"/>
            <w:shd w:val="clear" w:color="auto" w:fill="auto"/>
          </w:tcPr>
          <w:p w14:paraId="22FA3CDA">
            <w:pPr>
              <w:keepNext w:val="0"/>
              <w:keepLines w:val="0"/>
              <w:pageBreakBefore w:val="0"/>
              <w:widowControl w:val="0"/>
              <w:kinsoku/>
              <w:wordWrap/>
              <w:overflowPunct/>
              <w:topLinePunct w:val="0"/>
              <w:autoSpaceDE w:val="0"/>
              <w:autoSpaceDN w:val="0"/>
              <w:bidi w:val="0"/>
              <w:adjustRightInd/>
              <w:snapToGrid/>
              <w:spacing w:line="240" w:lineRule="exact"/>
              <w:ind w:firstLine="0" w:firstLineChars="0"/>
              <w:textAlignment w:val="auto"/>
              <w:rPr>
                <w:rFonts w:ascii="Times New Roman" w:hAnsi="Times New Roman" w:eastAsia="宋体" w:cs="Times New Roman"/>
                <w:sz w:val="18"/>
                <w:szCs w:val="18"/>
                <w:highlight w:val="none"/>
              </w:rPr>
            </w:pPr>
            <w:r>
              <w:rPr>
                <w:rFonts w:ascii="Times New Roman" w:hAnsi="Times New Roman" w:eastAsia="宋体" w:cs="Times New Roman"/>
                <w:sz w:val="18"/>
                <w:szCs w:val="18"/>
                <w:highlight w:val="none"/>
              </w:rPr>
              <w:t>随机抽取试运行期间7d的监测数据，对比上位机接收到的数据和现场机存储的数据，数据传输正确率应</w:t>
            </w:r>
            <w:r>
              <w:rPr>
                <w:rFonts w:hint="eastAsia" w:asciiTheme="majorEastAsia" w:hAnsiTheme="majorEastAsia" w:eastAsiaTheme="majorEastAsia" w:cstheme="majorEastAsia"/>
                <w:sz w:val="18"/>
                <w:szCs w:val="18"/>
                <w:highlight w:val="none"/>
              </w:rPr>
              <w:t>≥</w:t>
            </w:r>
            <w:r>
              <w:rPr>
                <w:rFonts w:ascii="Times New Roman" w:hAnsi="Times New Roman" w:eastAsia="宋体" w:cs="Times New Roman"/>
                <w:sz w:val="18"/>
                <w:szCs w:val="18"/>
                <w:highlight w:val="none"/>
              </w:rPr>
              <w:t>95%。</w:t>
            </w:r>
          </w:p>
        </w:tc>
      </w:tr>
      <w:tr w14:paraId="3254B04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694" w:type="dxa"/>
            <w:shd w:val="clear" w:color="auto" w:fill="auto"/>
            <w:vAlign w:val="center"/>
          </w:tcPr>
          <w:p w14:paraId="34A1DD60">
            <w:pPr>
              <w:keepNext w:val="0"/>
              <w:keepLines w:val="0"/>
              <w:pageBreakBefore w:val="0"/>
              <w:widowControl w:val="0"/>
              <w:kinsoku/>
              <w:wordWrap/>
              <w:overflowPunct/>
              <w:topLinePunct w:val="0"/>
              <w:autoSpaceDE w:val="0"/>
              <w:autoSpaceDN w:val="0"/>
              <w:bidi w:val="0"/>
              <w:adjustRightInd/>
              <w:snapToGrid/>
              <w:spacing w:line="240" w:lineRule="exact"/>
              <w:ind w:firstLine="0" w:firstLineChars="0"/>
              <w:jc w:val="center"/>
              <w:textAlignment w:val="auto"/>
              <w:rPr>
                <w:rFonts w:ascii="Times New Roman" w:hAnsi="Times New Roman" w:eastAsia="宋体" w:cs="Times New Roman"/>
                <w:sz w:val="18"/>
                <w:szCs w:val="18"/>
                <w:highlight w:val="none"/>
              </w:rPr>
            </w:pPr>
            <w:r>
              <w:rPr>
                <w:rFonts w:ascii="Times New Roman" w:hAnsi="Times New Roman" w:eastAsia="宋体" w:cs="Times New Roman"/>
                <w:sz w:val="18"/>
                <w:szCs w:val="18"/>
                <w:highlight w:val="none"/>
              </w:rPr>
              <w:t>联网稳定性</w:t>
            </w:r>
          </w:p>
        </w:tc>
        <w:tc>
          <w:tcPr>
            <w:tcW w:w="6578" w:type="dxa"/>
            <w:shd w:val="clear" w:color="auto" w:fill="auto"/>
          </w:tcPr>
          <w:p w14:paraId="40B67288">
            <w:pPr>
              <w:keepNext w:val="0"/>
              <w:keepLines w:val="0"/>
              <w:pageBreakBefore w:val="0"/>
              <w:widowControl w:val="0"/>
              <w:kinsoku/>
              <w:wordWrap/>
              <w:overflowPunct/>
              <w:topLinePunct w:val="0"/>
              <w:autoSpaceDE w:val="0"/>
              <w:autoSpaceDN w:val="0"/>
              <w:bidi w:val="0"/>
              <w:adjustRightInd/>
              <w:snapToGrid/>
              <w:spacing w:line="240" w:lineRule="exact"/>
              <w:ind w:firstLine="0" w:firstLineChars="0"/>
              <w:textAlignment w:val="auto"/>
              <w:rPr>
                <w:rFonts w:ascii="Times New Roman" w:hAnsi="Times New Roman" w:eastAsia="宋体" w:cs="Times New Roman"/>
                <w:sz w:val="18"/>
                <w:szCs w:val="18"/>
                <w:highlight w:val="none"/>
              </w:rPr>
            </w:pPr>
            <w:r>
              <w:rPr>
                <w:rFonts w:ascii="Times New Roman" w:hAnsi="Times New Roman" w:eastAsia="宋体" w:cs="Times New Roman"/>
                <w:sz w:val="18"/>
                <w:szCs w:val="18"/>
                <w:highlight w:val="none"/>
              </w:rPr>
              <w:t>在连续一个月内，不出现除通信稳定性、数据传输正确性以外的其他联网问题。</w:t>
            </w:r>
          </w:p>
        </w:tc>
      </w:tr>
    </w:tbl>
    <w:p w14:paraId="75FAC08B">
      <w:pPr>
        <w:keepNext w:val="0"/>
        <w:keepLines w:val="0"/>
        <w:pageBreakBefore w:val="0"/>
        <w:widowControl w:val="0"/>
        <w:kinsoku/>
        <w:wordWrap/>
        <w:overflowPunct/>
        <w:topLinePunct w:val="0"/>
        <w:autoSpaceDE w:val="0"/>
        <w:autoSpaceDN w:val="0"/>
        <w:bidi w:val="0"/>
        <w:adjustRightInd/>
        <w:snapToGrid/>
        <w:spacing w:line="240" w:lineRule="exact"/>
        <w:ind w:firstLine="0" w:firstLineChars="0"/>
        <w:jc w:val="center"/>
        <w:textAlignment w:val="auto"/>
        <w:rPr>
          <w:rFonts w:ascii="Times New Roman" w:hAnsi="Times New Roman" w:eastAsia="黑体" w:cs="Times New Roman"/>
          <w:sz w:val="18"/>
          <w:szCs w:val="18"/>
          <w:highlight w:val="none"/>
        </w:rPr>
      </w:pPr>
      <w:r>
        <w:rPr>
          <w:rFonts w:ascii="Times New Roman" w:hAnsi="Times New Roman" w:eastAsia="黑体" w:cs="Times New Roman"/>
          <w:sz w:val="18"/>
          <w:szCs w:val="18"/>
          <w:highlight w:val="none"/>
        </w:rPr>
        <w:t>表1联网验收技术指标</w:t>
      </w:r>
    </w:p>
    <w:p w14:paraId="2FB99C44">
      <w:pPr>
        <w:autoSpaceDE w:val="0"/>
        <w:autoSpaceDN w:val="0"/>
        <w:ind w:firstLine="420" w:firstLineChars="200"/>
        <w:rPr>
          <w:rFonts w:ascii="Times New Roman" w:hAnsi="Times New Roman" w:eastAsia="宋体" w:cs="Times New Roman"/>
          <w:highlight w:val="none"/>
        </w:rPr>
      </w:pPr>
      <w:r>
        <w:rPr>
          <w:rFonts w:ascii="Times New Roman" w:hAnsi="Times New Roman" w:eastAsia="宋体" w:cs="Times New Roman"/>
          <w:highlight w:val="none"/>
        </w:rPr>
        <w:t>相关制度、记录和档案验收要求如下，仪器操作和使用制度，包括仪器使用管理说明、系统运行操作规程等；仪器质量保证和质量控制计划，包括日常巡检、定期维护、定期校验及校准、易损易耗品定期检查及更换等制度和相关记录；仪器档案，包括仪器说明书、辅助器材及备品备件清单等档案。</w:t>
      </w:r>
    </w:p>
    <w:p w14:paraId="7EACBBA2">
      <w:pPr>
        <w:autoSpaceDE w:val="0"/>
        <w:autoSpaceDN w:val="0"/>
        <w:ind w:firstLine="420" w:firstLineChars="200"/>
        <w:rPr>
          <w:rFonts w:ascii="Times New Roman" w:hAnsi="Times New Roman" w:eastAsia="宋体" w:cs="Times New Roman"/>
          <w:highlight w:val="none"/>
        </w:rPr>
      </w:pPr>
      <w:r>
        <w:rPr>
          <w:rFonts w:ascii="Times New Roman" w:hAnsi="Times New Roman" w:eastAsia="宋体" w:cs="Times New Roman"/>
          <w:highlight w:val="none"/>
        </w:rPr>
        <w:t>（3）验收报告</w:t>
      </w:r>
    </w:p>
    <w:p w14:paraId="43A73B60">
      <w:pPr>
        <w:autoSpaceDE w:val="0"/>
        <w:autoSpaceDN w:val="0"/>
        <w:ind w:firstLine="420" w:firstLineChars="200"/>
        <w:rPr>
          <w:rFonts w:ascii="Times New Roman" w:hAnsi="Times New Roman" w:eastAsia="宋体" w:cs="Times New Roman"/>
          <w:highlight w:val="none"/>
        </w:rPr>
      </w:pPr>
      <w:r>
        <w:rPr>
          <w:rFonts w:ascii="Times New Roman" w:hAnsi="Times New Roman" w:eastAsia="宋体" w:cs="Times New Roman"/>
          <w:highlight w:val="none"/>
        </w:rPr>
        <w:t>验收报告应附安装调试报告、试运行报告和联网证明。</w:t>
      </w:r>
    </w:p>
    <w:p w14:paraId="019D9FBB">
      <w:pPr>
        <w:numPr>
          <w:ilvl w:val="1"/>
          <w:numId w:val="1"/>
        </w:numPr>
        <w:tabs>
          <w:tab w:val="center" w:pos="4201"/>
          <w:tab w:val="right" w:leader="dot" w:pos="9298"/>
        </w:tabs>
        <w:spacing w:before="156" w:beforeLines="50" w:after="156" w:afterLines="50"/>
        <w:ind w:firstLine="420"/>
        <w:outlineLvl w:val="2"/>
        <w:rPr>
          <w:rFonts w:ascii="Times New Roman" w:hAnsi="Times New Roman" w:eastAsia="黑体" w:cs="Times New Roman"/>
          <w:szCs w:val="21"/>
          <w:highlight w:val="none"/>
        </w:rPr>
      </w:pPr>
      <w:bookmarkStart w:id="85" w:name="_Toc4742"/>
      <w:bookmarkStart w:id="86" w:name="_Toc18845"/>
      <w:bookmarkStart w:id="87" w:name="_Toc26514"/>
      <w:r>
        <w:rPr>
          <w:rFonts w:ascii="Times New Roman" w:hAnsi="Times New Roman" w:eastAsia="黑体" w:cs="Times New Roman"/>
          <w:szCs w:val="21"/>
          <w:highlight w:val="none"/>
        </w:rPr>
        <w:t>系统日常维护</w:t>
      </w:r>
      <w:bookmarkEnd w:id="85"/>
      <w:bookmarkEnd w:id="86"/>
      <w:bookmarkEnd w:id="87"/>
    </w:p>
    <w:p w14:paraId="170571D9">
      <w:pPr>
        <w:numPr>
          <w:ilvl w:val="2"/>
          <w:numId w:val="1"/>
        </w:numPr>
        <w:ind w:left="0" w:firstLine="420"/>
        <w:rPr>
          <w:rFonts w:ascii="Times New Roman" w:hAnsi="Times New Roman" w:eastAsia="黑体_x0005_.." w:cs="Times New Roman"/>
          <w:szCs w:val="24"/>
          <w:highlight w:val="none"/>
        </w:rPr>
      </w:pPr>
      <w:bookmarkStart w:id="88" w:name="_Toc128642760"/>
      <w:r>
        <w:rPr>
          <w:rFonts w:ascii="Times New Roman" w:hAnsi="Times New Roman" w:eastAsia="黑体_x0005_.." w:cs="Times New Roman"/>
          <w:szCs w:val="24"/>
          <w:highlight w:val="none"/>
        </w:rPr>
        <w:t>基本要求</w:t>
      </w:r>
      <w:bookmarkEnd w:id="88"/>
    </w:p>
    <w:p w14:paraId="46ED4C0D">
      <w:pPr>
        <w:pStyle w:val="11"/>
        <w:rPr>
          <w:highlight w:val="none"/>
        </w:rPr>
      </w:pPr>
      <w:r>
        <w:rPr>
          <w:highlight w:val="none"/>
        </w:rPr>
        <w:t>温室气体高精度自动监测仪器应全年365天（闰年366天）连续运行，如出现故障等应采取有效措施及时恢复运行。监测仪器主要技术参数应与仪器说明书要求和系统安装验收时的设置值保持一致。如确需对主要技术参数进行调整应开展参数调整试验和仪器性能测试，记录测试结果并编制参数调整测试报告。</w:t>
      </w:r>
    </w:p>
    <w:p w14:paraId="188B793C">
      <w:pPr>
        <w:numPr>
          <w:ilvl w:val="2"/>
          <w:numId w:val="1"/>
        </w:numPr>
        <w:ind w:left="0" w:firstLine="420"/>
        <w:rPr>
          <w:rFonts w:ascii="Times New Roman" w:hAnsi="Times New Roman" w:eastAsia="黑体_x0005_.." w:cs="Times New Roman"/>
          <w:szCs w:val="24"/>
          <w:highlight w:val="none"/>
        </w:rPr>
      </w:pPr>
      <w:r>
        <w:rPr>
          <w:rFonts w:ascii="Times New Roman" w:hAnsi="Times New Roman" w:eastAsia="黑体_x0005_.." w:cs="Times New Roman"/>
          <w:szCs w:val="24"/>
          <w:highlight w:val="none"/>
        </w:rPr>
        <w:t>仪器操作维护</w:t>
      </w:r>
    </w:p>
    <w:p w14:paraId="39B6C12C">
      <w:pPr>
        <w:autoSpaceDE w:val="0"/>
        <w:autoSpaceDN w:val="0"/>
        <w:ind w:firstLine="420" w:firstLineChars="200"/>
        <w:rPr>
          <w:rFonts w:ascii="Times New Roman" w:hAnsi="Times New Roman" w:eastAsia="宋体" w:cs="Times New Roman"/>
          <w:highlight w:val="none"/>
        </w:rPr>
      </w:pPr>
      <w:r>
        <w:rPr>
          <w:rFonts w:ascii="Times New Roman" w:hAnsi="Times New Roman" w:eastAsia="宋体" w:cs="Times New Roman"/>
          <w:highlight w:val="none"/>
        </w:rPr>
        <w:t>（1）监测站房及辅助设备日常巡检</w:t>
      </w:r>
    </w:p>
    <w:p w14:paraId="331D8EAD">
      <w:pPr>
        <w:pStyle w:val="11"/>
        <w:rPr>
          <w:highlight w:val="none"/>
        </w:rPr>
      </w:pPr>
      <w:r>
        <w:rPr>
          <w:highlight w:val="none"/>
        </w:rPr>
        <w:t>监测站房及辅助设备日常巡检应定期开展，每周至少巡检1次。巡检工作主要包括：检查站房内温度是否保持在25℃</w:t>
      </w:r>
      <w:r>
        <w:rPr>
          <w:rFonts w:hint="eastAsia" w:asciiTheme="minorEastAsia" w:hAnsiTheme="minorEastAsia" w:eastAsiaTheme="minorEastAsia" w:cstheme="minorEastAsia"/>
          <w:highlight w:val="none"/>
        </w:rPr>
        <w:t>±</w:t>
      </w:r>
      <w:r>
        <w:rPr>
          <w:highlight w:val="none"/>
        </w:rPr>
        <w:t>5℃（建议24小时变化幅度不超过2℃），相对湿度保持在80%以下。在冬、夏季节应注意站房内外温差，及时调整站房温度或对采样管采取适当的温控措施，防止因温差造成采样装置出现冷凝水的现象。检查采样管进气、排气是否正常。检查抽气泵工作是否正常。若配有阀箱，应检查阀箱是否正常，多口阀切换是否正常。检查站房排风排气装置工作是否正常。检查标气瓶是否漏气，检查标气消耗情况，压力值接近500psi时需更换标气瓶。检查标气瓶二级分压是否在正常范围（一般在15~20psi）内，并与样气进样压力保持一致。若分析仪测量水汽浓度，则应检查标气水汽浓度值（一般在0</w:t>
      </w:r>
      <w:r>
        <w:rPr>
          <w:rFonts w:hint="eastAsia"/>
          <w:highlight w:val="none"/>
          <w:lang w:eastAsia="zh-CN"/>
        </w:rPr>
        <w:t>%</w:t>
      </w:r>
      <w:r>
        <w:rPr>
          <w:highlight w:val="none"/>
        </w:rPr>
        <w:t>~0.008%）如出现水汽浓度值显著增高应检查瓶阀、管路、进样系统是否漏气。检查数据采集、传输与网络通讯是否正常。检查各种运维工具、仪器耗材、备件是否完好齐全。检查空调、电源等辅助设备的运行状况是否正常，检查站房空调机的过滤网是否清洁，必要时进行清洗。检查各种消防、安全设施是否完好齐全。对站房周围的杂草和积水应及时清除对站房周围的杂草和积水应及时清除，对监测有影响的树枝应及时进行剪除。检查避雷设施是否检查避雷设施是否正常，子站房屋是否有漏雨现象，子站房屋是否有漏雨现象。每年检查采样塔、每年检查采样塔、采样管线等辅助设施。</w:t>
      </w:r>
      <w:r>
        <w:rPr>
          <w:rFonts w:hint="eastAsia"/>
          <w:highlight w:val="none"/>
        </w:rPr>
        <w:t>记录巡检情况</w:t>
      </w:r>
      <w:r>
        <w:rPr>
          <w:highlight w:val="none"/>
        </w:rPr>
        <w:t>。</w:t>
      </w:r>
    </w:p>
    <w:p w14:paraId="0FF74696">
      <w:pPr>
        <w:autoSpaceDE w:val="0"/>
        <w:autoSpaceDN w:val="0"/>
        <w:ind w:firstLine="420" w:firstLineChars="200"/>
        <w:rPr>
          <w:rFonts w:ascii="Times New Roman" w:hAnsi="Times New Roman" w:eastAsia="宋体" w:cs="Times New Roman"/>
          <w:highlight w:val="none"/>
        </w:rPr>
      </w:pPr>
      <w:r>
        <w:rPr>
          <w:rFonts w:ascii="Times New Roman" w:hAnsi="Times New Roman" w:eastAsia="宋体" w:cs="Times New Roman"/>
          <w:highlight w:val="none"/>
        </w:rPr>
        <w:t>（2）监测仪器日常维护</w:t>
      </w:r>
    </w:p>
    <w:p w14:paraId="1C5BA3C3">
      <w:pPr>
        <w:pStyle w:val="11"/>
        <w:rPr>
          <w:highlight w:val="none"/>
        </w:rPr>
      </w:pPr>
      <w:r>
        <w:rPr>
          <w:highlight w:val="none"/>
        </w:rPr>
        <w:t>监测仪器日常维护应定期开展。主要内容包括：每日远程查看监测数据及仪器工作状态参数，发现异常时，应及时至现场进行故障检测及排除。每周进行仪器、数据采集系统时钟检查，确保时钟偏差不超过30秒。应注意时区设置情况，监测仪器可使用自带时区，数据采集系统应使用北京时区。每周检查仪器配备的干燥系统等，包括设备工作状态参数、干燥后水汽浓度、耗材使用情况、积水情况等，及时维护、更换耗材。每季度检查抽气泵泵膜、阀片，必要时更换；每年至少更换1次。每季度使用检漏液对气路正压部分进行气密性检查（使用检漏液查看连接处是否漏气，漏气则有气泡出现。检漏液必须使用对连接处无腐蚀、无污染的专用液体）。根据仪器说明书的要求，定期更换和清洁仪器设备中的过滤装置。采样入口处和采样管路中的过滤器至少每年更换1次，颗粒物浓度较高地区或浓度较高季节，应视颗粒物过滤膜实际污染情况加大更换频次。颗粒物浓度较高地区建议每年清洁1次室外采样管，其他地区视情况开展。每次清洁后，应进行检漏测试。根据仪器说明书的要求，定期检查、清洗、更换仪器重要部件。</w:t>
      </w:r>
    </w:p>
    <w:p w14:paraId="02A63D52">
      <w:pPr>
        <w:autoSpaceDE w:val="0"/>
        <w:autoSpaceDN w:val="0"/>
        <w:ind w:firstLine="420" w:firstLineChars="200"/>
        <w:rPr>
          <w:rFonts w:ascii="Times New Roman" w:hAnsi="Times New Roman" w:eastAsia="宋体" w:cs="Times New Roman"/>
          <w:highlight w:val="none"/>
        </w:rPr>
      </w:pPr>
      <w:r>
        <w:rPr>
          <w:rFonts w:ascii="Times New Roman" w:hAnsi="Times New Roman" w:eastAsia="宋体" w:cs="Times New Roman"/>
          <w:highlight w:val="none"/>
        </w:rPr>
        <w:t>（3）故障检修</w:t>
      </w:r>
    </w:p>
    <w:p w14:paraId="3E8B1F39">
      <w:pPr>
        <w:pStyle w:val="11"/>
        <w:rPr>
          <w:highlight w:val="none"/>
        </w:rPr>
      </w:pPr>
      <w:r>
        <w:rPr>
          <w:highlight w:val="none"/>
        </w:rPr>
        <w:t>故障的仪器设备检修应及时开展。主要内容及要求包括：应在24小时内响应，原则上7天内完成修复。根据仪器制造商提供的维修手册要求，开展故障判断和检修。对于在现场能够诊断明确，并且可以通过简单更换备件解决的故障，如电磁阀控制失灵、抽气泵泵膜</w:t>
      </w:r>
      <w:r>
        <w:rPr>
          <w:rFonts w:hint="eastAsia"/>
          <w:highlight w:val="none"/>
        </w:rPr>
        <w:t>破损</w:t>
      </w:r>
      <w:r>
        <w:rPr>
          <w:highlight w:val="none"/>
        </w:rPr>
        <w:t>、气路堵塞等，应及时检修并尽快恢复正常运行。对于不能在现场完成故障检修的仪器，应送至系统支持实验室进行检查和维修并及时采用备用仪器开展监测对泵膜、散热风扇、气路接头、颗粒物过滤器或接插件等普通易损件维修后，应进行目标气检查。对机械部件、光学部件、检测部件和信号处理部件等关键部件维修后应进行仪器性能</w:t>
      </w:r>
      <w:r>
        <w:rPr>
          <w:rFonts w:hint="eastAsia"/>
          <w:highlight w:val="none"/>
        </w:rPr>
        <w:t>测试</w:t>
      </w:r>
      <w:r>
        <w:rPr>
          <w:highlight w:val="none"/>
        </w:rPr>
        <w:t>合格后，方可投入使用。每次故障检修完成后，应对检修、校准和测试情况进行记录并存档。每次故障检修完成后，应对检修、校准和测试情况进行记录并存档。</w:t>
      </w:r>
    </w:p>
    <w:p w14:paraId="7A399C88">
      <w:pPr>
        <w:numPr>
          <w:ilvl w:val="1"/>
          <w:numId w:val="1"/>
        </w:numPr>
        <w:tabs>
          <w:tab w:val="center" w:pos="4201"/>
          <w:tab w:val="right" w:leader="dot" w:pos="9298"/>
        </w:tabs>
        <w:spacing w:before="156" w:beforeLines="50" w:after="156" w:afterLines="50"/>
        <w:ind w:firstLine="420"/>
        <w:outlineLvl w:val="2"/>
        <w:rPr>
          <w:rFonts w:ascii="Times New Roman" w:hAnsi="Times New Roman" w:eastAsia="黑体" w:cs="Times New Roman"/>
          <w:szCs w:val="21"/>
          <w:highlight w:val="none"/>
        </w:rPr>
      </w:pPr>
      <w:bookmarkStart w:id="89" w:name="_Toc15643"/>
      <w:bookmarkStart w:id="90" w:name="_Toc18689"/>
      <w:bookmarkStart w:id="91" w:name="_Toc22066"/>
      <w:r>
        <w:rPr>
          <w:rFonts w:ascii="Times New Roman" w:hAnsi="Times New Roman" w:eastAsia="黑体" w:cs="Times New Roman"/>
          <w:szCs w:val="21"/>
          <w:highlight w:val="none"/>
        </w:rPr>
        <w:t>质量保证和质量控制</w:t>
      </w:r>
      <w:bookmarkEnd w:id="89"/>
      <w:bookmarkEnd w:id="90"/>
      <w:bookmarkEnd w:id="91"/>
    </w:p>
    <w:p w14:paraId="0F37018C">
      <w:pPr>
        <w:numPr>
          <w:ilvl w:val="2"/>
          <w:numId w:val="1"/>
        </w:numPr>
        <w:ind w:left="0" w:firstLine="420"/>
        <w:rPr>
          <w:rFonts w:ascii="Times New Roman" w:hAnsi="Times New Roman" w:eastAsia="黑体_x0005_.." w:cs="Times New Roman"/>
          <w:szCs w:val="24"/>
          <w:highlight w:val="none"/>
        </w:rPr>
      </w:pPr>
      <w:r>
        <w:rPr>
          <w:rFonts w:ascii="Times New Roman" w:hAnsi="Times New Roman" w:eastAsia="黑体_x0005_.." w:cs="Times New Roman"/>
          <w:szCs w:val="24"/>
          <w:highlight w:val="none"/>
        </w:rPr>
        <w:t>量值溯源和传递</w:t>
      </w:r>
    </w:p>
    <w:p w14:paraId="4C432051">
      <w:pPr>
        <w:autoSpaceDE w:val="0"/>
        <w:autoSpaceDN w:val="0"/>
        <w:ind w:firstLine="420" w:firstLineChars="200"/>
        <w:rPr>
          <w:rFonts w:ascii="Times New Roman" w:hAnsi="Times New Roman" w:eastAsia="宋体" w:cs="Times New Roman"/>
          <w:highlight w:val="none"/>
        </w:rPr>
      </w:pPr>
      <w:r>
        <w:rPr>
          <w:rFonts w:ascii="Times New Roman" w:hAnsi="Times New Roman" w:eastAsia="宋体" w:cs="Times New Roman"/>
          <w:highlight w:val="none"/>
        </w:rPr>
        <w:t>量值溯源和传递要求精密度检查，用于量值传递的计量器具，如流量计、气压表、压力计、真空表、温度计等，应按计量检定规程的要求进行周期性检定。标准气体应储存于高压铝合金气瓶中。气瓶阀门应为非密闭黄铜或不锈钢材质内有带PCTFE、PA66、PEEK垫片或金属阀座。标准气体应溯源至我国温室气体测量基准标尺，并在有效期内使用。</w:t>
      </w:r>
    </w:p>
    <w:p w14:paraId="463B8FB4">
      <w:pPr>
        <w:autoSpaceDE w:val="0"/>
        <w:autoSpaceDN w:val="0"/>
        <w:ind w:firstLine="420" w:firstLineChars="200"/>
        <w:rPr>
          <w:rFonts w:ascii="Times New Roman" w:hAnsi="Times New Roman" w:eastAsia="宋体" w:cs="Times New Roman"/>
          <w:highlight w:val="none"/>
        </w:rPr>
      </w:pPr>
      <w:r>
        <w:rPr>
          <w:rFonts w:ascii="Times New Roman" w:hAnsi="Times New Roman" w:eastAsia="宋体" w:cs="Times New Roman"/>
          <w:highlight w:val="none"/>
        </w:rPr>
        <w:t>标准气体管理要求如下，城市地区使用2瓶工作气（1瓶高浓度气、1瓶低浓度气）和1瓶目标气。工作气应涵盖所监测地区被测气体浓度范围，建议高浓度工作气浓度在全年小时浓度的90百分位附近，低浓度工作气浓度在全年小时浓度的10百分位附近。建议目标气在全年小时浓度的50百分位附近。本底（背景）地区被测气体浓度变化范围较小时，可使用1瓶工作气、1瓶目标气。工作气、目标气浓度建议在全年小时浓度的50百分位附近。工作气与目标气不应同时更换。建议有条件时增配1组备用标气。标气瓶使用两级减压调节阀控制，以保证输出标气的压力恒定。标气瓶建议固定放置在站房使用。确需移动时应携带减压阀，并保持减压阀内有一定正压移动后至少静置24小时方可使用；连接气路后应检查气路是否漏气，并冲洗管路至少4次，减压阀和管路应在充气条件下静置6小时。标气瓶应放置在站房内温度和湿度稳定处，或保存在气瓶柜中，并避免空调直吹。标气瓶应水平固定放置，避免碰倒或剧烈震动。标气瓶压力值低于 500 psi时，应及时更换新的标气。标气使用超出证书有效期时，应重新定值。</w:t>
      </w:r>
    </w:p>
    <w:p w14:paraId="7604C2C8">
      <w:pPr>
        <w:numPr>
          <w:ilvl w:val="2"/>
          <w:numId w:val="1"/>
        </w:numPr>
        <w:ind w:left="0" w:firstLine="420"/>
        <w:rPr>
          <w:rFonts w:ascii="Times New Roman" w:hAnsi="Times New Roman" w:eastAsia="黑体_x0005_.." w:cs="Times New Roman"/>
          <w:szCs w:val="24"/>
          <w:highlight w:val="none"/>
        </w:rPr>
      </w:pPr>
      <w:r>
        <w:rPr>
          <w:rFonts w:ascii="Times New Roman" w:hAnsi="Times New Roman" w:eastAsia="黑体_x0005_.." w:cs="Times New Roman"/>
          <w:szCs w:val="24"/>
          <w:highlight w:val="none"/>
        </w:rPr>
        <w:t>采样周期要求</w:t>
      </w:r>
    </w:p>
    <w:p w14:paraId="2FB15D0E">
      <w:pPr>
        <w:autoSpaceDE w:val="0"/>
        <w:autoSpaceDN w:val="0"/>
        <w:ind w:firstLine="420" w:firstLineChars="200"/>
        <w:rPr>
          <w:rFonts w:ascii="Times New Roman" w:hAnsi="Times New Roman" w:eastAsia="宋体" w:cs="Times New Roman"/>
          <w:highlight w:val="none"/>
        </w:rPr>
      </w:pPr>
      <w:r>
        <w:rPr>
          <w:rFonts w:ascii="Times New Roman" w:hAnsi="Times New Roman" w:eastAsia="宋体" w:cs="Times New Roman"/>
          <w:highlight w:val="none"/>
        </w:rPr>
        <w:t>样气通过采样管路时间不超过1分钟；开展单层采样时应保证监测系统连续自动采样；开展多层采样时，应尽量平均设置各层采样时间，切换不同高度样气后应充分冲洗管路；建议每层采样时间5分钟，前2分钟冲洗管路，后3分钟采样；进气管路通完标气后，需用样气冲洗管路2分钟。</w:t>
      </w:r>
    </w:p>
    <w:p w14:paraId="424BB93A">
      <w:pPr>
        <w:numPr>
          <w:ilvl w:val="2"/>
          <w:numId w:val="1"/>
        </w:numPr>
        <w:ind w:left="0" w:firstLine="420"/>
        <w:rPr>
          <w:rFonts w:ascii="Times New Roman" w:hAnsi="Times New Roman" w:eastAsia="黑体_x0005_.." w:cs="Times New Roman"/>
          <w:szCs w:val="24"/>
          <w:highlight w:val="none"/>
        </w:rPr>
      </w:pPr>
      <w:r>
        <w:rPr>
          <w:rFonts w:ascii="Times New Roman" w:hAnsi="Times New Roman" w:eastAsia="黑体_x0005_.." w:cs="Times New Roman"/>
          <w:szCs w:val="24"/>
          <w:highlight w:val="none"/>
        </w:rPr>
        <w:t>监测仪器的校准周期和要求</w:t>
      </w:r>
    </w:p>
    <w:p w14:paraId="6E0DC96C">
      <w:pPr>
        <w:autoSpaceDE w:val="0"/>
        <w:autoSpaceDN w:val="0"/>
        <w:ind w:firstLine="420" w:firstLineChars="200"/>
        <w:rPr>
          <w:rFonts w:ascii="Times New Roman" w:hAnsi="Times New Roman" w:eastAsia="宋体" w:cs="Times New Roman"/>
          <w:highlight w:val="none"/>
        </w:rPr>
      </w:pPr>
      <w:r>
        <w:rPr>
          <w:rFonts w:ascii="Times New Roman" w:hAnsi="Times New Roman" w:eastAsia="宋体" w:cs="Times New Roman"/>
          <w:highlight w:val="none"/>
        </w:rPr>
        <w:t>监测系统应具备自动校准条件；工作气校准周期可根据仪器运行状态调整，校准周期建议不超过仪器漂移达到限值时所用时间的一半；运行状态不稳定的仪器工作气校准周期频次应加密，运行状态稳定的仪器工作气校准周期频次可适当降低。工作气校准周期建议不超过7天；通过工作气校准，得到校准方程，期间仪器不做任何调整。校准方程用于仪器监测数据的修正；每间隔12小时进行1次目标气检查。当发现漂移超过要求时，认为监测系统处于异常状态，应及时检查和维护；工作气和目标气通气时间不少于15分钟，前10分钟冲洗管路。通气时间一般选在整点时刻前后，以尽量保证数据有效性。</w:t>
      </w:r>
    </w:p>
    <w:p w14:paraId="5F76AA40">
      <w:pPr>
        <w:numPr>
          <w:ilvl w:val="0"/>
          <w:numId w:val="0"/>
        </w:numPr>
        <w:rPr>
          <w:rFonts w:ascii="Times New Roman" w:hAnsi="Times New Roman" w:eastAsia="黑体_x0005_.." w:cs="Times New Roman"/>
          <w:szCs w:val="24"/>
          <w:highlight w:val="none"/>
        </w:rPr>
      </w:pPr>
      <w:r>
        <w:rPr>
          <w:rFonts w:hint="eastAsia" w:ascii="黑体" w:hAnsi="黑体" w:eastAsia="黑体" w:cs="黑体"/>
          <w:szCs w:val="24"/>
          <w:highlight w:val="none"/>
          <w:lang w:val="en-US" w:eastAsia="zh-CN"/>
        </w:rPr>
        <w:t xml:space="preserve">7.8.3.1  </w:t>
      </w:r>
      <w:r>
        <w:rPr>
          <w:rFonts w:hint="eastAsia" w:ascii="Times New Roman" w:hAnsi="Times New Roman" w:eastAsia="黑体_x0005_.." w:cs="Times New Roman"/>
          <w:szCs w:val="24"/>
          <w:highlight w:val="none"/>
        </w:rPr>
        <w:t>工作气校准方法</w:t>
      </w:r>
    </w:p>
    <w:p w14:paraId="12D491DB">
      <w:pPr>
        <w:ind w:firstLine="420" w:firstLineChars="200"/>
        <w:rPr>
          <w:highlight w:val="none"/>
        </w:rPr>
      </w:pPr>
      <w:r>
        <w:rPr>
          <w:rFonts w:hint="eastAsia"/>
          <w:highlight w:val="none"/>
        </w:rPr>
        <w:t>（1）</w:t>
      </w:r>
      <w:r>
        <w:rPr>
          <w:highlight w:val="none"/>
        </w:rPr>
        <w:t>单点校准</w:t>
      </w:r>
    </w:p>
    <w:p w14:paraId="7FEC4C68">
      <w:pPr>
        <w:ind w:firstLine="420" w:firstLineChars="200"/>
        <w:rPr>
          <w:highlight w:val="none"/>
        </w:rPr>
      </w:pPr>
      <w:r>
        <w:rPr>
          <w:highlight w:val="none"/>
        </w:rPr>
        <w:t>适用于被测气体浓度变化幅度较小的清洁区域。工作气浓度建议在全年小时浓度的 50百分位附近。校准方法如下</w:t>
      </w:r>
    </w:p>
    <w:p w14:paraId="273C276C">
      <w:pPr>
        <w:ind w:firstLine="420" w:firstLineChars="200"/>
        <w:rPr>
          <w:highlight w:val="none"/>
        </w:rPr>
      </w:pPr>
      <w:r>
        <w:rPr>
          <w:highlight w:val="none"/>
        </w:rPr>
        <w:t>1）向监测系统通入工作气，每次通气15分钟，取后 5分钟监测数据均值为记录结果。</w:t>
      </w:r>
    </w:p>
    <w:p w14:paraId="49C1149A">
      <w:pPr>
        <w:pStyle w:val="11"/>
        <w:rPr>
          <w:highlight w:val="none"/>
        </w:rPr>
      </w:pPr>
      <w:r>
        <w:rPr>
          <w:highlight w:val="none"/>
        </w:rPr>
        <w:t>2）用公式 A.1计算 校准系数。</w:t>
      </w:r>
    </w:p>
    <w:p w14:paraId="0F4044E5">
      <w:pPr>
        <w:widowControl/>
        <w:ind w:firstLine="420"/>
        <w:jc w:val="right"/>
        <w:textAlignment w:val="center"/>
        <w:rPr>
          <w:kern w:val="0"/>
          <w:sz w:val="24"/>
          <w:highlight w:val="none"/>
        </w:rPr>
      </w:pPr>
      <w:r>
        <w:rPr>
          <w:rFonts w:ascii="Times New Roman" w:hAnsi="Times New Roman" w:cs="Times New Roman"/>
          <w:kern w:val="0"/>
          <w:szCs w:val="21"/>
          <w:highlight w:val="none"/>
        </w:rPr>
        <w:t xml:space="preserve">  K=S/S</w:t>
      </w:r>
      <w:r>
        <w:rPr>
          <w:rFonts w:ascii="Times New Roman" w:hAnsi="Times New Roman" w:cs="Times New Roman"/>
          <w:szCs w:val="21"/>
          <w:highlight w:val="none"/>
        </w:rPr>
        <w:t>´</w:t>
      </w:r>
      <w:r>
        <w:rPr>
          <w:rFonts w:ascii="Times New Roman" w:hAnsi="Times New Roman" w:cs="Times New Roman"/>
          <w:kern w:val="0"/>
          <w:szCs w:val="21"/>
          <w:highlight w:val="none"/>
        </w:rPr>
        <w:t xml:space="preserve"> </w:t>
      </w:r>
      <w:r>
        <w:rPr>
          <w:rFonts w:ascii="Times New Roman" w:hAnsi="Times New Roman" w:cs="Times New Roman"/>
          <w:kern w:val="0"/>
          <w:sz w:val="24"/>
          <w:highlight w:val="none"/>
        </w:rPr>
        <w:t xml:space="preserve"> </w:t>
      </w:r>
      <w:r>
        <w:rPr>
          <w:kern w:val="0"/>
          <w:sz w:val="24"/>
          <w:highlight w:val="none"/>
        </w:rPr>
        <w:t xml:space="preserve">                       </w:t>
      </w:r>
      <w:r>
        <w:rPr>
          <w:rFonts w:hint="eastAsia" w:ascii="Times New Roman" w:hAnsi="Times New Roman" w:cs="Times New Roman"/>
          <w:kern w:val="0"/>
          <w:szCs w:val="21"/>
          <w:highlight w:val="none"/>
        </w:rPr>
        <w:t>（A.1）</w:t>
      </w:r>
    </w:p>
    <w:p w14:paraId="2F9FBCB7">
      <w:pPr>
        <w:pStyle w:val="11"/>
        <w:rPr>
          <w:highlight w:val="none"/>
        </w:rPr>
      </w:pPr>
      <w:r>
        <w:rPr>
          <w:highlight w:val="none"/>
        </w:rPr>
        <w:t>式中：K—校准系数；</w:t>
      </w:r>
    </w:p>
    <w:p w14:paraId="1E1782D0">
      <w:pPr>
        <w:pStyle w:val="11"/>
        <w:ind w:firstLine="1050" w:firstLineChars="500"/>
        <w:rPr>
          <w:highlight w:val="none"/>
        </w:rPr>
      </w:pPr>
      <w:r>
        <w:rPr>
          <w:highlight w:val="none"/>
        </w:rPr>
        <w:t>S—标气的标称浓度值ppb或ppm</w:t>
      </w:r>
    </w:p>
    <w:p w14:paraId="0702203C">
      <w:pPr>
        <w:pStyle w:val="11"/>
        <w:ind w:firstLine="1050" w:firstLineChars="500"/>
        <w:rPr>
          <w:highlight w:val="none"/>
        </w:rPr>
      </w:pPr>
      <w:r>
        <w:rPr>
          <w:highlight w:val="none"/>
        </w:rPr>
        <w:t>S´ —监测仪器对标气的响应浓度值ppb或ppm。</w:t>
      </w:r>
    </w:p>
    <w:p w14:paraId="779B59E3">
      <w:pPr>
        <w:pStyle w:val="11"/>
        <w:ind w:firstLine="1050" w:firstLineChars="500"/>
        <w:rPr>
          <w:highlight w:val="none"/>
        </w:rPr>
      </w:pPr>
      <w:r>
        <w:rPr>
          <w:highlight w:val="none"/>
        </w:rPr>
        <w:t>3）用公式A.2计算 修正浓度值。</w:t>
      </w:r>
    </w:p>
    <w:p w14:paraId="1DD44D3B">
      <w:pPr>
        <w:widowControl/>
        <w:ind w:firstLine="420"/>
        <w:jc w:val="right"/>
        <w:textAlignment w:val="center"/>
        <w:rPr>
          <w:kern w:val="0"/>
          <w:sz w:val="24"/>
          <w:highlight w:val="none"/>
        </w:rPr>
      </w:pPr>
      <w:r>
        <w:rPr>
          <w:kern w:val="0"/>
          <w:szCs w:val="21"/>
          <w:highlight w:val="none"/>
        </w:rPr>
        <w:t xml:space="preserve"> </w:t>
      </w:r>
      <w:r>
        <w:rPr>
          <w:rFonts w:ascii="Times New Roman" w:hAnsi="Times New Roman" w:cs="Times New Roman"/>
          <w:kern w:val="0"/>
          <w:szCs w:val="21"/>
          <w:highlight w:val="none"/>
        </w:rPr>
        <w:t>C=K</w:t>
      </w:r>
      <w:r>
        <w:rPr>
          <w:rFonts w:ascii="Times New Roman" w:hAnsi="Times New Roman" w:cs="Times New Roman"/>
          <w:szCs w:val="21"/>
          <w:highlight w:val="none"/>
        </w:rPr>
        <w:t xml:space="preserve"> C´</w:t>
      </w:r>
      <w:r>
        <w:rPr>
          <w:rFonts w:ascii="Times New Roman" w:hAnsi="Times New Roman" w:cs="Times New Roman"/>
          <w:kern w:val="0"/>
          <w:sz w:val="24"/>
          <w:highlight w:val="none"/>
        </w:rPr>
        <w:t xml:space="preserve"> </w:t>
      </w:r>
      <w:r>
        <w:rPr>
          <w:kern w:val="0"/>
          <w:sz w:val="24"/>
          <w:highlight w:val="none"/>
        </w:rPr>
        <w:t xml:space="preserve">                        </w:t>
      </w:r>
      <w:r>
        <w:rPr>
          <w:rFonts w:hint="eastAsia" w:ascii="Times New Roman" w:hAnsi="Times New Roman" w:cs="Times New Roman"/>
          <w:kern w:val="0"/>
          <w:szCs w:val="21"/>
          <w:highlight w:val="none"/>
        </w:rPr>
        <w:t>（A.2）</w:t>
      </w:r>
    </w:p>
    <w:p w14:paraId="74A39C55">
      <w:pPr>
        <w:pStyle w:val="11"/>
        <w:rPr>
          <w:highlight w:val="none"/>
        </w:rPr>
      </w:pPr>
      <w:r>
        <w:rPr>
          <w:highlight w:val="none"/>
        </w:rPr>
        <w:t>式中：C—监测数据的 修正 浓度值ppb或 ppm</w:t>
      </w:r>
    </w:p>
    <w:p w14:paraId="43B16928">
      <w:pPr>
        <w:pStyle w:val="11"/>
        <w:ind w:firstLine="1050" w:firstLineChars="500"/>
        <w:rPr>
          <w:highlight w:val="none"/>
        </w:rPr>
      </w:pPr>
      <w:r>
        <w:rPr>
          <w:highlight w:val="none"/>
        </w:rPr>
        <w:t>K—校准系数</w:t>
      </w:r>
    </w:p>
    <w:p w14:paraId="081BFC2D">
      <w:pPr>
        <w:pStyle w:val="11"/>
        <w:ind w:firstLine="1050" w:firstLineChars="500"/>
        <w:rPr>
          <w:highlight w:val="none"/>
        </w:rPr>
      </w:pPr>
      <w:r>
        <w:rPr>
          <w:highlight w:val="none"/>
        </w:rPr>
        <w:t>C´ —监测仪器对样气的响应浓度值ppb或ppm。</w:t>
      </w:r>
    </w:p>
    <w:p w14:paraId="34A5F941">
      <w:pPr>
        <w:ind w:firstLine="420" w:firstLineChars="200"/>
        <w:rPr>
          <w:highlight w:val="none"/>
        </w:rPr>
      </w:pPr>
      <w:r>
        <w:rPr>
          <w:rFonts w:hint="eastAsia"/>
          <w:highlight w:val="none"/>
        </w:rPr>
        <w:t>（2）</w:t>
      </w:r>
      <w:r>
        <w:rPr>
          <w:highlight w:val="none"/>
        </w:rPr>
        <w:t>两点校准</w:t>
      </w:r>
    </w:p>
    <w:p w14:paraId="5E580136">
      <w:pPr>
        <w:pStyle w:val="11"/>
        <w:rPr>
          <w:highlight w:val="none"/>
        </w:rPr>
      </w:pPr>
      <w:r>
        <w:rPr>
          <w:highlight w:val="none"/>
        </w:rPr>
        <w:t>适用被测气体浓度波动范围较大的地区。工作气应涵盖所监测地区被测气体浓度范围，建议高浓度工作气在全年小时浓度的90百分位附近，低浓度工作气在全年小时浓度的10百分位附近。校准方法如下：</w:t>
      </w:r>
    </w:p>
    <w:p w14:paraId="71336335">
      <w:pPr>
        <w:pStyle w:val="11"/>
        <w:rPr>
          <w:highlight w:val="none"/>
        </w:rPr>
      </w:pPr>
      <w:r>
        <w:rPr>
          <w:highlight w:val="none"/>
        </w:rPr>
        <w:t>向监测系统先后通入低浓度工作气和高浓度工作气，每次通气15分钟，待读数稳定后分别记录监测仪器对各浓度标气的 响应浓度值，取后5分钟均值为记录结果。</w:t>
      </w:r>
    </w:p>
    <w:p w14:paraId="5B71EC5A">
      <w:pPr>
        <w:pStyle w:val="11"/>
        <w:rPr>
          <w:highlight w:val="none"/>
        </w:rPr>
      </w:pPr>
      <w:r>
        <w:rPr>
          <w:highlight w:val="none"/>
        </w:rPr>
        <w:t>用最小二乘法获得校准曲线的拟合方程Y=aX+b，其中X为监测仪器对标气的响应浓度值，Y为标气的标称浓度值，a为斜率，b为截距；使用r代表最小二乘法计算得到的相关系数。</w:t>
      </w:r>
    </w:p>
    <w:p w14:paraId="3C851B87">
      <w:pPr>
        <w:pStyle w:val="11"/>
        <w:rPr>
          <w:highlight w:val="none"/>
        </w:rPr>
      </w:pPr>
      <w:r>
        <w:rPr>
          <w:highlight w:val="none"/>
        </w:rPr>
        <w:t>用公式A.3计算修正浓度值。</w:t>
      </w:r>
    </w:p>
    <w:p w14:paraId="597DD3EC">
      <w:pPr>
        <w:widowControl/>
        <w:ind w:firstLine="420"/>
        <w:jc w:val="right"/>
        <w:textAlignment w:val="center"/>
        <w:rPr>
          <w:kern w:val="0"/>
          <w:sz w:val="24"/>
          <w:highlight w:val="none"/>
        </w:rPr>
      </w:pPr>
      <w:r>
        <w:rPr>
          <w:rFonts w:ascii="Times New Roman" w:hAnsi="Times New Roman" w:cs="Times New Roman"/>
          <w:kern w:val="0"/>
          <w:szCs w:val="21"/>
          <w:highlight w:val="none"/>
        </w:rPr>
        <w:t xml:space="preserve"> C=</w:t>
      </w:r>
      <w:r>
        <w:rPr>
          <w:rFonts w:hint="eastAsia" w:ascii="Times New Roman" w:hAnsi="Times New Roman" w:cs="Times New Roman"/>
          <w:kern w:val="0"/>
          <w:szCs w:val="21"/>
          <w:highlight w:val="none"/>
          <w:lang w:val="en-US" w:eastAsia="zh-CN"/>
        </w:rPr>
        <w:t>a</w:t>
      </w:r>
      <w:r>
        <w:rPr>
          <w:rFonts w:ascii="Times New Roman" w:hAnsi="Times New Roman" w:cs="Times New Roman"/>
          <w:szCs w:val="21"/>
          <w:highlight w:val="none"/>
        </w:rPr>
        <w:t xml:space="preserve"> C´+</w:t>
      </w:r>
      <w:r>
        <w:rPr>
          <w:rFonts w:hint="eastAsia" w:ascii="Times New Roman" w:hAnsi="Times New Roman" w:cs="Times New Roman"/>
          <w:szCs w:val="21"/>
          <w:highlight w:val="none"/>
          <w:lang w:val="en-US" w:eastAsia="zh-CN"/>
        </w:rPr>
        <w:t>b</w:t>
      </w:r>
      <w:r>
        <w:rPr>
          <w:rFonts w:ascii="Times New Roman" w:hAnsi="Times New Roman" w:cs="Times New Roman"/>
          <w:kern w:val="0"/>
          <w:sz w:val="24"/>
          <w:highlight w:val="none"/>
        </w:rPr>
        <w:t xml:space="preserve">    </w:t>
      </w:r>
      <w:r>
        <w:rPr>
          <w:kern w:val="0"/>
          <w:sz w:val="24"/>
          <w:highlight w:val="none"/>
        </w:rPr>
        <w:t xml:space="preserve">                   </w:t>
      </w:r>
      <w:r>
        <w:rPr>
          <w:rFonts w:ascii="Times New Roman" w:hAnsi="Times New Roman" w:cs="Times New Roman"/>
          <w:kern w:val="0"/>
          <w:szCs w:val="21"/>
          <w:highlight w:val="none"/>
        </w:rPr>
        <w:t>（A.3）</w:t>
      </w:r>
    </w:p>
    <w:p w14:paraId="4B37E252">
      <w:pPr>
        <w:pStyle w:val="11"/>
        <w:rPr>
          <w:highlight w:val="none"/>
        </w:rPr>
      </w:pPr>
      <w:r>
        <w:rPr>
          <w:highlight w:val="none"/>
        </w:rPr>
        <w:t>式中：C—监测数据的修正浓度值 ppb或 ppm</w:t>
      </w:r>
    </w:p>
    <w:p w14:paraId="39F2389C">
      <w:pPr>
        <w:pStyle w:val="11"/>
        <w:ind w:firstLine="1050" w:firstLineChars="500"/>
        <w:rPr>
          <w:highlight w:val="none"/>
        </w:rPr>
      </w:pPr>
      <w:r>
        <w:rPr>
          <w:highlight w:val="none"/>
        </w:rPr>
        <w:t>a—校准曲线斜率</w:t>
      </w:r>
    </w:p>
    <w:p w14:paraId="1C7283D4">
      <w:pPr>
        <w:pStyle w:val="11"/>
        <w:ind w:firstLine="1050" w:firstLineChars="500"/>
        <w:rPr>
          <w:highlight w:val="none"/>
        </w:rPr>
      </w:pPr>
      <w:r>
        <w:rPr>
          <w:highlight w:val="none"/>
        </w:rPr>
        <w:t>b—校准曲线截距 ppb或 ppm</w:t>
      </w:r>
    </w:p>
    <w:p w14:paraId="7038169B">
      <w:pPr>
        <w:pStyle w:val="11"/>
        <w:ind w:firstLine="1050" w:firstLineChars="500"/>
        <w:rPr>
          <w:highlight w:val="none"/>
        </w:rPr>
      </w:pPr>
      <w:r>
        <w:rPr>
          <w:highlight w:val="none"/>
        </w:rPr>
        <w:t>C´—监测仪器对样气的响应浓度值ppb或ppm。</w:t>
      </w:r>
    </w:p>
    <w:p w14:paraId="32C83A29">
      <w:pPr>
        <w:pStyle w:val="11"/>
        <w:ind w:firstLine="422"/>
        <w:rPr>
          <w:b/>
          <w:bCs/>
          <w:highlight w:val="none"/>
        </w:rPr>
      </w:pPr>
      <w:r>
        <w:rPr>
          <w:rFonts w:hint="eastAsia"/>
          <w:b/>
          <w:bCs/>
          <w:highlight w:val="none"/>
        </w:rPr>
        <w:t>7.8.3.2 目标气检查方法</w:t>
      </w:r>
    </w:p>
    <w:p w14:paraId="466C087E">
      <w:pPr>
        <w:pStyle w:val="11"/>
        <w:rPr>
          <w:highlight w:val="none"/>
        </w:rPr>
      </w:pPr>
      <w:r>
        <w:rPr>
          <w:rFonts w:hint="eastAsia"/>
          <w:highlight w:val="none"/>
        </w:rPr>
        <w:t>每间隔12小时向监测系统通入目标气。目标气建议在所监测地区被测气体全年小时浓度范围的50百分位浓度附近。每次通气15分钟，取后5分钟 均值监测数据均值为记录结果 。</w:t>
      </w:r>
    </w:p>
    <w:p w14:paraId="398E9C32">
      <w:pPr>
        <w:pStyle w:val="11"/>
        <w:rPr>
          <w:highlight w:val="none"/>
        </w:rPr>
      </w:pPr>
      <w:r>
        <w:rPr>
          <w:rFonts w:hint="eastAsia"/>
          <w:highlight w:val="none"/>
        </w:rPr>
        <w:t>用公式 A.4（单点校准）或 A.5（多点校准）计算目标气修正浓度值。</w:t>
      </w:r>
    </w:p>
    <w:p w14:paraId="2F0AFC83">
      <w:pPr>
        <w:widowControl/>
        <w:ind w:firstLine="420"/>
        <w:jc w:val="right"/>
        <w:textAlignment w:val="center"/>
        <w:rPr>
          <w:kern w:val="0"/>
          <w:sz w:val="24"/>
          <w:highlight w:val="none"/>
        </w:rPr>
      </w:pPr>
      <w:bookmarkStart w:id="92" w:name="_Hlk181734985"/>
      <w:r>
        <w:rPr>
          <w:rFonts w:ascii="Times New Roman" w:hAnsi="Times New Roman" w:cs="Times New Roman"/>
          <w:highlight w:val="none"/>
        </w:rPr>
        <w:t>S˝</w:t>
      </w:r>
      <w:r>
        <w:rPr>
          <w:rFonts w:hint="eastAsia" w:ascii="Times New Roman" w:hAnsi="Times New Roman" w:cs="Times New Roman"/>
          <w:highlight w:val="none"/>
        </w:rPr>
        <w:t>=K</w:t>
      </w:r>
      <w:r>
        <w:rPr>
          <w:rFonts w:ascii="Times New Roman" w:hAnsi="Times New Roman" w:cs="Times New Roman"/>
          <w:highlight w:val="none"/>
        </w:rPr>
        <w:t xml:space="preserve"> S´</w:t>
      </w:r>
      <w:bookmarkEnd w:id="92"/>
      <w:r>
        <w:rPr>
          <w:rFonts w:hint="eastAsia"/>
          <w:kern w:val="0"/>
          <w:sz w:val="24"/>
          <w:highlight w:val="none"/>
        </w:rPr>
        <w:t xml:space="preserve">                        </w:t>
      </w:r>
      <w:r>
        <w:rPr>
          <w:rFonts w:hint="eastAsia" w:ascii="Times New Roman" w:hAnsi="Times New Roman" w:cs="Times New Roman"/>
          <w:kern w:val="0"/>
          <w:szCs w:val="21"/>
          <w:highlight w:val="none"/>
        </w:rPr>
        <w:t>（A</w:t>
      </w:r>
      <w:r>
        <w:rPr>
          <w:rFonts w:ascii="Times New Roman" w:hAnsi="Times New Roman" w:cs="Times New Roman"/>
          <w:kern w:val="0"/>
          <w:szCs w:val="21"/>
          <w:highlight w:val="none"/>
        </w:rPr>
        <w:t>.</w:t>
      </w:r>
      <w:r>
        <w:rPr>
          <w:rFonts w:hint="eastAsia" w:ascii="Times New Roman" w:hAnsi="Times New Roman" w:cs="Times New Roman"/>
          <w:kern w:val="0"/>
          <w:szCs w:val="21"/>
          <w:highlight w:val="none"/>
        </w:rPr>
        <w:t>4）</w:t>
      </w:r>
    </w:p>
    <w:p w14:paraId="5385F8F8">
      <w:pPr>
        <w:widowControl/>
        <w:ind w:firstLine="424" w:firstLineChars="202"/>
        <w:jc w:val="left"/>
        <w:rPr>
          <w:rFonts w:ascii="Times New Roman" w:hAnsi="Times New Roman" w:cs="Times New Roman"/>
          <w:highlight w:val="none"/>
        </w:rPr>
      </w:pPr>
      <w:r>
        <w:rPr>
          <w:rFonts w:hint="eastAsia"/>
          <w:highlight w:val="none"/>
        </w:rPr>
        <w:t>式中：</w:t>
      </w:r>
      <w:r>
        <w:rPr>
          <w:rFonts w:ascii="Times New Roman" w:hAnsi="Times New Roman" w:cs="Times New Roman"/>
          <w:highlight w:val="none"/>
        </w:rPr>
        <w:t>S˝—目标气 修正 浓度值 ppb或 ppm</w:t>
      </w:r>
    </w:p>
    <w:p w14:paraId="55AD1197">
      <w:pPr>
        <w:widowControl/>
        <w:ind w:firstLine="1050" w:firstLineChars="500"/>
        <w:jc w:val="left"/>
        <w:rPr>
          <w:rFonts w:ascii="Times New Roman" w:hAnsi="Times New Roman" w:cs="Times New Roman"/>
          <w:highlight w:val="none"/>
        </w:rPr>
      </w:pPr>
      <w:r>
        <w:rPr>
          <w:rFonts w:ascii="Times New Roman" w:hAnsi="Times New Roman" w:cs="Times New Roman"/>
          <w:highlight w:val="none"/>
        </w:rPr>
        <w:t>K—校准系数</w:t>
      </w:r>
    </w:p>
    <w:p w14:paraId="6B88C357">
      <w:pPr>
        <w:widowControl/>
        <w:ind w:firstLine="1050" w:firstLineChars="500"/>
        <w:jc w:val="left"/>
        <w:rPr>
          <w:rFonts w:ascii="Times New Roman" w:hAnsi="Times New Roman" w:cs="Times New Roman"/>
          <w:highlight w:val="none"/>
        </w:rPr>
      </w:pPr>
      <w:r>
        <w:rPr>
          <w:rFonts w:ascii="Times New Roman" w:hAnsi="Times New Roman" w:cs="Times New Roman"/>
          <w:highlight w:val="none"/>
        </w:rPr>
        <w:t>S´ —监测仪器对标气的响应浓度值 ppb或 ppm。</w:t>
      </w:r>
    </w:p>
    <w:p w14:paraId="78BAD99D">
      <w:pPr>
        <w:widowControl/>
        <w:ind w:firstLine="480"/>
        <w:jc w:val="right"/>
        <w:textAlignment w:val="center"/>
        <w:rPr>
          <w:kern w:val="0"/>
          <w:sz w:val="24"/>
          <w:highlight w:val="none"/>
        </w:rPr>
      </w:pPr>
      <w:r>
        <w:rPr>
          <w:rFonts w:hint="eastAsia"/>
          <w:kern w:val="0"/>
          <w:sz w:val="24"/>
          <w:highlight w:val="none"/>
        </w:rPr>
        <w:t xml:space="preserve"> </w:t>
      </w:r>
      <w:bookmarkStart w:id="93" w:name="_Hlk181735005"/>
      <w:r>
        <w:rPr>
          <w:rFonts w:ascii="Times New Roman" w:hAnsi="Times New Roman" w:cs="Times New Roman"/>
          <w:highlight w:val="none"/>
        </w:rPr>
        <w:t>S˝</w:t>
      </w:r>
      <w:r>
        <w:rPr>
          <w:rFonts w:hint="eastAsia" w:ascii="Times New Roman" w:hAnsi="Times New Roman" w:cs="Times New Roman"/>
          <w:highlight w:val="none"/>
        </w:rPr>
        <w:t>=a</w:t>
      </w:r>
      <w:r>
        <w:rPr>
          <w:rFonts w:ascii="Times New Roman" w:hAnsi="Times New Roman" w:cs="Times New Roman"/>
          <w:highlight w:val="none"/>
        </w:rPr>
        <w:t>S´</w:t>
      </w:r>
      <w:r>
        <w:rPr>
          <w:rFonts w:hint="eastAsia" w:ascii="Times New Roman" w:hAnsi="Times New Roman" w:cs="Times New Roman"/>
          <w:highlight w:val="none"/>
        </w:rPr>
        <w:t>+b</w:t>
      </w:r>
      <w:r>
        <w:rPr>
          <w:rFonts w:hint="eastAsia"/>
          <w:kern w:val="0"/>
          <w:sz w:val="24"/>
          <w:highlight w:val="none"/>
        </w:rPr>
        <w:t xml:space="preserve"> </w:t>
      </w:r>
      <w:bookmarkEnd w:id="93"/>
      <w:r>
        <w:rPr>
          <w:rFonts w:hint="eastAsia"/>
          <w:kern w:val="0"/>
          <w:sz w:val="24"/>
          <w:highlight w:val="none"/>
        </w:rPr>
        <w:t xml:space="preserve">                       </w:t>
      </w:r>
      <w:r>
        <w:rPr>
          <w:rFonts w:hint="eastAsia" w:ascii="Times New Roman" w:hAnsi="Times New Roman" w:cs="Times New Roman"/>
          <w:kern w:val="0"/>
          <w:szCs w:val="21"/>
          <w:highlight w:val="none"/>
        </w:rPr>
        <w:t>（A.5）</w:t>
      </w:r>
    </w:p>
    <w:p w14:paraId="333B435D">
      <w:pPr>
        <w:widowControl/>
        <w:ind w:firstLine="424" w:firstLineChars="202"/>
        <w:jc w:val="left"/>
        <w:rPr>
          <w:rFonts w:ascii="Times New Roman" w:hAnsi="Times New Roman" w:cs="Times New Roman"/>
          <w:highlight w:val="none"/>
        </w:rPr>
      </w:pPr>
      <w:r>
        <w:rPr>
          <w:rFonts w:hint="eastAsia"/>
          <w:highlight w:val="none"/>
        </w:rPr>
        <w:t>式中：</w:t>
      </w:r>
      <w:r>
        <w:rPr>
          <w:rFonts w:ascii="Times New Roman" w:hAnsi="Times New Roman" w:cs="Times New Roman"/>
          <w:highlight w:val="none"/>
        </w:rPr>
        <w:t>S˝—目标气修正浓度值 ppb或 ppm</w:t>
      </w:r>
    </w:p>
    <w:p w14:paraId="03940CD9">
      <w:pPr>
        <w:widowControl/>
        <w:ind w:firstLine="1050" w:firstLineChars="500"/>
        <w:jc w:val="left"/>
        <w:rPr>
          <w:rFonts w:ascii="Times New Roman" w:hAnsi="Times New Roman" w:cs="Times New Roman"/>
          <w:highlight w:val="none"/>
        </w:rPr>
      </w:pPr>
      <w:r>
        <w:rPr>
          <w:rFonts w:ascii="Times New Roman" w:hAnsi="Times New Roman" w:cs="Times New Roman"/>
          <w:highlight w:val="none"/>
        </w:rPr>
        <w:t>a—校准曲线斜率</w:t>
      </w:r>
    </w:p>
    <w:p w14:paraId="61BD8DF0">
      <w:pPr>
        <w:widowControl/>
        <w:ind w:firstLine="1050" w:firstLineChars="500"/>
        <w:jc w:val="left"/>
        <w:rPr>
          <w:rFonts w:ascii="Times New Roman" w:hAnsi="Times New Roman" w:cs="Times New Roman"/>
          <w:highlight w:val="none"/>
        </w:rPr>
      </w:pPr>
      <w:r>
        <w:rPr>
          <w:rFonts w:ascii="Times New Roman" w:hAnsi="Times New Roman" w:cs="Times New Roman"/>
          <w:highlight w:val="none"/>
        </w:rPr>
        <w:t>b—校准曲线截距 ppb或 ppm</w:t>
      </w:r>
    </w:p>
    <w:p w14:paraId="3FFB175D">
      <w:pPr>
        <w:widowControl/>
        <w:ind w:firstLine="1050" w:firstLineChars="500"/>
        <w:jc w:val="left"/>
        <w:rPr>
          <w:rFonts w:ascii="Times New Roman" w:hAnsi="Times New Roman" w:cs="Times New Roman"/>
          <w:highlight w:val="none"/>
        </w:rPr>
      </w:pPr>
      <w:r>
        <w:rPr>
          <w:rFonts w:ascii="Times New Roman" w:hAnsi="Times New Roman" w:cs="Times New Roman"/>
          <w:highlight w:val="none"/>
        </w:rPr>
        <w:t>S´ —监测仪器对标气的响应浓度值 ppb或 ppm。</w:t>
      </w:r>
    </w:p>
    <w:p w14:paraId="1EBC2932">
      <w:pPr>
        <w:pStyle w:val="11"/>
        <w:rPr>
          <w:highlight w:val="none"/>
        </w:rPr>
      </w:pPr>
      <w:r>
        <w:rPr>
          <w:rFonts w:hint="eastAsia"/>
          <w:highlight w:val="none"/>
        </w:rPr>
        <w:t>用公式 A.6计算目标气差值。</w:t>
      </w:r>
    </w:p>
    <w:p w14:paraId="338537E9">
      <w:pPr>
        <w:widowControl/>
        <w:ind w:firstLine="480"/>
        <w:jc w:val="right"/>
        <w:textAlignment w:val="center"/>
        <w:rPr>
          <w:kern w:val="0"/>
          <w:sz w:val="24"/>
          <w:highlight w:val="none"/>
        </w:rPr>
      </w:pPr>
      <w:r>
        <w:rPr>
          <w:rFonts w:hint="eastAsia"/>
          <w:kern w:val="0"/>
          <w:sz w:val="24"/>
          <w:highlight w:val="none"/>
        </w:rPr>
        <w:t xml:space="preserve"> </w:t>
      </w:r>
      <w:bookmarkStart w:id="94" w:name="_Hlk181735021"/>
      <w:r>
        <w:rPr>
          <w:rFonts w:ascii="Times New Roman" w:hAnsi="Times New Roman" w:cs="Times New Roman"/>
          <w:kern w:val="0"/>
          <w:szCs w:val="21"/>
          <w:highlight w:val="none"/>
        </w:rPr>
        <w:t xml:space="preserve">E= </w:t>
      </w:r>
      <w:r>
        <w:rPr>
          <w:rFonts w:ascii="Times New Roman" w:hAnsi="Times New Roman" w:cs="Times New Roman"/>
          <w:szCs w:val="21"/>
          <w:highlight w:val="none"/>
        </w:rPr>
        <w:t>S˝- S</w:t>
      </w:r>
      <w:bookmarkEnd w:id="94"/>
      <w:r>
        <w:rPr>
          <w:rFonts w:ascii="Times New Roman" w:hAnsi="Times New Roman" w:cs="Times New Roman"/>
          <w:kern w:val="0"/>
          <w:szCs w:val="21"/>
          <w:highlight w:val="none"/>
        </w:rPr>
        <w:t xml:space="preserve"> </w:t>
      </w:r>
      <w:r>
        <w:rPr>
          <w:rFonts w:hint="eastAsia"/>
          <w:kern w:val="0"/>
          <w:sz w:val="24"/>
          <w:highlight w:val="none"/>
        </w:rPr>
        <w:t xml:space="preserve">                       </w:t>
      </w:r>
      <w:r>
        <w:rPr>
          <w:rFonts w:hint="eastAsia" w:ascii="Times New Roman" w:hAnsi="Times New Roman" w:cs="Times New Roman"/>
          <w:kern w:val="0"/>
          <w:szCs w:val="21"/>
          <w:highlight w:val="none"/>
        </w:rPr>
        <w:t>（A.6）</w:t>
      </w:r>
    </w:p>
    <w:p w14:paraId="18BEA9D5">
      <w:pPr>
        <w:widowControl/>
        <w:ind w:firstLine="424" w:firstLineChars="202"/>
        <w:jc w:val="left"/>
        <w:rPr>
          <w:rFonts w:ascii="Times New Roman" w:hAnsi="Times New Roman" w:cs="Times New Roman"/>
          <w:highlight w:val="none"/>
        </w:rPr>
      </w:pPr>
      <w:r>
        <w:rPr>
          <w:rFonts w:hint="eastAsia"/>
          <w:highlight w:val="none"/>
        </w:rPr>
        <w:t>式中：</w:t>
      </w:r>
      <w:r>
        <w:rPr>
          <w:rFonts w:ascii="Times New Roman" w:hAnsi="Times New Roman" w:cs="Times New Roman"/>
          <w:highlight w:val="none"/>
        </w:rPr>
        <w:t>E—目标气差值 ppb或 ppm</w:t>
      </w:r>
    </w:p>
    <w:p w14:paraId="65860F18">
      <w:pPr>
        <w:widowControl/>
        <w:ind w:firstLine="1050" w:firstLineChars="500"/>
        <w:jc w:val="left"/>
        <w:rPr>
          <w:rFonts w:ascii="Times New Roman" w:hAnsi="Times New Roman" w:cs="Times New Roman"/>
          <w:highlight w:val="none"/>
        </w:rPr>
      </w:pPr>
      <w:r>
        <w:rPr>
          <w:rFonts w:ascii="Times New Roman" w:hAnsi="Times New Roman" w:cs="Times New Roman"/>
          <w:highlight w:val="none"/>
        </w:rPr>
        <w:t>S˝—目标气校准浓度值 ppb或 ppm</w:t>
      </w:r>
    </w:p>
    <w:p w14:paraId="62FDE6D4">
      <w:pPr>
        <w:widowControl/>
        <w:ind w:firstLine="1050" w:firstLineChars="500"/>
        <w:jc w:val="left"/>
        <w:rPr>
          <w:rFonts w:ascii="Times New Roman" w:hAnsi="Times New Roman" w:cs="Times New Roman"/>
          <w:highlight w:val="none"/>
        </w:rPr>
      </w:pPr>
      <w:r>
        <w:rPr>
          <w:rFonts w:ascii="Times New Roman" w:hAnsi="Times New Roman" w:cs="Times New Roman"/>
          <w:highlight w:val="none"/>
        </w:rPr>
        <w:t>S—目标气标称浓度值 ppb或 ppm。</w:t>
      </w:r>
    </w:p>
    <w:p w14:paraId="418D4E6C">
      <w:pPr>
        <w:pStyle w:val="11"/>
        <w:rPr>
          <w:highlight w:val="none"/>
        </w:rPr>
      </w:pPr>
      <w:r>
        <w:rPr>
          <w:rFonts w:hint="eastAsia"/>
          <w:highlight w:val="none"/>
        </w:rPr>
        <w:t>目标气检查结果应符合以下要求：CO</w:t>
      </w:r>
      <w:r>
        <w:rPr>
          <w:rFonts w:hint="eastAsia"/>
          <w:highlight w:val="none"/>
          <w:vertAlign w:val="subscript"/>
        </w:rPr>
        <w:t>2</w:t>
      </w:r>
      <w:r>
        <w:rPr>
          <w:rFonts w:hint="eastAsia"/>
          <w:highlight w:val="none"/>
        </w:rPr>
        <w:t>/CH</w:t>
      </w:r>
      <w:r>
        <w:rPr>
          <w:rFonts w:hint="eastAsia"/>
          <w:highlight w:val="none"/>
          <w:vertAlign w:val="subscript"/>
        </w:rPr>
        <w:t>4</w:t>
      </w:r>
      <w:r>
        <w:rPr>
          <w:rFonts w:hint="eastAsia"/>
          <w:highlight w:val="none"/>
        </w:rPr>
        <w:t>差值应不超过0.2ppm /5ppb，有条件的或本底（背景地区进一步提升为不超过0.1ppm/2ppb）。当检查结果不满足要求时，应查找原因并处理；若系统运行正常仍频繁出现检查结果不满足要求，应缩短质控时间间隔。</w:t>
      </w:r>
    </w:p>
    <w:p w14:paraId="048B51BF">
      <w:pPr>
        <w:numPr>
          <w:ilvl w:val="2"/>
          <w:numId w:val="1"/>
        </w:numPr>
        <w:ind w:left="0" w:firstLine="420"/>
        <w:rPr>
          <w:rFonts w:ascii="Times New Roman" w:hAnsi="Times New Roman" w:eastAsia="黑体_x0005_.." w:cs="Times New Roman"/>
          <w:szCs w:val="24"/>
          <w:highlight w:val="none"/>
        </w:rPr>
      </w:pPr>
      <w:r>
        <w:rPr>
          <w:rFonts w:ascii="Times New Roman" w:hAnsi="Times New Roman" w:eastAsia="黑体_x0005_.." w:cs="Times New Roman"/>
          <w:szCs w:val="24"/>
          <w:highlight w:val="none"/>
        </w:rPr>
        <w:t>监测仪器的</w:t>
      </w:r>
      <w:r>
        <w:rPr>
          <w:rFonts w:hint="eastAsia" w:ascii="Times New Roman" w:hAnsi="Times New Roman" w:eastAsia="黑体_x0005_.." w:cs="Times New Roman"/>
          <w:szCs w:val="24"/>
          <w:highlight w:val="none"/>
        </w:rPr>
        <w:t>性能审核方法及要求</w:t>
      </w:r>
    </w:p>
    <w:p w14:paraId="6506654A">
      <w:pPr>
        <w:numPr>
          <w:ilvl w:val="0"/>
          <w:numId w:val="7"/>
        </w:numPr>
        <w:autoSpaceDE w:val="0"/>
        <w:autoSpaceDN w:val="0"/>
        <w:ind w:firstLine="420" w:firstLineChars="200"/>
        <w:rPr>
          <w:rFonts w:ascii="Times New Roman" w:hAnsi="Times New Roman" w:eastAsia="宋体" w:cs="Times New Roman"/>
          <w:highlight w:val="none"/>
        </w:rPr>
      </w:pPr>
      <w:r>
        <w:rPr>
          <w:rFonts w:ascii="Times New Roman" w:hAnsi="Times New Roman" w:eastAsia="宋体" w:cs="Times New Roman"/>
          <w:highlight w:val="none"/>
        </w:rPr>
        <w:t>精密度审核方法及要求</w:t>
      </w:r>
    </w:p>
    <w:p w14:paraId="4168C2D7">
      <w:pPr>
        <w:widowControl/>
        <w:ind w:firstLine="420" w:firstLineChars="200"/>
        <w:jc w:val="left"/>
        <w:outlineLvl w:val="3"/>
        <w:rPr>
          <w:rFonts w:ascii="Times New Roman" w:hAnsi="Times New Roman" w:eastAsia="等线" w:cs="Times New Roman"/>
          <w:spacing w:val="-2"/>
          <w:kern w:val="0"/>
          <w:szCs w:val="21"/>
          <w:highlight w:val="none"/>
        </w:rPr>
      </w:pPr>
      <w:r>
        <w:rPr>
          <w:rFonts w:ascii="Times New Roman" w:hAnsi="Times New Roman" w:eastAsia="宋体" w:cs="Times New Roman"/>
          <w:kern w:val="0"/>
          <w:szCs w:val="21"/>
          <w:highlight w:val="none"/>
        </w:rPr>
        <w:t>精密度审核方法，向监测系统通入某一浓度的标气（建议每次通气15分钟，取后5分钟原始监测数据参与计算），标气浓度在所监测地区被测气体全年小时浓度范围的50百分位浓度附近，每次等待仪器读数稳定后记录仪器示值，根据仪器示值的相对标准偏差，来确定仪器的精密度。</w:t>
      </w:r>
      <w:r>
        <w:rPr>
          <w:rFonts w:ascii="Times New Roman" w:hAnsi="Times New Roman" w:eastAsia="宋体" w:cs="Times New Roman"/>
          <w:spacing w:val="-6"/>
          <w:kern w:val="0"/>
          <w:szCs w:val="21"/>
          <w:highlight w:val="none"/>
        </w:rPr>
        <w:t>仪器示值的相对标准偏差按照公式</w:t>
      </w:r>
      <w:r>
        <w:rPr>
          <w:rFonts w:ascii="Times New Roman" w:hAnsi="Times New Roman" w:eastAsia="宋体" w:cs="Times New Roman"/>
          <w:kern w:val="0"/>
          <w:szCs w:val="21"/>
          <w:highlight w:val="none"/>
        </w:rPr>
        <w:t>A.</w:t>
      </w:r>
      <w:r>
        <w:rPr>
          <w:rFonts w:hint="eastAsia" w:ascii="Times New Roman" w:hAnsi="Times New Roman" w:eastAsia="宋体" w:cs="Times New Roman"/>
          <w:kern w:val="0"/>
          <w:szCs w:val="21"/>
          <w:highlight w:val="none"/>
        </w:rPr>
        <w:t>7</w:t>
      </w:r>
      <w:r>
        <w:rPr>
          <w:rFonts w:ascii="Times New Roman" w:hAnsi="Times New Roman" w:eastAsia="宋体" w:cs="Times New Roman"/>
          <w:spacing w:val="-3"/>
          <w:kern w:val="0"/>
          <w:szCs w:val="21"/>
          <w:highlight w:val="none"/>
        </w:rPr>
        <w:t>、A</w:t>
      </w:r>
      <w:r>
        <w:rPr>
          <w:rFonts w:ascii="Times New Roman" w:hAnsi="Times New Roman" w:eastAsia="宋体" w:cs="Times New Roman"/>
          <w:kern w:val="0"/>
          <w:szCs w:val="21"/>
          <w:highlight w:val="none"/>
        </w:rPr>
        <w:t>.</w:t>
      </w:r>
      <w:r>
        <w:rPr>
          <w:rFonts w:hint="eastAsia" w:ascii="Times New Roman" w:hAnsi="Times New Roman" w:eastAsia="宋体" w:cs="Times New Roman"/>
          <w:kern w:val="0"/>
          <w:szCs w:val="21"/>
          <w:highlight w:val="none"/>
        </w:rPr>
        <w:t>8</w:t>
      </w:r>
      <w:r>
        <w:rPr>
          <w:rFonts w:ascii="Times New Roman" w:hAnsi="Times New Roman" w:eastAsia="宋体" w:cs="Times New Roman"/>
          <w:spacing w:val="-2"/>
          <w:kern w:val="0"/>
          <w:szCs w:val="21"/>
          <w:highlight w:val="none"/>
        </w:rPr>
        <w:t>计算。用相对标准偏差作为该仪器报出的精密度。</w:t>
      </w:r>
    </w:p>
    <w:p w14:paraId="6B078EB7">
      <w:pPr>
        <w:widowControl/>
        <w:ind w:firstLine="420"/>
        <w:jc w:val="right"/>
        <w:rPr>
          <w:rFonts w:ascii="Times New Roman" w:hAnsi="Times New Roman" w:eastAsia="等线" w:cs="Times New Roman"/>
          <w:kern w:val="0"/>
          <w:szCs w:val="21"/>
          <w:highlight w:val="none"/>
        </w:rPr>
      </w:pPr>
      <m:oMath>
        <w:bookmarkStart w:id="95" w:name="_Hlk181735131"/>
        <m:r>
          <m:rPr/>
          <w:rPr>
            <w:rFonts w:ascii="Cambria Math" w:hAnsi="Cambria Math" w:eastAsia="等线" w:cs="Times New Roman"/>
            <w:kern w:val="0"/>
            <w:szCs w:val="21"/>
            <w:highlight w:val="none"/>
          </w:rPr>
          <m:t>SD=</m:t>
        </m:r>
        <m:rad>
          <m:radPr>
            <m:degHide m:val="1"/>
            <m:ctrlPr>
              <w:rPr>
                <w:rFonts w:ascii="Cambria Math" w:hAnsi="Cambria Math" w:eastAsia="等线" w:cs="Times New Roman"/>
                <w:i/>
                <w:kern w:val="0"/>
                <w:szCs w:val="21"/>
                <w:highlight w:val="none"/>
              </w:rPr>
            </m:ctrlPr>
          </m:radPr>
          <m:deg>
            <m:ctrlPr>
              <w:rPr>
                <w:rFonts w:ascii="Cambria Math" w:hAnsi="Cambria Math" w:eastAsia="等线" w:cs="Times New Roman"/>
                <w:i/>
                <w:kern w:val="0"/>
                <w:szCs w:val="21"/>
                <w:highlight w:val="none"/>
              </w:rPr>
            </m:ctrlPr>
          </m:deg>
          <m:e>
            <m:f>
              <m:fPr>
                <m:ctrlPr>
                  <w:rPr>
                    <w:rFonts w:ascii="Cambria Math" w:hAnsi="Cambria Math" w:eastAsia="等线" w:cs="Times New Roman"/>
                    <w:i/>
                    <w:kern w:val="0"/>
                    <w:szCs w:val="21"/>
                    <w:highlight w:val="none"/>
                  </w:rPr>
                </m:ctrlPr>
              </m:fPr>
              <m:num>
                <m:sSubSup>
                  <m:sSubSupPr>
                    <m:ctrlPr>
                      <w:rPr>
                        <w:rFonts w:ascii="Cambria Math" w:hAnsi="Cambria Math" w:eastAsia="等线" w:cs="Times New Roman"/>
                        <w:i/>
                        <w:kern w:val="0"/>
                        <w:szCs w:val="21"/>
                        <w:highlight w:val="none"/>
                      </w:rPr>
                    </m:ctrlPr>
                  </m:sSubSupPr>
                  <m:e>
                    <m:r>
                      <m:rPr/>
                      <w:rPr>
                        <w:rFonts w:ascii="Cambria Math" w:hAnsi="Cambria Math" w:eastAsia="等线" w:cs="Times New Roman"/>
                        <w:kern w:val="0"/>
                        <w:szCs w:val="21"/>
                        <w:highlight w:val="none"/>
                      </w:rPr>
                      <m:t>Σ</m:t>
                    </m:r>
                    <m:ctrlPr>
                      <w:rPr>
                        <w:rFonts w:ascii="Cambria Math" w:hAnsi="Cambria Math" w:eastAsia="等线" w:cs="Times New Roman"/>
                        <w:i/>
                        <w:kern w:val="0"/>
                        <w:szCs w:val="21"/>
                        <w:highlight w:val="none"/>
                      </w:rPr>
                    </m:ctrlPr>
                  </m:e>
                  <m:sub>
                    <m:r>
                      <m:rPr/>
                      <w:rPr>
                        <w:rFonts w:ascii="Cambria Math" w:hAnsi="Cambria Math" w:eastAsia="等线" w:cs="Times New Roman"/>
                        <w:kern w:val="0"/>
                        <w:szCs w:val="21"/>
                        <w:highlight w:val="none"/>
                      </w:rPr>
                      <m:t>i=1</m:t>
                    </m:r>
                    <m:ctrlPr>
                      <w:rPr>
                        <w:rFonts w:ascii="Cambria Math" w:hAnsi="Cambria Math" w:eastAsia="等线" w:cs="Times New Roman"/>
                        <w:i/>
                        <w:kern w:val="0"/>
                        <w:szCs w:val="21"/>
                        <w:highlight w:val="none"/>
                      </w:rPr>
                    </m:ctrlPr>
                  </m:sub>
                  <m:sup>
                    <m:r>
                      <m:rPr/>
                      <w:rPr>
                        <w:rFonts w:ascii="Cambria Math" w:hAnsi="Cambria Math" w:eastAsia="等线" w:cs="Times New Roman"/>
                        <w:kern w:val="0"/>
                        <w:szCs w:val="21"/>
                        <w:highlight w:val="none"/>
                      </w:rPr>
                      <m:t>n</m:t>
                    </m:r>
                    <m:ctrlPr>
                      <w:rPr>
                        <w:rFonts w:ascii="Cambria Math" w:hAnsi="Cambria Math" w:eastAsia="等线" w:cs="Times New Roman"/>
                        <w:i/>
                        <w:kern w:val="0"/>
                        <w:szCs w:val="21"/>
                        <w:highlight w:val="none"/>
                      </w:rPr>
                    </m:ctrlPr>
                  </m:sup>
                </m:sSubSup>
                <m:sSup>
                  <m:sSupPr>
                    <m:ctrlPr>
                      <w:rPr>
                        <w:rFonts w:ascii="Cambria Math" w:hAnsi="Cambria Math" w:eastAsia="等线" w:cs="Times New Roman"/>
                        <w:i/>
                        <w:kern w:val="0"/>
                        <w:szCs w:val="21"/>
                        <w:highlight w:val="none"/>
                      </w:rPr>
                    </m:ctrlPr>
                  </m:sSupPr>
                  <m:e>
                    <m:r>
                      <m:rPr/>
                      <w:rPr>
                        <w:rFonts w:ascii="Cambria Math" w:hAnsi="Cambria Math" w:eastAsia="等线" w:cs="Times New Roman"/>
                        <w:kern w:val="0"/>
                        <w:szCs w:val="21"/>
                        <w:highlight w:val="none"/>
                      </w:rPr>
                      <m:t>(</m:t>
                    </m:r>
                    <m:sSub>
                      <m:sSubPr>
                        <m:ctrlPr>
                          <w:rPr>
                            <w:rFonts w:ascii="Cambria Math" w:hAnsi="Cambria Math" w:eastAsia="等线" w:cs="Times New Roman"/>
                            <w:i/>
                            <w:kern w:val="0"/>
                            <w:szCs w:val="21"/>
                            <w:highlight w:val="none"/>
                          </w:rPr>
                        </m:ctrlPr>
                      </m:sSubPr>
                      <m:e>
                        <m:r>
                          <m:rPr/>
                          <w:rPr>
                            <w:rFonts w:ascii="Cambria Math" w:hAnsi="Cambria Math" w:eastAsia="等线" w:cs="Times New Roman"/>
                            <w:kern w:val="0"/>
                            <w:szCs w:val="21"/>
                            <w:highlight w:val="none"/>
                          </w:rPr>
                          <m:t>Y</m:t>
                        </m:r>
                        <m:ctrlPr>
                          <w:rPr>
                            <w:rFonts w:ascii="Cambria Math" w:hAnsi="Cambria Math" w:eastAsia="等线" w:cs="Times New Roman"/>
                            <w:i/>
                            <w:kern w:val="0"/>
                            <w:szCs w:val="21"/>
                            <w:highlight w:val="none"/>
                          </w:rPr>
                        </m:ctrlPr>
                      </m:e>
                      <m:sub>
                        <m:r>
                          <m:rPr/>
                          <w:rPr>
                            <w:rFonts w:ascii="Cambria Math" w:hAnsi="Cambria Math" w:eastAsia="等线" w:cs="Times New Roman"/>
                            <w:kern w:val="0"/>
                            <w:szCs w:val="21"/>
                            <w:highlight w:val="none"/>
                          </w:rPr>
                          <m:t>i</m:t>
                        </m:r>
                        <m:ctrlPr>
                          <w:rPr>
                            <w:rFonts w:ascii="Cambria Math" w:hAnsi="Cambria Math" w:eastAsia="等线" w:cs="Times New Roman"/>
                            <w:i/>
                            <w:kern w:val="0"/>
                            <w:szCs w:val="21"/>
                            <w:highlight w:val="none"/>
                          </w:rPr>
                        </m:ctrlPr>
                      </m:sub>
                    </m:sSub>
                    <m:r>
                      <m:rPr/>
                      <w:rPr>
                        <w:rFonts w:ascii="Cambria Math" w:hAnsi="Cambria Math" w:eastAsia="等线" w:cs="Times New Roman"/>
                        <w:kern w:val="0"/>
                        <w:szCs w:val="21"/>
                        <w:highlight w:val="none"/>
                      </w:rPr>
                      <m:t>−</m:t>
                    </m:r>
                    <m:bar>
                      <m:barPr>
                        <m:pos m:val="top"/>
                        <m:ctrlPr>
                          <w:rPr>
                            <w:rFonts w:ascii="Cambria Math" w:hAnsi="Cambria Math" w:eastAsia="等线" w:cs="Times New Roman"/>
                            <w:i/>
                            <w:kern w:val="0"/>
                            <w:szCs w:val="21"/>
                            <w:highlight w:val="none"/>
                          </w:rPr>
                        </m:ctrlPr>
                      </m:barPr>
                      <m:e>
                        <m:r>
                          <m:rPr/>
                          <w:rPr>
                            <w:rFonts w:ascii="Cambria Math" w:hAnsi="Cambria Math" w:eastAsia="等线" w:cs="Times New Roman"/>
                            <w:kern w:val="0"/>
                            <w:szCs w:val="21"/>
                            <w:highlight w:val="none"/>
                          </w:rPr>
                          <m:t>Y</m:t>
                        </m:r>
                        <m:ctrlPr>
                          <w:rPr>
                            <w:rFonts w:ascii="Cambria Math" w:hAnsi="Cambria Math" w:eastAsia="等线" w:cs="Times New Roman"/>
                            <w:i/>
                            <w:kern w:val="0"/>
                            <w:szCs w:val="21"/>
                            <w:highlight w:val="none"/>
                          </w:rPr>
                        </m:ctrlPr>
                      </m:e>
                    </m:bar>
                    <m:r>
                      <m:rPr/>
                      <w:rPr>
                        <w:rFonts w:ascii="Cambria Math" w:hAnsi="Cambria Math" w:eastAsia="等线" w:cs="Times New Roman"/>
                        <w:kern w:val="0"/>
                        <w:szCs w:val="21"/>
                        <w:highlight w:val="none"/>
                      </w:rPr>
                      <m:t>)</m:t>
                    </m:r>
                    <m:ctrlPr>
                      <w:rPr>
                        <w:rFonts w:ascii="Cambria Math" w:hAnsi="Cambria Math" w:eastAsia="等线" w:cs="Times New Roman"/>
                        <w:i/>
                        <w:kern w:val="0"/>
                        <w:szCs w:val="21"/>
                        <w:highlight w:val="none"/>
                      </w:rPr>
                    </m:ctrlPr>
                  </m:e>
                  <m:sup>
                    <m:r>
                      <m:rPr/>
                      <w:rPr>
                        <w:rFonts w:ascii="Cambria Math" w:hAnsi="Cambria Math" w:eastAsia="等线" w:cs="Times New Roman"/>
                        <w:kern w:val="0"/>
                        <w:szCs w:val="21"/>
                        <w:highlight w:val="none"/>
                      </w:rPr>
                      <m:t>2</m:t>
                    </m:r>
                    <m:ctrlPr>
                      <w:rPr>
                        <w:rFonts w:ascii="Cambria Math" w:hAnsi="Cambria Math" w:eastAsia="等线" w:cs="Times New Roman"/>
                        <w:i/>
                        <w:kern w:val="0"/>
                        <w:szCs w:val="21"/>
                        <w:highlight w:val="none"/>
                      </w:rPr>
                    </m:ctrlPr>
                  </m:sup>
                </m:sSup>
                <m:ctrlPr>
                  <w:rPr>
                    <w:rFonts w:ascii="Cambria Math" w:hAnsi="Cambria Math" w:eastAsia="等线" w:cs="Times New Roman"/>
                    <w:i/>
                    <w:kern w:val="0"/>
                    <w:szCs w:val="21"/>
                    <w:highlight w:val="none"/>
                  </w:rPr>
                </m:ctrlPr>
              </m:num>
              <m:den>
                <m:r>
                  <m:rPr/>
                  <w:rPr>
                    <w:rFonts w:ascii="Cambria Math" w:hAnsi="Cambria Math" w:eastAsia="等线" w:cs="Times New Roman"/>
                    <w:kern w:val="0"/>
                    <w:szCs w:val="21"/>
                    <w:highlight w:val="none"/>
                  </w:rPr>
                  <m:t>n−1</m:t>
                </m:r>
                <m:ctrlPr>
                  <w:rPr>
                    <w:rFonts w:ascii="Cambria Math" w:hAnsi="Cambria Math" w:eastAsia="等线" w:cs="Times New Roman"/>
                    <w:i/>
                    <w:kern w:val="0"/>
                    <w:szCs w:val="21"/>
                    <w:highlight w:val="none"/>
                  </w:rPr>
                </m:ctrlPr>
                <w:bookmarkEnd w:id="95"/>
              </m:den>
            </m:f>
            <m:ctrlPr>
              <w:rPr>
                <w:rFonts w:ascii="Cambria Math" w:hAnsi="Cambria Math" w:eastAsia="等线" w:cs="Times New Roman"/>
                <w:i/>
                <w:kern w:val="0"/>
                <w:szCs w:val="21"/>
                <w:highlight w:val="none"/>
              </w:rPr>
            </m:ctrlPr>
          </m:e>
        </m:rad>
      </m:oMath>
      <w:r>
        <w:rPr>
          <w:rFonts w:hint="eastAsia" w:ascii="Times New Roman" w:hAnsi="Times New Roman" w:eastAsia="等线" w:cs="Times New Roman"/>
          <w:kern w:val="0"/>
          <w:szCs w:val="21"/>
          <w:highlight w:val="none"/>
        </w:rPr>
        <w:t xml:space="preserve">                           </w:t>
      </w:r>
      <w:r>
        <w:rPr>
          <w:rFonts w:ascii="Times New Roman" w:hAnsi="Times New Roman" w:eastAsia="等线" w:cs="Times New Roman"/>
          <w:kern w:val="0"/>
          <w:szCs w:val="21"/>
          <w:highlight w:val="none"/>
        </w:rPr>
        <w:t>(A.</w:t>
      </w:r>
      <w:r>
        <w:rPr>
          <w:rFonts w:hint="eastAsia" w:ascii="Times New Roman" w:hAnsi="Times New Roman" w:eastAsia="等线" w:cs="Times New Roman"/>
          <w:kern w:val="0"/>
          <w:szCs w:val="21"/>
          <w:highlight w:val="none"/>
        </w:rPr>
        <w:t>7</w:t>
      </w:r>
      <w:r>
        <w:rPr>
          <w:rFonts w:ascii="Times New Roman" w:hAnsi="Times New Roman" w:eastAsia="等线" w:cs="Times New Roman"/>
          <w:kern w:val="0"/>
          <w:szCs w:val="21"/>
          <w:highlight w:val="none"/>
        </w:rPr>
        <w:t>)</w:t>
      </w:r>
    </w:p>
    <w:p w14:paraId="1BFAEFCE">
      <w:pPr>
        <w:widowControl/>
        <w:ind w:firstLine="412" w:firstLineChars="200"/>
        <w:jc w:val="left"/>
        <w:outlineLvl w:val="3"/>
        <w:rPr>
          <w:rFonts w:ascii="Times New Roman" w:hAnsi="Times New Roman" w:eastAsia="宋体" w:cs="Times New Roman"/>
          <w:spacing w:val="-2"/>
          <w:kern w:val="0"/>
          <w:szCs w:val="21"/>
          <w:highlight w:val="none"/>
        </w:rPr>
      </w:pPr>
      <w:r>
        <w:rPr>
          <w:rFonts w:ascii="Times New Roman" w:hAnsi="Times New Roman" w:eastAsia="宋体" w:cs="Times New Roman"/>
          <w:spacing w:val="-2"/>
          <w:kern w:val="0"/>
          <w:szCs w:val="21"/>
          <w:highlight w:val="none"/>
        </w:rPr>
        <w:t>式中：</w:t>
      </w:r>
      <w:r>
        <w:rPr>
          <w:rFonts w:ascii="Times New Roman" w:hAnsi="Times New Roman" w:eastAsia="宋体" w:cs="Times New Roman"/>
          <w:i/>
          <w:iCs/>
          <w:spacing w:val="-2"/>
          <w:kern w:val="0"/>
          <w:szCs w:val="21"/>
          <w:highlight w:val="none"/>
        </w:rPr>
        <w:t>SD</w:t>
      </w:r>
      <w:r>
        <w:rPr>
          <w:rFonts w:ascii="Times New Roman" w:hAnsi="Times New Roman" w:eastAsia="宋体" w:cs="Times New Roman"/>
          <w:spacing w:val="-2"/>
          <w:kern w:val="0"/>
          <w:szCs w:val="21"/>
          <w:highlight w:val="none"/>
        </w:rPr>
        <w:t>—标准偏差；</w:t>
      </w:r>
    </w:p>
    <w:p w14:paraId="04CE65EA">
      <w:pPr>
        <w:widowControl/>
        <w:ind w:firstLine="1030" w:firstLineChars="500"/>
        <w:jc w:val="left"/>
        <w:outlineLvl w:val="3"/>
        <w:rPr>
          <w:rFonts w:ascii="Times New Roman" w:hAnsi="Times New Roman" w:eastAsia="宋体" w:cs="Times New Roman"/>
          <w:spacing w:val="-2"/>
          <w:kern w:val="0"/>
          <w:szCs w:val="21"/>
          <w:highlight w:val="none"/>
        </w:rPr>
      </w:pPr>
      <w:r>
        <w:rPr>
          <w:rFonts w:ascii="Times New Roman" w:hAnsi="Times New Roman" w:eastAsia="宋体" w:cs="Times New Roman"/>
          <w:i/>
          <w:iCs/>
          <w:spacing w:val="-2"/>
          <w:kern w:val="0"/>
          <w:szCs w:val="21"/>
          <w:highlight w:val="none"/>
        </w:rPr>
        <w:t>Y</w:t>
      </w:r>
      <w:r>
        <w:rPr>
          <w:rFonts w:ascii="Times New Roman" w:hAnsi="Times New Roman" w:eastAsia="宋体" w:cs="Times New Roman"/>
          <w:spacing w:val="-2"/>
          <w:kern w:val="0"/>
          <w:szCs w:val="21"/>
          <w:highlight w:val="none"/>
          <w:vertAlign w:val="subscript"/>
        </w:rPr>
        <w:t>i</w:t>
      </w:r>
      <w:r>
        <w:rPr>
          <w:rFonts w:ascii="Times New Roman" w:hAnsi="Times New Roman" w:eastAsia="宋体" w:cs="Times New Roman"/>
          <w:spacing w:val="-2"/>
          <w:kern w:val="0"/>
          <w:szCs w:val="21"/>
          <w:highlight w:val="none"/>
        </w:rPr>
        <w:t>—标准气体第i次测量值；</w:t>
      </w:r>
    </w:p>
    <w:p w14:paraId="7D287EB2">
      <w:pPr>
        <w:widowControl/>
        <w:ind w:firstLine="1050" w:firstLineChars="500"/>
        <w:jc w:val="left"/>
        <w:outlineLvl w:val="3"/>
        <w:rPr>
          <w:rFonts w:ascii="Times New Roman" w:hAnsi="Times New Roman" w:eastAsia="宋体" w:cs="Times New Roman"/>
          <w:spacing w:val="-2"/>
          <w:kern w:val="0"/>
          <w:szCs w:val="21"/>
          <w:highlight w:val="none"/>
        </w:rPr>
      </w:pPr>
      <m:oMath>
        <m:bar>
          <m:barPr>
            <m:pos m:val="top"/>
            <m:ctrlPr>
              <w:rPr>
                <w:rFonts w:ascii="Cambria Math" w:hAnsi="Cambria Math" w:eastAsia="等线" w:cs="Times New Roman"/>
                <w:i/>
                <w:kern w:val="0"/>
                <w:szCs w:val="21"/>
                <w:highlight w:val="none"/>
              </w:rPr>
            </m:ctrlPr>
          </m:barPr>
          <m:e>
            <m:r>
              <m:rPr/>
              <w:rPr>
                <w:rFonts w:ascii="Cambria Math" w:hAnsi="Cambria Math" w:eastAsia="等线" w:cs="Times New Roman"/>
                <w:kern w:val="0"/>
                <w:szCs w:val="21"/>
                <w:highlight w:val="none"/>
              </w:rPr>
              <m:t>Y</m:t>
            </m:r>
            <m:ctrlPr>
              <w:rPr>
                <w:rFonts w:ascii="Cambria Math" w:hAnsi="Cambria Math" w:eastAsia="等线" w:cs="Times New Roman"/>
                <w:i/>
                <w:kern w:val="0"/>
                <w:szCs w:val="21"/>
                <w:highlight w:val="none"/>
              </w:rPr>
            </m:ctrlPr>
          </m:e>
        </m:bar>
      </m:oMath>
      <w:r>
        <w:rPr>
          <w:rFonts w:ascii="Times New Roman" w:hAnsi="Times New Roman" w:eastAsia="宋体" w:cs="Times New Roman"/>
          <w:spacing w:val="-2"/>
          <w:kern w:val="0"/>
          <w:szCs w:val="21"/>
          <w:highlight w:val="none"/>
        </w:rPr>
        <w:t>—标准气体测量平均值；</w:t>
      </w:r>
    </w:p>
    <w:p w14:paraId="159177D1">
      <w:pPr>
        <w:widowControl/>
        <w:ind w:firstLine="1030" w:firstLineChars="500"/>
        <w:jc w:val="left"/>
        <w:outlineLvl w:val="3"/>
        <w:rPr>
          <w:rFonts w:ascii="Times New Roman" w:hAnsi="Times New Roman" w:eastAsia="宋体" w:cs="Times New Roman"/>
          <w:spacing w:val="-2"/>
          <w:kern w:val="0"/>
          <w:szCs w:val="21"/>
          <w:highlight w:val="none"/>
        </w:rPr>
      </w:pPr>
      <w:r>
        <w:rPr>
          <w:rFonts w:ascii="Times New Roman" w:hAnsi="Times New Roman" w:eastAsia="宋体" w:cs="Times New Roman"/>
          <w:i/>
          <w:iCs/>
          <w:spacing w:val="-2"/>
          <w:kern w:val="0"/>
          <w:szCs w:val="21"/>
          <w:highlight w:val="none"/>
        </w:rPr>
        <w:t>n</w:t>
      </w:r>
      <w:r>
        <w:rPr>
          <w:rFonts w:ascii="Times New Roman" w:hAnsi="Times New Roman" w:eastAsia="宋体" w:cs="Times New Roman"/>
          <w:spacing w:val="-2"/>
          <w:kern w:val="0"/>
          <w:szCs w:val="21"/>
          <w:highlight w:val="none"/>
        </w:rPr>
        <w:t>—测量次数。</w:t>
      </w:r>
    </w:p>
    <w:p w14:paraId="08AE37DD">
      <w:pPr>
        <w:widowControl/>
        <w:ind w:firstLine="420"/>
        <w:jc w:val="right"/>
        <w:rPr>
          <w:rFonts w:ascii="Times New Roman" w:hAnsi="Times New Roman" w:eastAsia="等线" w:cs="Times New Roman"/>
          <w:kern w:val="0"/>
          <w:sz w:val="24"/>
          <w:highlight w:val="none"/>
        </w:rPr>
      </w:pPr>
      <w:r>
        <w:rPr>
          <w:rFonts w:ascii="Times New Roman" w:hAnsi="Times New Roman" w:eastAsia="等线" w:cs="Times New Roman"/>
          <w:kern w:val="0"/>
          <w:szCs w:val="21"/>
          <w:highlight w:val="none"/>
        </w:rPr>
        <w:t xml:space="preserve">                    </w:t>
      </w:r>
      <m:oMath>
        <w:bookmarkStart w:id="96" w:name="_Hlk181735176"/>
        <m:r>
          <m:rPr/>
          <w:rPr>
            <w:rFonts w:ascii="Cambria Math" w:hAnsi="Cambria Math" w:eastAsia="等线" w:cs="Times New Roman"/>
            <w:kern w:val="0"/>
            <w:szCs w:val="21"/>
            <w:highlight w:val="none"/>
          </w:rPr>
          <m:t>RSD=</m:t>
        </m:r>
        <m:f>
          <m:fPr>
            <m:ctrlPr>
              <w:rPr>
                <w:rFonts w:ascii="Cambria Math" w:hAnsi="Cambria Math" w:eastAsia="等线" w:cs="Times New Roman"/>
                <w:i/>
                <w:kern w:val="0"/>
                <w:szCs w:val="21"/>
                <w:highlight w:val="none"/>
              </w:rPr>
            </m:ctrlPr>
          </m:fPr>
          <m:num>
            <m:r>
              <m:rPr/>
              <w:rPr>
                <w:rFonts w:ascii="Cambria Math" w:hAnsi="Cambria Math" w:eastAsia="等线" w:cs="Times New Roman"/>
                <w:kern w:val="0"/>
                <w:szCs w:val="21"/>
                <w:highlight w:val="none"/>
              </w:rPr>
              <m:t>SD</m:t>
            </m:r>
            <m:ctrlPr>
              <w:rPr>
                <w:rFonts w:ascii="Cambria Math" w:hAnsi="Cambria Math" w:eastAsia="等线" w:cs="Times New Roman"/>
                <w:i/>
                <w:kern w:val="0"/>
                <w:szCs w:val="21"/>
                <w:highlight w:val="none"/>
              </w:rPr>
            </m:ctrlPr>
          </m:num>
          <m:den>
            <m:bar>
              <m:barPr>
                <m:pos m:val="top"/>
                <m:ctrlPr>
                  <w:rPr>
                    <w:rFonts w:ascii="Cambria Math" w:hAnsi="Cambria Math" w:eastAsia="等线" w:cs="Times New Roman"/>
                    <w:i/>
                    <w:kern w:val="0"/>
                    <w:szCs w:val="21"/>
                    <w:highlight w:val="none"/>
                  </w:rPr>
                </m:ctrlPr>
              </m:barPr>
              <m:e>
                <m:r>
                  <m:rPr/>
                  <w:rPr>
                    <w:rFonts w:ascii="Cambria Math" w:hAnsi="Cambria Math" w:eastAsia="等线" w:cs="Times New Roman"/>
                    <w:kern w:val="0"/>
                    <w:szCs w:val="21"/>
                    <w:highlight w:val="none"/>
                  </w:rPr>
                  <m:t>Y</m:t>
                </m:r>
                <m:ctrlPr>
                  <w:rPr>
                    <w:rFonts w:ascii="Cambria Math" w:hAnsi="Cambria Math" w:eastAsia="等线" w:cs="Times New Roman"/>
                    <w:i/>
                    <w:kern w:val="0"/>
                    <w:szCs w:val="21"/>
                    <w:highlight w:val="none"/>
                  </w:rPr>
                </m:ctrlPr>
              </m:e>
            </m:bar>
            <m:ctrlPr>
              <w:rPr>
                <w:rFonts w:ascii="Cambria Math" w:hAnsi="Cambria Math" w:eastAsia="等线" w:cs="Times New Roman"/>
                <w:i/>
                <w:kern w:val="0"/>
                <w:szCs w:val="21"/>
                <w:highlight w:val="none"/>
              </w:rPr>
            </m:ctrlPr>
          </m:den>
        </m:f>
        <m:r>
          <m:rPr/>
          <w:rPr>
            <w:rFonts w:ascii="Cambria Math" w:hAnsi="Cambria Math" w:eastAsia="等线" w:cs="Times New Roman"/>
            <w:kern w:val="0"/>
            <w:szCs w:val="21"/>
            <w:highlight w:val="none"/>
          </w:rPr>
          <m:t>×100%</m:t>
        </m:r>
      </m:oMath>
      <w:r>
        <w:rPr>
          <w:rFonts w:ascii="Times New Roman" w:hAnsi="Times New Roman" w:eastAsia="等线" w:cs="Times New Roman"/>
          <w:kern w:val="0"/>
          <w:szCs w:val="21"/>
          <w:highlight w:val="none"/>
        </w:rPr>
        <w:t xml:space="preserve">  </w:t>
      </w:r>
      <w:r>
        <w:rPr>
          <w:rFonts w:hint="eastAsia" w:ascii="Times New Roman" w:hAnsi="Times New Roman" w:eastAsia="等线" w:cs="Times New Roman"/>
          <w:kern w:val="0"/>
          <w:szCs w:val="21"/>
          <w:highlight w:val="none"/>
        </w:rPr>
        <w:t xml:space="preserve"> </w:t>
      </w:r>
      <w:bookmarkEnd w:id="96"/>
      <w:r>
        <w:rPr>
          <w:rFonts w:ascii="Times New Roman" w:hAnsi="Times New Roman" w:eastAsia="等线" w:cs="Times New Roman"/>
          <w:kern w:val="0"/>
          <w:szCs w:val="21"/>
          <w:highlight w:val="none"/>
        </w:rPr>
        <w:t xml:space="preserve">                      (</w:t>
      </w:r>
      <w:r>
        <w:rPr>
          <w:rFonts w:ascii="Times New Roman" w:hAnsi="Times New Roman" w:eastAsia="宋体" w:cs="Times New Roman"/>
          <w:spacing w:val="-3"/>
          <w:kern w:val="0"/>
          <w:szCs w:val="21"/>
          <w:highlight w:val="none"/>
        </w:rPr>
        <w:t>A.</w:t>
      </w:r>
      <w:r>
        <w:rPr>
          <w:rFonts w:hint="eastAsia" w:ascii="Times New Roman" w:hAnsi="Times New Roman" w:eastAsia="宋体" w:cs="Times New Roman"/>
          <w:spacing w:val="-3"/>
          <w:kern w:val="0"/>
          <w:szCs w:val="21"/>
          <w:highlight w:val="none"/>
        </w:rPr>
        <w:t>8</w:t>
      </w:r>
      <w:r>
        <w:rPr>
          <w:rFonts w:ascii="Times New Roman" w:hAnsi="Times New Roman" w:eastAsia="等线" w:cs="Times New Roman"/>
          <w:kern w:val="0"/>
          <w:szCs w:val="21"/>
          <w:highlight w:val="none"/>
        </w:rPr>
        <w:t>)</w:t>
      </w:r>
    </w:p>
    <w:p w14:paraId="1EA1CFD6">
      <w:pPr>
        <w:widowControl/>
        <w:ind w:firstLine="420" w:firstLineChars="200"/>
        <w:jc w:val="left"/>
        <w:outlineLvl w:val="3"/>
        <w:rPr>
          <w:rFonts w:ascii="Times New Roman" w:hAnsi="Times New Roman" w:eastAsia="宋体" w:cs="Times New Roman"/>
          <w:spacing w:val="-2"/>
          <w:kern w:val="0"/>
          <w:szCs w:val="21"/>
          <w:highlight w:val="none"/>
        </w:rPr>
      </w:pPr>
      <w:r>
        <w:rPr>
          <w:rFonts w:ascii="Times New Roman" w:hAnsi="Times New Roman" w:eastAsia="宋体" w:cs="Times New Roman"/>
          <w:kern w:val="0"/>
          <w:szCs w:val="21"/>
          <w:highlight w:val="none"/>
        </w:rPr>
        <w:t>式中：</w:t>
      </w:r>
      <w:r>
        <w:rPr>
          <w:rFonts w:ascii="Times New Roman" w:hAnsi="Times New Roman" w:eastAsia="宋体" w:cs="Times New Roman"/>
          <w:i/>
          <w:iCs/>
          <w:spacing w:val="-2"/>
          <w:kern w:val="0"/>
          <w:szCs w:val="21"/>
          <w:highlight w:val="none"/>
        </w:rPr>
        <w:t>RSD</w:t>
      </w:r>
      <w:r>
        <w:rPr>
          <w:rFonts w:ascii="Times New Roman" w:hAnsi="Times New Roman" w:eastAsia="宋体" w:cs="Times New Roman"/>
          <w:spacing w:val="-2"/>
          <w:kern w:val="0"/>
          <w:szCs w:val="21"/>
          <w:highlight w:val="none"/>
        </w:rPr>
        <w:t>—相对标准偏差；</w:t>
      </w:r>
    </w:p>
    <w:p w14:paraId="40AF0136">
      <w:pPr>
        <w:widowControl/>
        <w:ind w:firstLine="1030" w:firstLineChars="500"/>
        <w:jc w:val="left"/>
        <w:outlineLvl w:val="3"/>
        <w:rPr>
          <w:rFonts w:ascii="Times New Roman" w:hAnsi="Times New Roman" w:eastAsia="宋体" w:cs="Times New Roman"/>
          <w:spacing w:val="-2"/>
          <w:kern w:val="0"/>
          <w:szCs w:val="21"/>
          <w:highlight w:val="none"/>
        </w:rPr>
      </w:pPr>
      <w:r>
        <w:rPr>
          <w:rFonts w:ascii="Times New Roman" w:hAnsi="Times New Roman" w:eastAsia="宋体" w:cs="Times New Roman"/>
          <w:i/>
          <w:iCs/>
          <w:spacing w:val="-2"/>
          <w:kern w:val="0"/>
          <w:szCs w:val="21"/>
          <w:highlight w:val="none"/>
        </w:rPr>
        <w:t>SD</w:t>
      </w:r>
      <w:r>
        <w:rPr>
          <w:rFonts w:ascii="Times New Roman" w:hAnsi="Times New Roman" w:eastAsia="宋体" w:cs="Times New Roman"/>
          <w:spacing w:val="-2"/>
          <w:kern w:val="0"/>
          <w:szCs w:val="21"/>
          <w:highlight w:val="none"/>
        </w:rPr>
        <w:t>—标准偏差；</w:t>
      </w:r>
    </w:p>
    <w:p w14:paraId="14CE3E80">
      <w:pPr>
        <w:widowControl/>
        <w:ind w:firstLine="1050" w:firstLineChars="500"/>
        <w:jc w:val="left"/>
        <w:outlineLvl w:val="3"/>
        <w:rPr>
          <w:rFonts w:ascii="Times New Roman" w:hAnsi="Times New Roman" w:eastAsia="宋体" w:cs="Times New Roman"/>
          <w:spacing w:val="-2"/>
          <w:kern w:val="0"/>
          <w:szCs w:val="21"/>
          <w:highlight w:val="none"/>
        </w:rPr>
      </w:pPr>
      <m:oMath>
        <m:bar>
          <m:barPr>
            <m:pos m:val="top"/>
            <m:ctrlPr>
              <w:rPr>
                <w:rFonts w:ascii="Cambria Math" w:hAnsi="Cambria Math" w:eastAsia="等线" w:cs="Times New Roman"/>
                <w:i/>
                <w:kern w:val="0"/>
                <w:szCs w:val="21"/>
                <w:highlight w:val="none"/>
              </w:rPr>
            </m:ctrlPr>
          </m:barPr>
          <m:e>
            <m:r>
              <m:rPr/>
              <w:rPr>
                <w:rFonts w:ascii="Cambria Math" w:hAnsi="Cambria Math" w:eastAsia="等线" w:cs="Times New Roman"/>
                <w:kern w:val="0"/>
                <w:szCs w:val="21"/>
                <w:highlight w:val="none"/>
              </w:rPr>
              <m:t>Y</m:t>
            </m:r>
            <m:ctrlPr>
              <w:rPr>
                <w:rFonts w:ascii="Cambria Math" w:hAnsi="Cambria Math" w:eastAsia="等线" w:cs="Times New Roman"/>
                <w:i/>
                <w:kern w:val="0"/>
                <w:szCs w:val="21"/>
                <w:highlight w:val="none"/>
              </w:rPr>
            </m:ctrlPr>
          </m:e>
        </m:bar>
      </m:oMath>
      <w:r>
        <w:rPr>
          <w:rFonts w:ascii="Times New Roman" w:hAnsi="Times New Roman" w:eastAsia="宋体" w:cs="Times New Roman"/>
          <w:spacing w:val="-2"/>
          <w:kern w:val="0"/>
          <w:szCs w:val="21"/>
          <w:highlight w:val="none"/>
        </w:rPr>
        <w:t>—标准气体测量平均值。</w:t>
      </w:r>
    </w:p>
    <w:p w14:paraId="47406BB9">
      <w:pPr>
        <w:pStyle w:val="11"/>
        <w:rPr>
          <w:highlight w:val="none"/>
        </w:rPr>
      </w:pPr>
      <w:r>
        <w:rPr>
          <w:highlight w:val="none"/>
        </w:rPr>
        <w:t>精密度审核要求，在精密度审核之前不能改动监测仪器的任何设置参数；精密度审核时，仪器示值相对标准偏差应</w:t>
      </w:r>
      <w:r>
        <w:rPr>
          <w:rFonts w:hint="eastAsia" w:asciiTheme="minorEastAsia" w:hAnsiTheme="minorEastAsia" w:eastAsiaTheme="minorEastAsia" w:cstheme="minorEastAsia"/>
          <w:highlight w:val="none"/>
        </w:rPr>
        <w:t>≤</w:t>
      </w:r>
      <w:r>
        <w:rPr>
          <w:highlight w:val="none"/>
        </w:rPr>
        <w:t>0.05%；每台监测仪器至少每年进行1次精密度审核；精密度审核用于对监测系统进行外部质量控制，审核人员不从事所审核仪器的日常操作和维护；用于精密度审核的标准物质不得用于日常的质量控制。</w:t>
      </w:r>
    </w:p>
    <w:p w14:paraId="45FBBF56">
      <w:pPr>
        <w:numPr>
          <w:ilvl w:val="0"/>
          <w:numId w:val="7"/>
        </w:numPr>
        <w:autoSpaceDE w:val="0"/>
        <w:autoSpaceDN w:val="0"/>
        <w:ind w:firstLine="420" w:firstLineChars="200"/>
        <w:rPr>
          <w:rFonts w:ascii="Times New Roman" w:hAnsi="Times New Roman" w:eastAsia="宋体" w:cs="Times New Roman"/>
          <w:highlight w:val="none"/>
        </w:rPr>
      </w:pPr>
      <w:r>
        <w:rPr>
          <w:rFonts w:ascii="Times New Roman" w:hAnsi="Times New Roman" w:eastAsia="宋体" w:cs="Times New Roman"/>
          <w:highlight w:val="none"/>
        </w:rPr>
        <w:t>正确度审核方法及要求</w:t>
      </w:r>
    </w:p>
    <w:p w14:paraId="65E82BC5">
      <w:pPr>
        <w:pStyle w:val="11"/>
        <w:rPr>
          <w:highlight w:val="none"/>
        </w:rPr>
      </w:pPr>
      <w:r>
        <w:rPr>
          <w:highlight w:val="none"/>
        </w:rPr>
        <w:t>正确度审核方法，向监测系统</w:t>
      </w:r>
      <w:r>
        <w:rPr>
          <w:rFonts w:hint="eastAsia"/>
          <w:highlight w:val="none"/>
        </w:rPr>
        <w:t>依次</w:t>
      </w:r>
      <w:r>
        <w:rPr>
          <w:highlight w:val="none"/>
        </w:rPr>
        <w:t>通入</w:t>
      </w:r>
      <w:r>
        <w:rPr>
          <w:rFonts w:hint="eastAsia"/>
          <w:highlight w:val="none"/>
        </w:rPr>
        <w:t>低、中、高</w:t>
      </w:r>
      <w:r>
        <w:rPr>
          <w:highlight w:val="none"/>
        </w:rPr>
        <w:t>瓶审核标气，每次通气15分钟，等待仪器读数稳定后取5分钟监测数据均值为记录仪器示值结果；将审核标气的仪器响应浓度值（Xi）与标气标称浓度值（Yi）进行线性相关分析，用最小二乘法绘制仪器校准曲线；将工作气仪器响应值代入校准曲线的拟合方程，计算出工作气的差值，用相关系数和站点工作气相关差值对仪器正确度进行评价。对所获校准曲线的相关系数和工作气差值应符合以下要求：CO</w:t>
      </w:r>
      <w:r>
        <w:rPr>
          <w:highlight w:val="none"/>
          <w:vertAlign w:val="subscript"/>
        </w:rPr>
        <w:t xml:space="preserve">2 </w:t>
      </w:r>
      <w:r>
        <w:rPr>
          <w:highlight w:val="none"/>
        </w:rPr>
        <w:t>/ CH</w:t>
      </w:r>
      <w:r>
        <w:rPr>
          <w:highlight w:val="none"/>
          <w:vertAlign w:val="subscript"/>
        </w:rPr>
        <w:t>4</w:t>
      </w:r>
      <w:r>
        <w:rPr>
          <w:highlight w:val="none"/>
        </w:rPr>
        <w:t>校准曲线相关系数r＞0.99999；CO</w:t>
      </w:r>
      <w:r>
        <w:rPr>
          <w:highlight w:val="none"/>
          <w:vertAlign w:val="subscript"/>
        </w:rPr>
        <w:t>2</w:t>
      </w:r>
      <w:r>
        <w:rPr>
          <w:highlight w:val="none"/>
        </w:rPr>
        <w:t>/CH</w:t>
      </w:r>
      <w:r>
        <w:rPr>
          <w:highlight w:val="none"/>
          <w:vertAlign w:val="subscript"/>
        </w:rPr>
        <w:t>4</w:t>
      </w:r>
      <w:r>
        <w:rPr>
          <w:highlight w:val="none"/>
        </w:rPr>
        <w:t>差值不超过</w:t>
      </w:r>
      <w:r>
        <w:rPr>
          <w:rFonts w:hint="eastAsia" w:asciiTheme="minorEastAsia" w:hAnsiTheme="minorEastAsia" w:eastAsiaTheme="minorEastAsia" w:cstheme="minorEastAsia"/>
          <w:kern w:val="0"/>
          <w:sz w:val="21"/>
          <w:szCs w:val="21"/>
          <w:highlight w:val="none"/>
          <w:lang w:val="en-US" w:eastAsia="zh-CN" w:bidi="ar-SA"/>
        </w:rPr>
        <w:t>±</w:t>
      </w:r>
      <w:r>
        <w:rPr>
          <w:highlight w:val="none"/>
        </w:rPr>
        <w:t>0.2 ppm/5ppb，有条件的进一步提升为不超过</w:t>
      </w:r>
      <w:r>
        <w:rPr>
          <w:rFonts w:hint="eastAsia" w:asciiTheme="minorEastAsia" w:hAnsiTheme="minorEastAsia" w:eastAsiaTheme="minorEastAsia" w:cstheme="minorEastAsia"/>
          <w:kern w:val="0"/>
          <w:sz w:val="21"/>
          <w:szCs w:val="21"/>
          <w:highlight w:val="none"/>
          <w:lang w:val="en-US" w:eastAsia="zh-CN" w:bidi="ar-SA"/>
        </w:rPr>
        <w:t>±</w:t>
      </w:r>
      <w:r>
        <w:rPr>
          <w:highlight w:val="none"/>
        </w:rPr>
        <w:t>0.1ppm/2ppb。若其中任何一项指标不满足要求，则需对监测仪器及系统进行保养、检修，直至检验指标符合要求。</w:t>
      </w:r>
    </w:p>
    <w:p w14:paraId="5B93BE7E">
      <w:pPr>
        <w:pStyle w:val="11"/>
        <w:rPr>
          <w:highlight w:val="none"/>
        </w:rPr>
      </w:pPr>
      <w:r>
        <w:rPr>
          <w:highlight w:val="none"/>
        </w:rPr>
        <w:t>正确度审核要求，在正确度审核之前，不能改动监测仪器的任何设置参数；正确度审核使用最小二乘法做出多点校准曲线，用相关系数和工作气检查结果对仪器正确度进行评价。应符合以下要求：CO</w:t>
      </w:r>
      <w:r>
        <w:rPr>
          <w:highlight w:val="none"/>
          <w:vertAlign w:val="subscript"/>
        </w:rPr>
        <w:t xml:space="preserve">2 </w:t>
      </w:r>
      <w:r>
        <w:rPr>
          <w:highlight w:val="none"/>
        </w:rPr>
        <w:t>/CH</w:t>
      </w:r>
      <w:r>
        <w:rPr>
          <w:highlight w:val="none"/>
          <w:vertAlign w:val="subscript"/>
        </w:rPr>
        <w:t>4</w:t>
      </w:r>
      <w:r>
        <w:rPr>
          <w:highlight w:val="none"/>
        </w:rPr>
        <w:t>校准曲线相关系数r＞0.99999；使用校准曲线的拟合方程计算站点工作气的修正浓度值CO</w:t>
      </w:r>
      <w:r>
        <w:rPr>
          <w:highlight w:val="none"/>
          <w:vertAlign w:val="subscript"/>
        </w:rPr>
        <w:t xml:space="preserve">2 </w:t>
      </w:r>
      <w:r>
        <w:rPr>
          <w:highlight w:val="none"/>
        </w:rPr>
        <w:t>/CH</w:t>
      </w:r>
      <w:r>
        <w:rPr>
          <w:highlight w:val="none"/>
          <w:vertAlign w:val="subscript"/>
        </w:rPr>
        <w:t xml:space="preserve">4 </w:t>
      </w:r>
      <w:r>
        <w:rPr>
          <w:highlight w:val="none"/>
        </w:rPr>
        <w:t>修正浓度值与标称浓度值的差值应不超过</w:t>
      </w:r>
      <w:r>
        <w:rPr>
          <w:rFonts w:hint="eastAsia" w:asciiTheme="minorEastAsia" w:hAnsiTheme="minorEastAsia" w:eastAsiaTheme="minorEastAsia" w:cstheme="minorEastAsia"/>
          <w:kern w:val="0"/>
          <w:sz w:val="21"/>
          <w:szCs w:val="21"/>
          <w:highlight w:val="none"/>
          <w:lang w:val="en-US" w:eastAsia="zh-CN" w:bidi="ar-SA"/>
        </w:rPr>
        <w:t>±</w:t>
      </w:r>
      <w:r>
        <w:rPr>
          <w:highlight w:val="none"/>
        </w:rPr>
        <w:t>0.2ppm/5ppb，有条件的进一步提升为不超过</w:t>
      </w:r>
      <w:r>
        <w:rPr>
          <w:rFonts w:hint="eastAsia" w:asciiTheme="minorEastAsia" w:hAnsiTheme="minorEastAsia" w:eastAsiaTheme="minorEastAsia" w:cstheme="minorEastAsia"/>
          <w:kern w:val="0"/>
          <w:sz w:val="21"/>
          <w:szCs w:val="21"/>
          <w:highlight w:val="none"/>
          <w:lang w:val="en-US" w:eastAsia="zh-CN" w:bidi="ar-SA"/>
        </w:rPr>
        <w:t>±</w:t>
      </w:r>
      <w:r>
        <w:rPr>
          <w:highlight w:val="none"/>
        </w:rPr>
        <w:t>0.1ppm/2ppb；每台监测仪器至少每年进行1次正确度审核；正确度审核用于对监测系统进行外部质量控制，审核人员不从事所审核仪器的日常操作和维护；用于正确度审核的标准物质不得用于日常的质量控制。</w:t>
      </w:r>
    </w:p>
    <w:p w14:paraId="4DFFBDF1">
      <w:pPr>
        <w:numPr>
          <w:ilvl w:val="0"/>
          <w:numId w:val="7"/>
        </w:numPr>
        <w:autoSpaceDE w:val="0"/>
        <w:autoSpaceDN w:val="0"/>
        <w:ind w:firstLine="420" w:firstLineChars="200"/>
        <w:rPr>
          <w:rFonts w:ascii="Times New Roman" w:hAnsi="Times New Roman" w:eastAsia="宋体" w:cs="Times New Roman"/>
          <w:highlight w:val="none"/>
        </w:rPr>
      </w:pPr>
      <w:r>
        <w:rPr>
          <w:rFonts w:ascii="Times New Roman" w:hAnsi="Times New Roman" w:eastAsia="宋体" w:cs="Times New Roman"/>
          <w:highlight w:val="none"/>
        </w:rPr>
        <w:t>可比性审核的方法及要求</w:t>
      </w:r>
    </w:p>
    <w:p w14:paraId="67269C0B">
      <w:pPr>
        <w:autoSpaceDE w:val="0"/>
        <w:autoSpaceDN w:val="0"/>
        <w:adjustRightInd w:val="0"/>
        <w:ind w:firstLine="420" w:firstLineChars="200"/>
        <w:rPr>
          <w:rFonts w:ascii="Times New Roman" w:hAnsi="Times New Roman" w:cs="Times New Roman"/>
          <w:highlight w:val="none"/>
        </w:rPr>
      </w:pPr>
      <w:r>
        <w:rPr>
          <w:rFonts w:ascii="Times New Roman" w:hAnsi="Times New Roman" w:eastAsia="宋体" w:cs="Times New Roman"/>
          <w:highlight w:val="none"/>
        </w:rPr>
        <w:t>可比性审核方法</w:t>
      </w:r>
      <w:r>
        <w:rPr>
          <w:rFonts w:ascii="Times New Roman" w:hAnsi="Times New Roman" w:cs="Times New Roman"/>
          <w:highlight w:val="none"/>
        </w:rPr>
        <w:t>，</w:t>
      </w:r>
      <w:r>
        <w:rPr>
          <w:rFonts w:ascii="Times New Roman" w:hAnsi="Times New Roman" w:cs="Times New Roman"/>
          <w:kern w:val="0"/>
          <w:szCs w:val="21"/>
          <w:highlight w:val="none"/>
        </w:rPr>
        <w:t>将审核用标气从站房内除水设备前端通入监测系统，建议每次通气20分钟等待仪器读数稳定后记录仪器示值，根据校准方程计算出审核标气的修正浓度值。以仪器示值的修正浓度值与标称浓度值的差值，来确定监测系统与标准气体的可比性。审核标气差值应符合以下要求：CO</w:t>
      </w:r>
      <w:r>
        <w:rPr>
          <w:rFonts w:ascii="Times New Roman" w:hAnsi="Times New Roman" w:cs="Times New Roman"/>
          <w:kern w:val="0"/>
          <w:szCs w:val="21"/>
          <w:highlight w:val="none"/>
          <w:vertAlign w:val="subscript"/>
        </w:rPr>
        <w:t>2</w:t>
      </w:r>
      <w:r>
        <w:rPr>
          <w:rFonts w:ascii="Times New Roman" w:hAnsi="Times New Roman" w:cs="Times New Roman"/>
          <w:kern w:val="0"/>
          <w:szCs w:val="21"/>
          <w:highlight w:val="none"/>
        </w:rPr>
        <w:t>/CH</w:t>
      </w:r>
      <w:r>
        <w:rPr>
          <w:rFonts w:ascii="Times New Roman" w:hAnsi="Times New Roman" w:cs="Times New Roman"/>
          <w:kern w:val="0"/>
          <w:szCs w:val="21"/>
          <w:highlight w:val="none"/>
          <w:vertAlign w:val="subscript"/>
        </w:rPr>
        <w:t>4</w:t>
      </w:r>
      <w:r>
        <w:rPr>
          <w:rFonts w:ascii="Times New Roman" w:hAnsi="Times New Roman" w:cs="Times New Roman"/>
          <w:kern w:val="0"/>
          <w:szCs w:val="21"/>
          <w:highlight w:val="none"/>
        </w:rPr>
        <w:t>不超过</w:t>
      </w:r>
      <w:r>
        <w:rPr>
          <w:rFonts w:hint="eastAsia" w:asciiTheme="minorEastAsia" w:hAnsiTheme="minorEastAsia" w:eastAsiaTheme="minorEastAsia" w:cstheme="minorEastAsia"/>
          <w:kern w:val="0"/>
          <w:szCs w:val="21"/>
          <w:highlight w:val="none"/>
        </w:rPr>
        <w:t>±</w:t>
      </w:r>
      <w:r>
        <w:rPr>
          <w:rFonts w:ascii="Times New Roman" w:hAnsi="Times New Roman" w:cs="Times New Roman"/>
          <w:kern w:val="0"/>
          <w:szCs w:val="21"/>
          <w:highlight w:val="none"/>
        </w:rPr>
        <w:t>0.2ppm/5ppb，有条件的进一步提升为不超过</w:t>
      </w:r>
      <w:r>
        <w:rPr>
          <w:rFonts w:hint="eastAsia" w:asciiTheme="minorEastAsia" w:hAnsiTheme="minorEastAsia" w:eastAsiaTheme="minorEastAsia" w:cstheme="minorEastAsia"/>
          <w:kern w:val="0"/>
          <w:szCs w:val="21"/>
          <w:highlight w:val="none"/>
        </w:rPr>
        <w:t>±</w:t>
      </w:r>
      <w:r>
        <w:rPr>
          <w:rFonts w:ascii="Times New Roman" w:hAnsi="Times New Roman" w:cs="Times New Roman"/>
          <w:kern w:val="0"/>
          <w:szCs w:val="21"/>
          <w:highlight w:val="none"/>
        </w:rPr>
        <w:t>0.1ppm/2ppb。</w:t>
      </w:r>
    </w:p>
    <w:p w14:paraId="4F3D3580">
      <w:pPr>
        <w:numPr>
          <w:ilvl w:val="1"/>
          <w:numId w:val="1"/>
        </w:numPr>
        <w:tabs>
          <w:tab w:val="center" w:pos="4201"/>
          <w:tab w:val="right" w:leader="dot" w:pos="9298"/>
        </w:tabs>
        <w:spacing w:before="156" w:beforeLines="50" w:after="156" w:afterLines="50"/>
        <w:ind w:firstLine="420"/>
        <w:outlineLvl w:val="2"/>
        <w:rPr>
          <w:rFonts w:ascii="Times New Roman" w:hAnsi="Times New Roman" w:eastAsia="黑体" w:cs="Times New Roman"/>
          <w:szCs w:val="21"/>
          <w:highlight w:val="none"/>
        </w:rPr>
      </w:pPr>
      <w:bookmarkStart w:id="97" w:name="_Toc32376"/>
      <w:bookmarkStart w:id="98" w:name="_Toc7313"/>
      <w:bookmarkStart w:id="99" w:name="_Toc12700"/>
      <w:r>
        <w:rPr>
          <w:rFonts w:ascii="Times New Roman" w:hAnsi="Times New Roman" w:eastAsia="黑体" w:cs="Times New Roman"/>
          <w:szCs w:val="21"/>
          <w:highlight w:val="none"/>
        </w:rPr>
        <w:t>数据有效性判断</w:t>
      </w:r>
      <w:bookmarkEnd w:id="97"/>
      <w:bookmarkEnd w:id="98"/>
      <w:bookmarkEnd w:id="99"/>
    </w:p>
    <w:p w14:paraId="7A3A51BA">
      <w:pPr>
        <w:widowControl/>
        <w:tabs>
          <w:tab w:val="center" w:pos="4201"/>
          <w:tab w:val="right" w:leader="dot" w:pos="9298"/>
        </w:tabs>
        <w:autoSpaceDE w:val="0"/>
        <w:autoSpaceDN w:val="0"/>
        <w:ind w:firstLine="420" w:firstLineChars="200"/>
        <w:rPr>
          <w:rFonts w:ascii="Times New Roman" w:hAnsi="Times New Roman" w:eastAsia="宋体" w:cs="Times New Roman"/>
          <w:kern w:val="0"/>
          <w:szCs w:val="20"/>
          <w:highlight w:val="none"/>
        </w:rPr>
      </w:pPr>
      <w:r>
        <w:rPr>
          <w:rFonts w:ascii="Times New Roman" w:hAnsi="Times New Roman" w:eastAsia="宋体" w:cs="Times New Roman"/>
          <w:kern w:val="0"/>
          <w:szCs w:val="20"/>
          <w:highlight w:val="none"/>
        </w:rPr>
        <w:t>数据有效性判断要求，监测系统正常运行时的所有监测数据均为有效数据；仪器产生的原始监测数据需使用校准方程计算得到修正浓度值，数据统计分析均使用修正浓度值；对仪器进行检查、校准、维护保养或仪器出现故障等非正常监测期间的数据为无效数据；仪器启动至仪器预热完成时段内的数据为无效数据；样气或标准气体冲洗管路期间的数据为无效数据；若目标气检查不合格，且判断为因监测系统故障导致，则从上次目标气检查合格的结束时刻算起，到监测系统故障解决完成时间为止，该时段内的监测数据为无效数据；应标记受局地污染事件、人为与自然干扰情况等影响的监测数据，数据有效但不参与统计；对于缺失和判断为无效的数据均应注明原因，并保留原始记录；</w:t>
      </w:r>
      <w:r>
        <w:rPr>
          <w:rFonts w:ascii="Times New Roman" w:hAnsi="Times New Roman" w:eastAsia="宋体" w:cs="Times New Roman"/>
          <w:kern w:val="0"/>
          <w:szCs w:val="21"/>
          <w:highlight w:val="none"/>
        </w:rPr>
        <w:t>CO</w:t>
      </w:r>
      <w:r>
        <w:rPr>
          <w:rFonts w:ascii="Times New Roman" w:hAnsi="Times New Roman" w:eastAsia="宋体" w:cs="Times New Roman"/>
          <w:kern w:val="0"/>
          <w:szCs w:val="21"/>
          <w:highlight w:val="none"/>
          <w:vertAlign w:val="subscript"/>
        </w:rPr>
        <w:t>2</w:t>
      </w:r>
      <w:r>
        <w:rPr>
          <w:rFonts w:ascii="Times New Roman" w:hAnsi="Times New Roman" w:eastAsia="宋体" w:cs="Times New Roman"/>
          <w:kern w:val="0"/>
          <w:szCs w:val="20"/>
          <w:highlight w:val="none"/>
        </w:rPr>
        <w:t>浓度单位为ppm，保留2位小数位数，</w:t>
      </w:r>
      <w:r>
        <w:rPr>
          <w:rFonts w:ascii="Times New Roman" w:hAnsi="Times New Roman" w:eastAsia="宋体" w:cs="Times New Roman"/>
          <w:kern w:val="0"/>
          <w:szCs w:val="21"/>
          <w:highlight w:val="none"/>
        </w:rPr>
        <w:t>CH</w:t>
      </w:r>
      <w:r>
        <w:rPr>
          <w:rFonts w:ascii="Times New Roman" w:hAnsi="Times New Roman" w:eastAsia="宋体" w:cs="Times New Roman"/>
          <w:kern w:val="0"/>
          <w:szCs w:val="21"/>
          <w:highlight w:val="none"/>
          <w:vertAlign w:val="subscript"/>
        </w:rPr>
        <w:t>4</w:t>
      </w:r>
      <w:r>
        <w:rPr>
          <w:rFonts w:ascii="Times New Roman" w:hAnsi="Times New Roman" w:eastAsia="宋体" w:cs="Times New Roman"/>
          <w:kern w:val="0"/>
          <w:szCs w:val="20"/>
          <w:highlight w:val="none"/>
        </w:rPr>
        <w:t>浓度单位为ppb，保留1位小数位数。</w:t>
      </w:r>
    </w:p>
    <w:p w14:paraId="2A5E51CB">
      <w:pPr>
        <w:widowControl/>
        <w:ind w:firstLine="360"/>
        <w:jc w:val="center"/>
        <w:outlineLvl w:val="3"/>
        <w:rPr>
          <w:rFonts w:ascii="Times New Roman" w:hAnsi="Times New Roman" w:eastAsia="黑体" w:cs="Times New Roman"/>
          <w:kern w:val="0"/>
          <w:sz w:val="18"/>
          <w:szCs w:val="18"/>
          <w:highlight w:val="none"/>
        </w:rPr>
      </w:pPr>
      <w:r>
        <w:rPr>
          <w:rFonts w:ascii="Times New Roman" w:hAnsi="Times New Roman" w:eastAsia="黑体" w:cs="Times New Roman"/>
          <w:kern w:val="0"/>
          <w:sz w:val="18"/>
          <w:szCs w:val="18"/>
          <w:highlight w:val="none"/>
        </w:rPr>
        <w:t>表3数据单位和保留小数位要求</w:t>
      </w:r>
    </w:p>
    <w:tbl>
      <w:tblPr>
        <w:tblStyle w:val="6"/>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835"/>
        <w:gridCol w:w="2851"/>
        <w:gridCol w:w="2836"/>
      </w:tblGrid>
      <w:tr w14:paraId="76AB643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2835" w:type="dxa"/>
            <w:vAlign w:val="center"/>
          </w:tcPr>
          <w:p w14:paraId="7F74B115">
            <w:pPr>
              <w:ind w:firstLine="301"/>
              <w:jc w:val="center"/>
              <w:outlineLvl w:val="3"/>
              <w:rPr>
                <w:rFonts w:ascii="Times New Roman" w:hAnsi="Times New Roman" w:eastAsia="宋体" w:cs="Times New Roman"/>
                <w:b/>
                <w:sz w:val="15"/>
                <w:szCs w:val="15"/>
                <w:highlight w:val="none"/>
              </w:rPr>
            </w:pPr>
            <w:r>
              <w:rPr>
                <w:rFonts w:ascii="Times New Roman" w:hAnsi="Times New Roman" w:eastAsia="宋体" w:cs="Times New Roman"/>
                <w:b/>
                <w:sz w:val="15"/>
                <w:szCs w:val="15"/>
                <w:highlight w:val="none"/>
              </w:rPr>
              <w:t>监测项目</w:t>
            </w:r>
          </w:p>
        </w:tc>
        <w:tc>
          <w:tcPr>
            <w:tcW w:w="2851" w:type="dxa"/>
            <w:vAlign w:val="center"/>
          </w:tcPr>
          <w:p w14:paraId="3ABA78C0">
            <w:pPr>
              <w:ind w:firstLine="301"/>
              <w:jc w:val="center"/>
              <w:outlineLvl w:val="3"/>
              <w:rPr>
                <w:rFonts w:ascii="Times New Roman" w:hAnsi="Times New Roman" w:eastAsia="宋体" w:cs="Times New Roman"/>
                <w:b/>
                <w:sz w:val="15"/>
                <w:szCs w:val="15"/>
                <w:highlight w:val="none"/>
              </w:rPr>
            </w:pPr>
            <w:r>
              <w:rPr>
                <w:rFonts w:ascii="Times New Roman" w:hAnsi="Times New Roman" w:eastAsia="宋体" w:cs="Times New Roman"/>
                <w:b/>
                <w:sz w:val="15"/>
                <w:szCs w:val="15"/>
                <w:highlight w:val="none"/>
              </w:rPr>
              <w:t>单位</w:t>
            </w:r>
          </w:p>
        </w:tc>
        <w:tc>
          <w:tcPr>
            <w:tcW w:w="2836" w:type="dxa"/>
            <w:vAlign w:val="center"/>
          </w:tcPr>
          <w:p w14:paraId="1EB73CFC">
            <w:pPr>
              <w:ind w:firstLine="301"/>
              <w:jc w:val="center"/>
              <w:outlineLvl w:val="3"/>
              <w:rPr>
                <w:rFonts w:ascii="Times New Roman" w:hAnsi="Times New Roman" w:eastAsia="宋体" w:cs="Times New Roman"/>
                <w:b/>
                <w:sz w:val="15"/>
                <w:szCs w:val="15"/>
                <w:highlight w:val="none"/>
              </w:rPr>
            </w:pPr>
            <w:r>
              <w:rPr>
                <w:rFonts w:ascii="Times New Roman" w:hAnsi="Times New Roman" w:eastAsia="宋体" w:cs="Times New Roman"/>
                <w:b/>
                <w:sz w:val="15"/>
                <w:szCs w:val="15"/>
                <w:highlight w:val="none"/>
              </w:rPr>
              <w:t>保留小数位数</w:t>
            </w:r>
          </w:p>
        </w:tc>
      </w:tr>
      <w:tr w14:paraId="44788AF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2835" w:type="dxa"/>
            <w:vAlign w:val="center"/>
          </w:tcPr>
          <w:p w14:paraId="28307590">
            <w:pPr>
              <w:ind w:firstLine="300"/>
              <w:jc w:val="center"/>
              <w:outlineLvl w:val="3"/>
              <w:rPr>
                <w:rFonts w:ascii="Times New Roman" w:hAnsi="Times New Roman" w:eastAsia="宋体" w:cs="Times New Roman"/>
                <w:sz w:val="15"/>
                <w:szCs w:val="15"/>
                <w:highlight w:val="none"/>
              </w:rPr>
            </w:pPr>
            <w:r>
              <w:rPr>
                <w:rFonts w:ascii="Times New Roman" w:hAnsi="Times New Roman" w:eastAsia="宋体" w:cs="Times New Roman"/>
                <w:sz w:val="15"/>
                <w:szCs w:val="15"/>
                <w:highlight w:val="none"/>
              </w:rPr>
              <w:t>二氧化碳</w:t>
            </w:r>
          </w:p>
        </w:tc>
        <w:tc>
          <w:tcPr>
            <w:tcW w:w="2851" w:type="dxa"/>
            <w:vAlign w:val="center"/>
          </w:tcPr>
          <w:p w14:paraId="661AD839">
            <w:pPr>
              <w:ind w:firstLine="300"/>
              <w:jc w:val="center"/>
              <w:outlineLvl w:val="3"/>
              <w:rPr>
                <w:rFonts w:ascii="Times New Roman" w:hAnsi="Times New Roman" w:eastAsia="宋体" w:cs="Times New Roman"/>
                <w:sz w:val="15"/>
                <w:szCs w:val="15"/>
                <w:highlight w:val="none"/>
              </w:rPr>
            </w:pPr>
            <w:r>
              <w:rPr>
                <w:rFonts w:ascii="Times New Roman" w:hAnsi="Times New Roman" w:eastAsia="宋体" w:cs="Times New Roman"/>
                <w:sz w:val="15"/>
                <w:szCs w:val="15"/>
                <w:highlight w:val="none"/>
              </w:rPr>
              <w:t>ppm</w:t>
            </w:r>
          </w:p>
        </w:tc>
        <w:tc>
          <w:tcPr>
            <w:tcW w:w="2836" w:type="dxa"/>
            <w:vAlign w:val="center"/>
          </w:tcPr>
          <w:p w14:paraId="2EE5E46A">
            <w:pPr>
              <w:ind w:firstLine="300"/>
              <w:jc w:val="center"/>
              <w:outlineLvl w:val="3"/>
              <w:rPr>
                <w:rFonts w:ascii="Times New Roman" w:hAnsi="Times New Roman" w:eastAsia="宋体" w:cs="Times New Roman"/>
                <w:sz w:val="15"/>
                <w:szCs w:val="15"/>
                <w:highlight w:val="none"/>
              </w:rPr>
            </w:pPr>
            <w:r>
              <w:rPr>
                <w:rFonts w:ascii="Times New Roman" w:hAnsi="Times New Roman" w:eastAsia="宋体" w:cs="Times New Roman"/>
                <w:sz w:val="15"/>
                <w:szCs w:val="15"/>
                <w:highlight w:val="none"/>
              </w:rPr>
              <w:t>2</w:t>
            </w:r>
          </w:p>
        </w:tc>
      </w:tr>
      <w:tr w14:paraId="3B3963C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2835" w:type="dxa"/>
            <w:vAlign w:val="center"/>
          </w:tcPr>
          <w:p w14:paraId="5F778150">
            <w:pPr>
              <w:ind w:firstLine="300"/>
              <w:jc w:val="center"/>
              <w:outlineLvl w:val="3"/>
              <w:rPr>
                <w:rFonts w:ascii="Times New Roman" w:hAnsi="Times New Roman" w:eastAsia="宋体" w:cs="Times New Roman"/>
                <w:sz w:val="15"/>
                <w:szCs w:val="15"/>
                <w:highlight w:val="none"/>
              </w:rPr>
            </w:pPr>
            <w:r>
              <w:rPr>
                <w:rFonts w:ascii="Times New Roman" w:hAnsi="Times New Roman" w:eastAsia="宋体" w:cs="Times New Roman"/>
                <w:sz w:val="15"/>
                <w:szCs w:val="15"/>
                <w:highlight w:val="none"/>
              </w:rPr>
              <w:t>甲烷</w:t>
            </w:r>
          </w:p>
        </w:tc>
        <w:tc>
          <w:tcPr>
            <w:tcW w:w="2851" w:type="dxa"/>
            <w:vAlign w:val="center"/>
          </w:tcPr>
          <w:p w14:paraId="06A8CFA1">
            <w:pPr>
              <w:ind w:firstLine="300"/>
              <w:jc w:val="center"/>
              <w:outlineLvl w:val="3"/>
              <w:rPr>
                <w:rFonts w:ascii="Times New Roman" w:hAnsi="Times New Roman" w:eastAsia="宋体" w:cs="Times New Roman"/>
                <w:sz w:val="15"/>
                <w:szCs w:val="15"/>
                <w:highlight w:val="none"/>
              </w:rPr>
            </w:pPr>
            <w:r>
              <w:rPr>
                <w:rFonts w:ascii="Times New Roman" w:hAnsi="Times New Roman" w:eastAsia="宋体" w:cs="Times New Roman"/>
                <w:sz w:val="15"/>
                <w:szCs w:val="15"/>
                <w:highlight w:val="none"/>
              </w:rPr>
              <w:t>ppb</w:t>
            </w:r>
          </w:p>
        </w:tc>
        <w:tc>
          <w:tcPr>
            <w:tcW w:w="2836" w:type="dxa"/>
            <w:vAlign w:val="center"/>
          </w:tcPr>
          <w:p w14:paraId="153206BE">
            <w:pPr>
              <w:ind w:firstLine="300"/>
              <w:jc w:val="center"/>
              <w:outlineLvl w:val="3"/>
              <w:rPr>
                <w:rFonts w:ascii="Times New Roman" w:hAnsi="Times New Roman" w:eastAsia="宋体" w:cs="Times New Roman"/>
                <w:sz w:val="15"/>
                <w:szCs w:val="15"/>
                <w:highlight w:val="none"/>
              </w:rPr>
            </w:pPr>
            <w:r>
              <w:rPr>
                <w:rFonts w:ascii="Times New Roman" w:hAnsi="Times New Roman" w:eastAsia="宋体" w:cs="Times New Roman"/>
                <w:sz w:val="15"/>
                <w:szCs w:val="15"/>
                <w:highlight w:val="none"/>
              </w:rPr>
              <w:t>1</w:t>
            </w:r>
          </w:p>
        </w:tc>
      </w:tr>
      <w:bookmarkEnd w:id="52"/>
    </w:tbl>
    <w:p w14:paraId="647325FA">
      <w:pPr>
        <w:pStyle w:val="10"/>
        <w:rPr>
          <w:rFonts w:ascii="Times New Roman"/>
          <w:highlight w:val="none"/>
        </w:rPr>
      </w:pPr>
      <w:bookmarkStart w:id="100" w:name="_Toc458"/>
      <w:bookmarkStart w:id="101" w:name="_Toc470274554"/>
      <w:bookmarkStart w:id="102" w:name="_Toc7487"/>
      <w:r>
        <w:rPr>
          <w:rFonts w:ascii="Times New Roman"/>
          <w:highlight w:val="none"/>
        </w:rPr>
        <w:t>其它实验（或验证）情况分析</w:t>
      </w:r>
      <w:bookmarkEnd w:id="100"/>
      <w:bookmarkEnd w:id="101"/>
      <w:bookmarkEnd w:id="102"/>
      <w:r>
        <w:rPr>
          <w:rFonts w:ascii="Times New Roman"/>
          <w:highlight w:val="none"/>
        </w:rPr>
        <w:t>（完善本标准所使用方法的方法验证</w:t>
      </w:r>
      <w:r>
        <w:rPr>
          <w:rFonts w:hint="eastAsia" w:ascii="Times New Roman"/>
          <w:highlight w:val="none"/>
        </w:rPr>
        <w:t>或</w:t>
      </w:r>
      <w:r>
        <w:rPr>
          <w:rFonts w:ascii="Times New Roman"/>
          <w:highlight w:val="none"/>
        </w:rPr>
        <w:t>比对实验资料）</w:t>
      </w:r>
    </w:p>
    <w:p w14:paraId="6A6F207B">
      <w:pPr>
        <w:numPr>
          <w:ilvl w:val="1"/>
          <w:numId w:val="1"/>
        </w:numPr>
        <w:tabs>
          <w:tab w:val="center" w:pos="4201"/>
          <w:tab w:val="right" w:leader="dot" w:pos="9298"/>
        </w:tabs>
        <w:spacing w:before="156" w:beforeLines="50" w:after="156" w:afterLines="50"/>
        <w:ind w:firstLine="420"/>
        <w:outlineLvl w:val="2"/>
        <w:rPr>
          <w:rFonts w:ascii="Times New Roman" w:hAnsi="Times New Roman" w:eastAsia="黑体" w:cs="Times New Roman"/>
          <w:szCs w:val="21"/>
          <w:highlight w:val="none"/>
        </w:rPr>
      </w:pPr>
      <w:bookmarkStart w:id="103" w:name="_Toc2076"/>
      <w:bookmarkStart w:id="104" w:name="_Toc10464"/>
      <w:r>
        <w:rPr>
          <w:rFonts w:ascii="Times New Roman" w:hAnsi="Times New Roman" w:eastAsia="黑体" w:cs="Times New Roman"/>
          <w:szCs w:val="21"/>
          <w:highlight w:val="none"/>
        </w:rPr>
        <w:t>精密度测试</w:t>
      </w:r>
    </w:p>
    <w:p w14:paraId="443E0DFD">
      <w:pPr>
        <w:numPr>
          <w:ilvl w:val="2"/>
          <w:numId w:val="1"/>
        </w:numPr>
        <w:ind w:left="0" w:firstLine="420"/>
        <w:rPr>
          <w:rFonts w:ascii="Times New Roman" w:hAnsi="Times New Roman" w:eastAsia="黑体_x0005_.." w:cs="Times New Roman"/>
          <w:szCs w:val="24"/>
          <w:highlight w:val="none"/>
        </w:rPr>
      </w:pPr>
      <w:r>
        <w:rPr>
          <w:rFonts w:ascii="Times New Roman" w:hAnsi="Times New Roman" w:eastAsia="黑体_x0005_.." w:cs="Times New Roman"/>
          <w:szCs w:val="24"/>
          <w:highlight w:val="none"/>
        </w:rPr>
        <w:t>测试方法和技术要求</w:t>
      </w:r>
    </w:p>
    <w:p w14:paraId="1BAB6DB1">
      <w:pPr>
        <w:pStyle w:val="11"/>
        <w:rPr>
          <w:highlight w:val="none"/>
        </w:rPr>
      </w:pPr>
      <w:r>
        <w:rPr>
          <w:highlight w:val="none"/>
        </w:rPr>
        <w:t>向监测系统通入某一浓度的标气（建议每次通气15分钟，取后5分钟原始监测数据参与计算），标气浓度在所监测地区被测气体全年小时浓度范围的50百分位浓度附近，每次等待仪器读数稳定后记录仪器示值，根据仪器示值的相对标准偏差，来确定仪器的精密度。在精密度测试之前不能改动监测仪器的任何设置参数。相对标准偏差应满足：CH</w:t>
      </w:r>
      <w:r>
        <w:rPr>
          <w:highlight w:val="none"/>
          <w:vertAlign w:val="subscript"/>
        </w:rPr>
        <w:t>4</w:t>
      </w:r>
      <w:r>
        <w:rPr>
          <w:rFonts w:hint="eastAsia" w:asciiTheme="majorEastAsia" w:hAnsiTheme="majorEastAsia" w:eastAsiaTheme="majorEastAsia" w:cstheme="majorEastAsia"/>
          <w:highlight w:val="none"/>
        </w:rPr>
        <w:t>≤</w:t>
      </w:r>
      <w:r>
        <w:rPr>
          <w:highlight w:val="none"/>
        </w:rPr>
        <w:t>0.05%；CO</w:t>
      </w:r>
      <w:r>
        <w:rPr>
          <w:highlight w:val="none"/>
          <w:vertAlign w:val="subscript"/>
        </w:rPr>
        <w:t>2</w:t>
      </w:r>
      <w:r>
        <w:rPr>
          <w:rFonts w:hint="eastAsia" w:asciiTheme="majorEastAsia" w:hAnsiTheme="majorEastAsia" w:eastAsiaTheme="majorEastAsia" w:cstheme="majorEastAsia"/>
          <w:highlight w:val="none"/>
        </w:rPr>
        <w:t>≤</w:t>
      </w:r>
      <w:r>
        <w:rPr>
          <w:highlight w:val="none"/>
        </w:rPr>
        <w:t>0.05%。</w:t>
      </w:r>
    </w:p>
    <w:p w14:paraId="1A9BDD6B">
      <w:pPr>
        <w:numPr>
          <w:ilvl w:val="2"/>
          <w:numId w:val="1"/>
        </w:numPr>
        <w:ind w:left="0" w:firstLine="420"/>
        <w:rPr>
          <w:rFonts w:ascii="Times New Roman" w:hAnsi="Times New Roman" w:eastAsia="黑体_x0005_.." w:cs="Times New Roman"/>
          <w:szCs w:val="24"/>
          <w:highlight w:val="none"/>
        </w:rPr>
      </w:pPr>
      <w:r>
        <w:rPr>
          <w:rFonts w:ascii="Times New Roman" w:hAnsi="Times New Roman" w:eastAsia="黑体_x0005_.." w:cs="Times New Roman"/>
          <w:szCs w:val="24"/>
          <w:highlight w:val="none"/>
        </w:rPr>
        <w:t>测试结果</w:t>
      </w:r>
    </w:p>
    <w:p w14:paraId="0EFF3521">
      <w:pPr>
        <w:pStyle w:val="11"/>
        <w:rPr>
          <w:highlight w:val="none"/>
        </w:rPr>
      </w:pPr>
      <w:r>
        <w:rPr>
          <w:highlight w:val="none"/>
        </w:rPr>
        <w:t>根据上述方法和技术要求对</w:t>
      </w:r>
      <w:r>
        <w:rPr>
          <w:rStyle w:val="15"/>
          <w:rFonts w:hint="default" w:ascii="Times New Roman" w:hAnsi="Times New Roman"/>
          <w:color w:val="auto"/>
          <w:sz w:val="21"/>
          <w:szCs w:val="21"/>
          <w:highlight w:val="none"/>
        </w:rPr>
        <w:t>QCL</w:t>
      </w:r>
      <w:r>
        <w:rPr>
          <w:highlight w:val="none"/>
        </w:rPr>
        <w:t>PAS</w:t>
      </w:r>
      <w:r>
        <w:rPr>
          <w:rFonts w:hint="eastAsia" w:hAnsi="宋体"/>
          <w:highlight w:val="none"/>
        </w:rPr>
        <w:t>气体监测方法</w:t>
      </w:r>
      <w:r>
        <w:rPr>
          <w:highlight w:val="none"/>
        </w:rPr>
        <w:t>进行CH</w:t>
      </w:r>
      <w:r>
        <w:rPr>
          <w:highlight w:val="none"/>
          <w:vertAlign w:val="subscript"/>
        </w:rPr>
        <w:t>4</w:t>
      </w:r>
      <w:r>
        <w:rPr>
          <w:highlight w:val="none"/>
        </w:rPr>
        <w:t>、CO</w:t>
      </w:r>
      <w:r>
        <w:rPr>
          <w:highlight w:val="none"/>
          <w:vertAlign w:val="subscript"/>
        </w:rPr>
        <w:t>2</w:t>
      </w:r>
      <w:r>
        <w:rPr>
          <w:highlight w:val="none"/>
        </w:rPr>
        <w:t>气体的精密度测试，分别通入CH</w:t>
      </w:r>
      <w:r>
        <w:rPr>
          <w:highlight w:val="none"/>
          <w:vertAlign w:val="subscript"/>
        </w:rPr>
        <w:t>4</w:t>
      </w:r>
      <w:r>
        <w:rPr>
          <w:highlight w:val="none"/>
        </w:rPr>
        <w:t>浓度2为409.8 ppb、CO</w:t>
      </w:r>
      <w:r>
        <w:rPr>
          <w:highlight w:val="none"/>
          <w:vertAlign w:val="subscript"/>
        </w:rPr>
        <w:t>2</w:t>
      </w:r>
      <w:r>
        <w:rPr>
          <w:highlight w:val="none"/>
        </w:rPr>
        <w:t>浓度为449.96 ppm的标气，待</w:t>
      </w:r>
      <w:r>
        <w:rPr>
          <w:rFonts w:hint="eastAsia"/>
          <w:highlight w:val="none"/>
        </w:rPr>
        <w:t>气体监测系统</w:t>
      </w:r>
      <w:r>
        <w:rPr>
          <w:highlight w:val="none"/>
        </w:rPr>
        <w:t>示值稳定后取后5分钟原始监测数据参与计算，求每5分钟均值的相对标准偏差。结果见下图，根据上述8.1.1中的标准进行评价（见下表），三种气体的精密度均符合标准偏差要求</w:t>
      </w:r>
      <w:r>
        <w:rPr>
          <w:rFonts w:hint="eastAsia"/>
          <w:highlight w:val="none"/>
        </w:rPr>
        <w:t>。</w:t>
      </w:r>
    </w:p>
    <w:p w14:paraId="1E313DAC">
      <w:pPr>
        <w:widowControl/>
        <w:jc w:val="center"/>
        <w:outlineLvl w:val="3"/>
        <w:rPr>
          <w:rFonts w:ascii="Times New Roman" w:hAnsi="Times New Roman" w:eastAsia="黑体" w:cs="Times New Roman"/>
          <w:kern w:val="0"/>
          <w:sz w:val="18"/>
          <w:szCs w:val="18"/>
          <w:highlight w:val="none"/>
        </w:rPr>
      </w:pPr>
      <w:r>
        <w:rPr>
          <w:rFonts w:ascii="Times New Roman" w:hAnsi="Times New Roman" w:eastAsia="黑体_x0005_.." w:cs="Times New Roman"/>
          <w:szCs w:val="24"/>
          <w:highlight w:val="none"/>
        </w:rPr>
        <w:drawing>
          <wp:inline distT="0" distB="0" distL="0" distR="0">
            <wp:extent cx="4961255" cy="1700530"/>
            <wp:effectExtent l="0" t="0" r="1270" b="4445"/>
            <wp:docPr id="1680382511" name="图片 2" descr="图表, 折线图&#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0382511" name="图片 2" descr="图表, 折线图&#10;&#10;描述已自动生成"/>
                    <pic:cNvPicPr>
                      <a:picLocks noChangeAspect="1" noChangeArrowheads="1"/>
                    </pic:cNvPicPr>
                  </pic:nvPicPr>
                  <pic:blipFill>
                    <a:blip r:embed="rId13">
                      <a:extLst>
                        <a:ext uri="{28A0092B-C50C-407E-A947-70E740481C1C}">
                          <a14:useLocalDpi xmlns:a14="http://schemas.microsoft.com/office/drawing/2010/main" val="0"/>
                        </a:ext>
                      </a:extLst>
                    </a:blip>
                    <a:srcRect b="67952"/>
                    <a:stretch>
                      <a:fillRect/>
                    </a:stretch>
                  </pic:blipFill>
                  <pic:spPr>
                    <a:xfrm>
                      <a:off x="0" y="0"/>
                      <a:ext cx="4980737" cy="1700530"/>
                    </a:xfrm>
                    <a:prstGeom prst="rect">
                      <a:avLst/>
                    </a:prstGeom>
                    <a:noFill/>
                    <a:ln>
                      <a:noFill/>
                    </a:ln>
                  </pic:spPr>
                </pic:pic>
              </a:graphicData>
            </a:graphic>
          </wp:inline>
        </w:drawing>
      </w:r>
    </w:p>
    <w:p w14:paraId="7A3D4E47">
      <w:pPr>
        <w:widowControl/>
        <w:jc w:val="center"/>
        <w:outlineLvl w:val="3"/>
        <w:rPr>
          <w:rFonts w:ascii="Times New Roman" w:hAnsi="Times New Roman" w:eastAsia="黑体" w:cs="Times New Roman"/>
          <w:kern w:val="0"/>
          <w:sz w:val="18"/>
          <w:szCs w:val="18"/>
          <w:highlight w:val="none"/>
        </w:rPr>
      </w:pPr>
      <w:r>
        <w:rPr>
          <w:rFonts w:ascii="Times New Roman" w:hAnsi="Times New Roman" w:eastAsia="黑体_x0005_.." w:cs="Times New Roman"/>
          <w:szCs w:val="24"/>
          <w:highlight w:val="none"/>
        </w:rPr>
        <w:drawing>
          <wp:inline distT="0" distB="0" distL="0" distR="0">
            <wp:extent cx="5001260" cy="1583690"/>
            <wp:effectExtent l="0" t="0" r="8890" b="6985"/>
            <wp:docPr id="551142036" name="图片 2" descr="图表, 折线图&#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1142036" name="图片 2" descr="图表, 折线图&#10;&#10;描述已自动生成"/>
                    <pic:cNvPicPr>
                      <a:picLocks noChangeAspect="1" noChangeArrowheads="1"/>
                    </pic:cNvPicPr>
                  </pic:nvPicPr>
                  <pic:blipFill>
                    <a:blip r:embed="rId13">
                      <a:extLst>
                        <a:ext uri="{28A0092B-C50C-407E-A947-70E740481C1C}">
                          <a14:useLocalDpi xmlns:a14="http://schemas.microsoft.com/office/drawing/2010/main" val="0"/>
                        </a:ext>
                      </a:extLst>
                    </a:blip>
                    <a:srcRect t="33650" b="34892"/>
                    <a:stretch>
                      <a:fillRect/>
                    </a:stretch>
                  </pic:blipFill>
                  <pic:spPr>
                    <a:xfrm>
                      <a:off x="0" y="0"/>
                      <a:ext cx="5032085" cy="1583690"/>
                    </a:xfrm>
                    <a:prstGeom prst="rect">
                      <a:avLst/>
                    </a:prstGeom>
                    <a:noFill/>
                    <a:ln>
                      <a:noFill/>
                    </a:ln>
                  </pic:spPr>
                </pic:pic>
              </a:graphicData>
            </a:graphic>
          </wp:inline>
        </w:drawing>
      </w:r>
    </w:p>
    <w:p w14:paraId="1CF0EA90">
      <w:pPr>
        <w:widowControl/>
        <w:ind w:firstLine="360"/>
        <w:jc w:val="center"/>
        <w:outlineLvl w:val="3"/>
        <w:rPr>
          <w:rFonts w:ascii="Times New Roman" w:hAnsi="Times New Roman" w:eastAsia="黑体" w:cs="Times New Roman"/>
          <w:kern w:val="0"/>
          <w:sz w:val="18"/>
          <w:szCs w:val="18"/>
          <w:highlight w:val="none"/>
        </w:rPr>
      </w:pPr>
      <w:r>
        <w:rPr>
          <w:rFonts w:ascii="Times New Roman" w:hAnsi="Times New Roman" w:eastAsia="黑体" w:cs="Times New Roman"/>
          <w:kern w:val="0"/>
          <w:sz w:val="18"/>
          <w:szCs w:val="18"/>
          <w:highlight w:val="none"/>
        </w:rPr>
        <w:t>图4  CH</w:t>
      </w:r>
      <w:r>
        <w:rPr>
          <w:rFonts w:ascii="Times New Roman" w:hAnsi="Times New Roman" w:eastAsia="黑体" w:cs="Times New Roman"/>
          <w:kern w:val="0"/>
          <w:sz w:val="18"/>
          <w:szCs w:val="18"/>
          <w:highlight w:val="none"/>
          <w:vertAlign w:val="subscript"/>
        </w:rPr>
        <w:t>4</w:t>
      </w:r>
      <w:r>
        <w:rPr>
          <w:rFonts w:ascii="Times New Roman" w:hAnsi="Times New Roman" w:eastAsia="黑体" w:cs="Times New Roman"/>
          <w:kern w:val="0"/>
          <w:sz w:val="18"/>
          <w:szCs w:val="18"/>
          <w:highlight w:val="none"/>
        </w:rPr>
        <w:t>、CO</w:t>
      </w:r>
      <w:r>
        <w:rPr>
          <w:rFonts w:ascii="Times New Roman" w:hAnsi="Times New Roman" w:eastAsia="黑体" w:cs="Times New Roman"/>
          <w:kern w:val="0"/>
          <w:sz w:val="18"/>
          <w:szCs w:val="18"/>
          <w:highlight w:val="none"/>
          <w:vertAlign w:val="subscript"/>
        </w:rPr>
        <w:t>2</w:t>
      </w:r>
      <w:r>
        <w:rPr>
          <w:rFonts w:ascii="Times New Roman" w:hAnsi="Times New Roman" w:eastAsia="黑体" w:cs="Times New Roman"/>
          <w:kern w:val="0"/>
          <w:sz w:val="18"/>
          <w:szCs w:val="18"/>
          <w:highlight w:val="none"/>
        </w:rPr>
        <w:t>气体的精密度测试结果图</w:t>
      </w:r>
    </w:p>
    <w:p w14:paraId="45ED4A3A">
      <w:pPr>
        <w:widowControl/>
        <w:spacing w:before="156" w:beforeLines="50"/>
        <w:ind w:firstLine="357"/>
        <w:jc w:val="center"/>
        <w:outlineLvl w:val="3"/>
        <w:rPr>
          <w:rFonts w:ascii="Times New Roman" w:hAnsi="Times New Roman" w:eastAsia="黑体" w:cs="Times New Roman"/>
          <w:kern w:val="0"/>
          <w:sz w:val="18"/>
          <w:szCs w:val="18"/>
          <w:highlight w:val="none"/>
        </w:rPr>
      </w:pPr>
    </w:p>
    <w:p w14:paraId="0EB3AAE0">
      <w:pPr>
        <w:widowControl/>
        <w:spacing w:before="156" w:beforeLines="50"/>
        <w:ind w:firstLine="357"/>
        <w:jc w:val="center"/>
        <w:outlineLvl w:val="3"/>
        <w:rPr>
          <w:rFonts w:ascii="Times New Roman" w:hAnsi="Times New Roman" w:eastAsia="黑体" w:cs="Times New Roman"/>
          <w:kern w:val="0"/>
          <w:sz w:val="18"/>
          <w:szCs w:val="18"/>
          <w:highlight w:val="none"/>
        </w:rPr>
      </w:pPr>
      <w:r>
        <w:rPr>
          <w:rFonts w:ascii="Times New Roman" w:hAnsi="Times New Roman" w:eastAsia="黑体" w:cs="Times New Roman"/>
          <w:kern w:val="0"/>
          <w:sz w:val="18"/>
          <w:szCs w:val="18"/>
          <w:highlight w:val="none"/>
        </w:rPr>
        <w:t>表4 精密度测试结果统计表</w:t>
      </w:r>
    </w:p>
    <w:p w14:paraId="1DAF04FB">
      <w:pPr>
        <w:widowControl/>
        <w:ind w:firstLine="360"/>
        <w:jc w:val="center"/>
        <w:outlineLvl w:val="3"/>
        <w:rPr>
          <w:rFonts w:ascii="Times New Roman" w:hAnsi="Times New Roman" w:eastAsia="黑体" w:cs="Times New Roman"/>
          <w:kern w:val="0"/>
          <w:sz w:val="18"/>
          <w:szCs w:val="18"/>
          <w:highlight w:val="none"/>
        </w:rPr>
      </w:pPr>
      <w:r>
        <w:rPr>
          <w:rFonts w:ascii="Times New Roman" w:hAnsi="Times New Roman" w:eastAsia="黑体" w:cs="Times New Roman"/>
          <w:kern w:val="0"/>
          <w:sz w:val="18"/>
          <w:szCs w:val="18"/>
          <w:highlight w:val="none"/>
        </w:rPr>
        <w:drawing>
          <wp:inline distT="0" distB="0" distL="0" distR="0">
            <wp:extent cx="2576830" cy="1196340"/>
            <wp:effectExtent l="0" t="0" r="4445" b="3810"/>
            <wp:docPr id="1748875516" name="图片 3" descr="表格&#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8875516" name="图片 3" descr="表格&#10;&#10;描述已自动生成"/>
                    <pic:cNvPicPr>
                      <a:picLocks noChangeAspect="1" noChangeArrowheads="1"/>
                    </pic:cNvPicPr>
                  </pic:nvPicPr>
                  <pic:blipFill>
                    <a:blip r:embed="rId14">
                      <a:extLst>
                        <a:ext uri="{28A0092B-C50C-407E-A947-70E740481C1C}">
                          <a14:useLocalDpi xmlns:a14="http://schemas.microsoft.com/office/drawing/2010/main" val="0"/>
                        </a:ext>
                      </a:extLst>
                    </a:blip>
                    <a:srcRect b="34057"/>
                    <a:stretch>
                      <a:fillRect/>
                    </a:stretch>
                  </pic:blipFill>
                  <pic:spPr>
                    <a:xfrm>
                      <a:off x="0" y="0"/>
                      <a:ext cx="2576830" cy="1196340"/>
                    </a:xfrm>
                    <a:prstGeom prst="rect">
                      <a:avLst/>
                    </a:prstGeom>
                    <a:noFill/>
                    <a:ln>
                      <a:noFill/>
                    </a:ln>
                  </pic:spPr>
                </pic:pic>
              </a:graphicData>
            </a:graphic>
          </wp:inline>
        </w:drawing>
      </w:r>
    </w:p>
    <w:p w14:paraId="5E5ECE19">
      <w:pPr>
        <w:numPr>
          <w:ilvl w:val="1"/>
          <w:numId w:val="1"/>
        </w:numPr>
        <w:tabs>
          <w:tab w:val="center" w:pos="4201"/>
          <w:tab w:val="right" w:leader="dot" w:pos="9298"/>
        </w:tabs>
        <w:spacing w:before="156" w:beforeLines="50" w:after="156" w:afterLines="50"/>
        <w:ind w:firstLine="420"/>
        <w:outlineLvl w:val="2"/>
        <w:rPr>
          <w:rFonts w:ascii="Times New Roman" w:hAnsi="Times New Roman" w:eastAsia="黑体" w:cs="Times New Roman"/>
          <w:szCs w:val="21"/>
          <w:highlight w:val="none"/>
        </w:rPr>
      </w:pPr>
      <w:r>
        <w:rPr>
          <w:rFonts w:ascii="Times New Roman" w:hAnsi="Times New Roman" w:eastAsia="黑体" w:cs="Times New Roman"/>
          <w:szCs w:val="21"/>
          <w:highlight w:val="none"/>
        </w:rPr>
        <w:t>正确度测试</w:t>
      </w:r>
    </w:p>
    <w:p w14:paraId="761588C5">
      <w:pPr>
        <w:numPr>
          <w:ilvl w:val="2"/>
          <w:numId w:val="1"/>
        </w:numPr>
        <w:ind w:left="0" w:firstLine="420"/>
        <w:rPr>
          <w:rFonts w:ascii="Times New Roman" w:hAnsi="Times New Roman" w:eastAsia="黑体" w:cs="Times New Roman"/>
          <w:szCs w:val="21"/>
          <w:highlight w:val="none"/>
        </w:rPr>
      </w:pPr>
      <w:r>
        <w:rPr>
          <w:rFonts w:ascii="Times New Roman" w:hAnsi="Times New Roman" w:eastAsia="黑体_x0005_.." w:cs="Times New Roman"/>
          <w:szCs w:val="24"/>
          <w:highlight w:val="none"/>
        </w:rPr>
        <w:t>测试方法和技术要求</w:t>
      </w:r>
    </w:p>
    <w:p w14:paraId="332CD8CA">
      <w:pPr>
        <w:widowControl/>
        <w:ind w:firstLine="420" w:firstLineChars="200"/>
        <w:jc w:val="left"/>
        <w:rPr>
          <w:rFonts w:ascii="Times New Roman" w:hAnsi="Times New Roman" w:cs="Times New Roman"/>
          <w:szCs w:val="21"/>
          <w:highlight w:val="none"/>
        </w:rPr>
      </w:pPr>
      <w:r>
        <w:rPr>
          <w:rFonts w:ascii="Times New Roman" w:hAnsi="Times New Roman" w:eastAsia="宋体" w:cs="Times New Roman"/>
          <w:kern w:val="0"/>
          <w:szCs w:val="21"/>
          <w:highlight w:val="none"/>
          <w:lang w:bidi="ar"/>
        </w:rPr>
        <w:t>通过多通道阀箱依次通入低浓度、中浓度、高浓度审核标气，</w:t>
      </w:r>
      <w:r>
        <w:rPr>
          <w:rFonts w:ascii="Times New Roman" w:hAnsi="Times New Roman" w:cs="Times New Roman"/>
          <w:highlight w:val="none"/>
        </w:rPr>
        <w:t>CH</w:t>
      </w:r>
      <w:r>
        <w:rPr>
          <w:rFonts w:ascii="Times New Roman" w:hAnsi="Times New Roman" w:cs="Times New Roman"/>
          <w:highlight w:val="none"/>
          <w:vertAlign w:val="subscript"/>
        </w:rPr>
        <w:t>4</w:t>
      </w:r>
      <w:r>
        <w:rPr>
          <w:rFonts w:ascii="Times New Roman" w:hAnsi="Times New Roman" w:cs="Times New Roman"/>
          <w:highlight w:val="none"/>
        </w:rPr>
        <w:t>标气浓度分别为</w:t>
      </w:r>
      <w:r>
        <w:rPr>
          <w:rFonts w:ascii="Times New Roman" w:hAnsi="Times New Roman" w:eastAsia="宋体" w:cs="Times New Roman"/>
          <w:kern w:val="0"/>
          <w:szCs w:val="21"/>
          <w:highlight w:val="none"/>
          <w:lang w:bidi="ar"/>
        </w:rPr>
        <w:t>1801.0 ppb、2409.8 ppb、3107.4 ppb，</w:t>
      </w:r>
      <w:r>
        <w:rPr>
          <w:rFonts w:ascii="Times New Roman" w:hAnsi="Times New Roman" w:cs="Times New Roman"/>
          <w:highlight w:val="none"/>
        </w:rPr>
        <w:t>CO</w:t>
      </w:r>
      <w:r>
        <w:rPr>
          <w:rFonts w:ascii="Times New Roman" w:hAnsi="Times New Roman" w:cs="Times New Roman"/>
          <w:highlight w:val="none"/>
          <w:vertAlign w:val="subscript"/>
        </w:rPr>
        <w:t>2</w:t>
      </w:r>
      <w:r>
        <w:rPr>
          <w:rFonts w:ascii="Times New Roman" w:hAnsi="Times New Roman" w:cs="Times New Roman"/>
          <w:highlight w:val="none"/>
        </w:rPr>
        <w:t>标气浓度分别为</w:t>
      </w:r>
      <w:r>
        <w:rPr>
          <w:rFonts w:ascii="Times New Roman" w:hAnsi="Times New Roman" w:eastAsia="宋体" w:cs="Times New Roman"/>
          <w:kern w:val="0"/>
          <w:szCs w:val="21"/>
          <w:highlight w:val="none"/>
          <w:lang w:bidi="ar"/>
        </w:rPr>
        <w:t>381.05 ppm、449.96 ppm、518.57 ppm。每次通气15分钟，待仪器示数稳定后继续测量5分钟，取此5分钟数据均值作为每瓶标气的测量结果。</w:t>
      </w:r>
      <w:r>
        <w:rPr>
          <w:rFonts w:ascii="Times New Roman" w:hAnsi="Times New Roman" w:cs="Times New Roman"/>
          <w:highlight w:val="none"/>
        </w:rPr>
        <w:t>将审核标气的仪器响应浓度值（Xi）与标气标称浓度值（Yi）进行线性相关分析，用最小二乘法绘制仪器的多点校准曲线；将工作气仪器响应值代入校准曲线的拟合方程，计算出工作气的差值，用相关系数和站点工作气相关差值对仪器正确度进行评价。CH</w:t>
      </w:r>
      <w:r>
        <w:rPr>
          <w:rFonts w:ascii="Times New Roman" w:hAnsi="Times New Roman" w:cs="Times New Roman"/>
          <w:highlight w:val="none"/>
          <w:vertAlign w:val="subscript"/>
        </w:rPr>
        <w:t>4</w:t>
      </w:r>
      <w:r>
        <w:rPr>
          <w:rFonts w:ascii="Times New Roman" w:hAnsi="Times New Roman" w:cs="Times New Roman"/>
          <w:highlight w:val="none"/>
        </w:rPr>
        <w:t>工作气浓度为</w:t>
      </w:r>
      <w:r>
        <w:rPr>
          <w:rFonts w:ascii="Times New Roman" w:hAnsi="Times New Roman" w:eastAsia="宋体" w:cs="Times New Roman"/>
          <w:kern w:val="0"/>
          <w:szCs w:val="21"/>
          <w:highlight w:val="none"/>
          <w:lang w:bidi="ar"/>
        </w:rPr>
        <w:t>2007.6 ppb，</w:t>
      </w:r>
      <w:r>
        <w:rPr>
          <w:rFonts w:ascii="Times New Roman" w:hAnsi="Times New Roman" w:cs="Times New Roman"/>
          <w:highlight w:val="none"/>
        </w:rPr>
        <w:t>CO</w:t>
      </w:r>
      <w:r>
        <w:rPr>
          <w:rFonts w:ascii="Times New Roman" w:hAnsi="Times New Roman" w:cs="Times New Roman"/>
          <w:highlight w:val="none"/>
          <w:vertAlign w:val="subscript"/>
        </w:rPr>
        <w:t>2</w:t>
      </w:r>
      <w:r>
        <w:rPr>
          <w:rFonts w:ascii="Times New Roman" w:hAnsi="Times New Roman" w:cs="Times New Roman"/>
          <w:highlight w:val="none"/>
        </w:rPr>
        <w:t>工作气浓度为</w:t>
      </w:r>
      <w:r>
        <w:rPr>
          <w:rFonts w:ascii="Times New Roman" w:hAnsi="Times New Roman" w:eastAsia="宋体" w:cs="Times New Roman"/>
          <w:kern w:val="0"/>
          <w:szCs w:val="21"/>
          <w:highlight w:val="none"/>
          <w:lang w:bidi="ar"/>
        </w:rPr>
        <w:t xml:space="preserve">400.93 ppm。计算标气标称浓度对仪器测量结果的最小二乘法拟合的校准曲线相关系数和工作气差值（拟合结果对于标气标称浓度的差），应满足： </w:t>
      </w:r>
    </w:p>
    <w:p w14:paraId="5A859486">
      <w:pPr>
        <w:widowControl/>
        <w:ind w:firstLine="420" w:firstLineChars="200"/>
        <w:jc w:val="left"/>
        <w:rPr>
          <w:rFonts w:ascii="Times New Roman" w:hAnsi="Times New Roman" w:cs="Times New Roman"/>
          <w:szCs w:val="21"/>
          <w:highlight w:val="none"/>
        </w:rPr>
      </w:pPr>
      <w:r>
        <w:rPr>
          <w:rFonts w:ascii="Times New Roman" w:hAnsi="Times New Roman" w:eastAsia="宋体" w:cs="Times New Roman"/>
          <w:kern w:val="0"/>
          <w:szCs w:val="21"/>
          <w:highlight w:val="none"/>
          <w:lang w:bidi="ar"/>
        </w:rPr>
        <w:t>(1) CH</w:t>
      </w:r>
      <w:r>
        <w:rPr>
          <w:rFonts w:ascii="Times New Roman" w:hAnsi="Times New Roman" w:eastAsia="宋体" w:cs="Times New Roman"/>
          <w:kern w:val="0"/>
          <w:szCs w:val="21"/>
          <w:highlight w:val="none"/>
          <w:vertAlign w:val="subscript"/>
          <w:lang w:bidi="ar"/>
        </w:rPr>
        <w:t>4</w:t>
      </w:r>
      <w:r>
        <w:rPr>
          <w:rFonts w:ascii="Times New Roman" w:hAnsi="Times New Roman" w:eastAsia="宋体" w:cs="Times New Roman"/>
          <w:kern w:val="0"/>
          <w:szCs w:val="21"/>
          <w:highlight w:val="none"/>
          <w:lang w:bidi="ar"/>
        </w:rPr>
        <w:t>校准曲线相关系数r</w:t>
      </w:r>
      <w:r>
        <w:rPr>
          <w:rFonts w:ascii="Times New Roman" w:hAnsi="Times New Roman" w:cs="Times New Roman"/>
          <w:highlight w:val="none"/>
        </w:rPr>
        <w:t>＞</w:t>
      </w:r>
      <w:r>
        <w:rPr>
          <w:rFonts w:ascii="Times New Roman" w:hAnsi="Times New Roman" w:eastAsia="宋体" w:cs="Times New Roman"/>
          <w:kern w:val="0"/>
          <w:szCs w:val="21"/>
          <w:highlight w:val="none"/>
          <w:lang w:bidi="ar"/>
        </w:rPr>
        <w:t>0.99999：工作气差值</w:t>
      </w:r>
      <w:r>
        <w:rPr>
          <w:rFonts w:hint="eastAsia" w:asciiTheme="minorEastAsia" w:hAnsiTheme="minorEastAsia" w:cstheme="minorEastAsia"/>
          <w:kern w:val="0"/>
          <w:szCs w:val="21"/>
          <w:highlight w:val="none"/>
          <w:lang w:bidi="ar"/>
        </w:rPr>
        <w:t>≤±0.2</w:t>
      </w:r>
      <w:r>
        <w:rPr>
          <w:rFonts w:ascii="Times New Roman" w:hAnsi="Times New Roman" w:cs="Times New Roman"/>
          <w:highlight w:val="none"/>
        </w:rPr>
        <w:t xml:space="preserve"> ppm</w:t>
      </w:r>
      <w:r>
        <w:rPr>
          <w:rFonts w:ascii="Times New Roman" w:hAnsi="Times New Roman" w:eastAsia="宋体" w:cs="Times New Roman"/>
          <w:kern w:val="0"/>
          <w:szCs w:val="21"/>
          <w:highlight w:val="none"/>
          <w:lang w:bidi="ar"/>
        </w:rPr>
        <w:t xml:space="preserve">。 </w:t>
      </w:r>
    </w:p>
    <w:p w14:paraId="519FBC09">
      <w:pPr>
        <w:widowControl/>
        <w:ind w:firstLine="420" w:firstLineChars="200"/>
        <w:jc w:val="left"/>
        <w:rPr>
          <w:rFonts w:ascii="Times New Roman" w:hAnsi="Times New Roman" w:cs="Times New Roman"/>
          <w:szCs w:val="21"/>
          <w:highlight w:val="none"/>
        </w:rPr>
      </w:pPr>
      <w:r>
        <w:rPr>
          <w:rFonts w:ascii="Times New Roman" w:hAnsi="Times New Roman" w:eastAsia="宋体" w:cs="Times New Roman"/>
          <w:kern w:val="0"/>
          <w:szCs w:val="21"/>
          <w:highlight w:val="none"/>
          <w:lang w:bidi="ar"/>
        </w:rPr>
        <w:t>(2) CO</w:t>
      </w:r>
      <w:r>
        <w:rPr>
          <w:rFonts w:ascii="Times New Roman" w:hAnsi="Times New Roman" w:eastAsia="宋体" w:cs="Times New Roman"/>
          <w:kern w:val="0"/>
          <w:szCs w:val="21"/>
          <w:highlight w:val="none"/>
          <w:vertAlign w:val="subscript"/>
          <w:lang w:bidi="ar"/>
        </w:rPr>
        <w:t>2</w:t>
      </w:r>
      <w:r>
        <w:rPr>
          <w:rFonts w:ascii="Times New Roman" w:hAnsi="Times New Roman" w:eastAsia="宋体" w:cs="Times New Roman"/>
          <w:kern w:val="0"/>
          <w:szCs w:val="21"/>
          <w:highlight w:val="none"/>
          <w:lang w:bidi="ar"/>
        </w:rPr>
        <w:t>校准曲线相关系数r</w:t>
      </w:r>
      <w:r>
        <w:rPr>
          <w:rFonts w:ascii="Times New Roman" w:hAnsi="Times New Roman" w:cs="Times New Roman"/>
          <w:highlight w:val="none"/>
        </w:rPr>
        <w:t>＞</w:t>
      </w:r>
      <w:r>
        <w:rPr>
          <w:rFonts w:ascii="Times New Roman" w:hAnsi="Times New Roman" w:eastAsia="宋体" w:cs="Times New Roman"/>
          <w:kern w:val="0"/>
          <w:szCs w:val="21"/>
          <w:highlight w:val="none"/>
          <w:lang w:bidi="ar"/>
        </w:rPr>
        <w:t>0.99999：工作气差值</w:t>
      </w:r>
      <w:r>
        <w:rPr>
          <w:rFonts w:hint="eastAsia" w:asciiTheme="minorEastAsia" w:hAnsiTheme="minorEastAsia" w:cstheme="minorEastAsia"/>
          <w:kern w:val="0"/>
          <w:szCs w:val="21"/>
          <w:highlight w:val="none"/>
          <w:lang w:bidi="ar"/>
        </w:rPr>
        <w:t>≤±5</w:t>
      </w:r>
      <w:r>
        <w:rPr>
          <w:rFonts w:ascii="Times New Roman" w:hAnsi="Times New Roman" w:cs="Times New Roman"/>
          <w:highlight w:val="none"/>
        </w:rPr>
        <w:t xml:space="preserve"> ppb</w:t>
      </w:r>
      <w:r>
        <w:rPr>
          <w:rFonts w:ascii="Times New Roman" w:hAnsi="Times New Roman" w:eastAsia="宋体" w:cs="Times New Roman"/>
          <w:kern w:val="0"/>
          <w:szCs w:val="21"/>
          <w:highlight w:val="none"/>
          <w:lang w:bidi="ar"/>
        </w:rPr>
        <w:t xml:space="preserve">。 </w:t>
      </w:r>
    </w:p>
    <w:p w14:paraId="77FD7990">
      <w:pPr>
        <w:widowControl/>
        <w:ind w:firstLine="420" w:firstLineChars="200"/>
        <w:jc w:val="left"/>
        <w:rPr>
          <w:rFonts w:ascii="Times New Roman" w:hAnsi="Times New Roman" w:cs="Times New Roman"/>
          <w:highlight w:val="none"/>
        </w:rPr>
      </w:pPr>
      <w:r>
        <w:rPr>
          <w:rFonts w:ascii="Times New Roman" w:hAnsi="Times New Roman" w:cs="Times New Roman"/>
          <w:highlight w:val="none"/>
        </w:rPr>
        <w:t>若其中任何一项指标不满足要求，则需对监测仪器及系统进行保养、检修，直至检验指标符合要求。</w:t>
      </w:r>
    </w:p>
    <w:p w14:paraId="522D706A">
      <w:pPr>
        <w:numPr>
          <w:ilvl w:val="2"/>
          <w:numId w:val="1"/>
        </w:numPr>
        <w:ind w:left="0" w:firstLine="420"/>
        <w:rPr>
          <w:rFonts w:ascii="Times New Roman" w:hAnsi="Times New Roman" w:eastAsia="黑体_x0005_.." w:cs="Times New Roman"/>
          <w:szCs w:val="24"/>
          <w:highlight w:val="none"/>
        </w:rPr>
      </w:pPr>
      <w:r>
        <w:rPr>
          <w:rFonts w:ascii="Times New Roman" w:hAnsi="Times New Roman" w:eastAsia="黑体_x0005_.." w:cs="Times New Roman"/>
          <w:szCs w:val="24"/>
          <w:highlight w:val="none"/>
        </w:rPr>
        <w:t>测试结果</w:t>
      </w:r>
    </w:p>
    <w:p w14:paraId="43553DB1">
      <w:pPr>
        <w:pStyle w:val="11"/>
        <w:rPr>
          <w:highlight w:val="none"/>
        </w:rPr>
      </w:pPr>
      <w:r>
        <w:rPr>
          <w:highlight w:val="none"/>
        </w:rPr>
        <w:t>根据上述方法和技术要求对</w:t>
      </w:r>
      <w:r>
        <w:rPr>
          <w:rStyle w:val="15"/>
          <w:rFonts w:hint="default" w:ascii="Times New Roman" w:hAnsi="Times New Roman"/>
          <w:color w:val="auto"/>
          <w:sz w:val="21"/>
          <w:szCs w:val="21"/>
          <w:highlight w:val="none"/>
        </w:rPr>
        <w:t>QCL</w:t>
      </w:r>
      <w:r>
        <w:rPr>
          <w:highlight w:val="none"/>
        </w:rPr>
        <w:t>PAS</w:t>
      </w:r>
      <w:r>
        <w:rPr>
          <w:rFonts w:hint="eastAsia" w:hAnsi="宋体"/>
          <w:highlight w:val="none"/>
        </w:rPr>
        <w:t>气体监测方法</w:t>
      </w:r>
      <w:r>
        <w:rPr>
          <w:highlight w:val="none"/>
        </w:rPr>
        <w:t>进行CH</w:t>
      </w:r>
      <w:r>
        <w:rPr>
          <w:highlight w:val="none"/>
          <w:vertAlign w:val="subscript"/>
        </w:rPr>
        <w:t>4</w:t>
      </w:r>
      <w:r>
        <w:rPr>
          <w:highlight w:val="none"/>
        </w:rPr>
        <w:t>、CO</w:t>
      </w:r>
      <w:r>
        <w:rPr>
          <w:highlight w:val="none"/>
          <w:vertAlign w:val="subscript"/>
        </w:rPr>
        <w:t>2</w:t>
      </w:r>
      <w:r>
        <w:rPr>
          <w:highlight w:val="none"/>
        </w:rPr>
        <w:t>气体</w:t>
      </w:r>
      <w:r>
        <w:rPr>
          <w:rFonts w:hint="eastAsia"/>
          <w:highlight w:val="none"/>
        </w:rPr>
        <w:t>浓度测量</w:t>
      </w:r>
      <w:r>
        <w:rPr>
          <w:highlight w:val="none"/>
        </w:rPr>
        <w:t>的</w:t>
      </w:r>
      <w:r>
        <w:rPr>
          <w:rFonts w:hint="eastAsia"/>
          <w:highlight w:val="none"/>
        </w:rPr>
        <w:t>正确度</w:t>
      </w:r>
      <w:r>
        <w:rPr>
          <w:highlight w:val="none"/>
        </w:rPr>
        <w:t>测试，结果见下图。根据上述8.2.1中的标准进行评价（见下表），三种气体的</w:t>
      </w:r>
      <w:r>
        <w:rPr>
          <w:szCs w:val="21"/>
          <w:highlight w:val="none"/>
          <w:lang w:bidi="ar"/>
        </w:rPr>
        <w:t>校准曲线相关系数和工作气差值</w:t>
      </w:r>
      <w:r>
        <w:rPr>
          <w:highlight w:val="none"/>
        </w:rPr>
        <w:t>结果均符合要求。</w:t>
      </w:r>
    </w:p>
    <w:p w14:paraId="59736824">
      <w:pPr>
        <w:tabs>
          <w:tab w:val="center" w:pos="4201"/>
          <w:tab w:val="right" w:leader="dot" w:pos="9298"/>
        </w:tabs>
        <w:spacing w:before="156" w:beforeLines="50" w:after="156" w:afterLines="50"/>
        <w:jc w:val="center"/>
        <w:outlineLvl w:val="2"/>
        <w:rPr>
          <w:rFonts w:ascii="Times New Roman" w:hAnsi="Times New Roman" w:eastAsia="黑体" w:cs="Times New Roman"/>
          <w:szCs w:val="21"/>
          <w:highlight w:val="none"/>
        </w:rPr>
      </w:pPr>
      <w:r>
        <w:rPr>
          <w:rFonts w:ascii="Times New Roman" w:hAnsi="Times New Roman" w:eastAsia="黑体" w:cs="Times New Roman"/>
          <w:szCs w:val="21"/>
          <w:highlight w:val="none"/>
        </w:rPr>
        <w:drawing>
          <wp:inline distT="0" distB="0" distL="114300" distR="114300">
            <wp:extent cx="4204335" cy="2011680"/>
            <wp:effectExtent l="0" t="0" r="5715" b="7620"/>
            <wp:docPr id="20" name="图片 20" descr="1703479626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descr="1703479626753"/>
                    <pic:cNvPicPr>
                      <a:picLocks noChangeAspect="1"/>
                    </pic:cNvPicPr>
                  </pic:nvPicPr>
                  <pic:blipFill>
                    <a:blip r:embed="rId15"/>
                    <a:stretch>
                      <a:fillRect/>
                    </a:stretch>
                  </pic:blipFill>
                  <pic:spPr>
                    <a:xfrm>
                      <a:off x="0" y="0"/>
                      <a:ext cx="4244075" cy="2030657"/>
                    </a:xfrm>
                    <a:prstGeom prst="rect">
                      <a:avLst/>
                    </a:prstGeom>
                  </pic:spPr>
                </pic:pic>
              </a:graphicData>
            </a:graphic>
          </wp:inline>
        </w:drawing>
      </w:r>
    </w:p>
    <w:p w14:paraId="3B6F1741">
      <w:pPr>
        <w:tabs>
          <w:tab w:val="center" w:pos="4201"/>
          <w:tab w:val="right" w:leader="dot" w:pos="9298"/>
        </w:tabs>
        <w:spacing w:before="156" w:beforeLines="50" w:after="156" w:afterLines="50"/>
        <w:jc w:val="center"/>
        <w:outlineLvl w:val="2"/>
        <w:rPr>
          <w:rFonts w:ascii="Times New Roman" w:hAnsi="Times New Roman" w:eastAsia="黑体" w:cs="Times New Roman"/>
          <w:szCs w:val="21"/>
          <w:highlight w:val="none"/>
        </w:rPr>
      </w:pPr>
      <w:r>
        <w:rPr>
          <w:rFonts w:ascii="Times New Roman" w:hAnsi="Times New Roman" w:eastAsia="黑体" w:cs="Times New Roman"/>
          <w:szCs w:val="21"/>
          <w:highlight w:val="none"/>
        </w:rPr>
        <w:drawing>
          <wp:inline distT="0" distB="0" distL="114300" distR="114300">
            <wp:extent cx="4166235" cy="2154555"/>
            <wp:effectExtent l="0" t="0" r="5715" b="7620"/>
            <wp:docPr id="21" name="图片 21" descr="1703479650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descr="1703479650156"/>
                    <pic:cNvPicPr>
                      <a:picLocks noChangeAspect="1"/>
                    </pic:cNvPicPr>
                  </pic:nvPicPr>
                  <pic:blipFill>
                    <a:blip r:embed="rId16"/>
                    <a:stretch>
                      <a:fillRect/>
                    </a:stretch>
                  </pic:blipFill>
                  <pic:spPr>
                    <a:xfrm>
                      <a:off x="0" y="0"/>
                      <a:ext cx="4201749" cy="2173034"/>
                    </a:xfrm>
                    <a:prstGeom prst="rect">
                      <a:avLst/>
                    </a:prstGeom>
                  </pic:spPr>
                </pic:pic>
              </a:graphicData>
            </a:graphic>
          </wp:inline>
        </w:drawing>
      </w:r>
    </w:p>
    <w:p w14:paraId="396CFB62">
      <w:pPr>
        <w:pStyle w:val="11"/>
        <w:ind w:firstLine="0" w:firstLineChars="0"/>
        <w:jc w:val="center"/>
        <w:rPr>
          <w:rFonts w:eastAsia="黑体"/>
          <w:sz w:val="18"/>
          <w:szCs w:val="18"/>
          <w:highlight w:val="none"/>
        </w:rPr>
      </w:pPr>
      <w:r>
        <w:rPr>
          <w:rFonts w:eastAsia="黑体"/>
          <w:sz w:val="18"/>
          <w:szCs w:val="18"/>
          <w:highlight w:val="none"/>
        </w:rPr>
        <w:t>图5 CH4、CO2气体最小二乘法拟合图</w:t>
      </w:r>
    </w:p>
    <w:tbl>
      <w:tblPr>
        <w:tblStyle w:val="7"/>
        <w:tblpPr w:leftFromText="180" w:rightFromText="180" w:vertAnchor="text" w:horzAnchor="page" w:tblpXSpec="center" w:tblpY="451"/>
        <w:tblOverlap w:val="never"/>
        <w:tblW w:w="818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9"/>
        <w:gridCol w:w="1276"/>
        <w:gridCol w:w="1134"/>
        <w:gridCol w:w="992"/>
        <w:gridCol w:w="1559"/>
        <w:gridCol w:w="1134"/>
        <w:gridCol w:w="1134"/>
      </w:tblGrid>
      <w:tr w14:paraId="747946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6" w:hRule="exact"/>
          <w:jc w:val="center"/>
        </w:trPr>
        <w:tc>
          <w:tcPr>
            <w:tcW w:w="8188" w:type="dxa"/>
            <w:gridSpan w:val="7"/>
            <w:tcBorders>
              <w:top w:val="nil"/>
              <w:left w:val="nil"/>
              <w:right w:val="nil"/>
            </w:tcBorders>
            <w:vAlign w:val="center"/>
          </w:tcPr>
          <w:p w14:paraId="410A4A01">
            <w:pPr>
              <w:pStyle w:val="11"/>
              <w:ind w:firstLine="0" w:firstLineChars="0"/>
              <w:jc w:val="center"/>
              <w:rPr>
                <w:rFonts w:eastAsia="黑体"/>
                <w:sz w:val="18"/>
                <w:szCs w:val="18"/>
                <w:highlight w:val="none"/>
              </w:rPr>
            </w:pPr>
            <w:r>
              <w:rPr>
                <w:rFonts w:eastAsia="黑体"/>
                <w:sz w:val="18"/>
                <w:szCs w:val="18"/>
                <w:highlight w:val="none"/>
              </w:rPr>
              <w:t>表5 正确度测试结果统计表</w:t>
            </w:r>
          </w:p>
          <w:p w14:paraId="2147647D">
            <w:pPr>
              <w:tabs>
                <w:tab w:val="center" w:pos="4201"/>
                <w:tab w:val="right" w:leader="dot" w:pos="9298"/>
              </w:tabs>
              <w:spacing w:line="240" w:lineRule="exact"/>
              <w:ind w:firstLine="361"/>
              <w:jc w:val="center"/>
              <w:outlineLvl w:val="2"/>
              <w:rPr>
                <w:rFonts w:ascii="Times New Roman" w:hAnsi="Times New Roman" w:eastAsia="黑体" w:cs="Times New Roman"/>
                <w:b/>
                <w:bCs/>
                <w:kern w:val="0"/>
                <w:sz w:val="18"/>
                <w:szCs w:val="18"/>
                <w:highlight w:val="none"/>
                <w:lang w:bidi="ar"/>
              </w:rPr>
            </w:pPr>
          </w:p>
        </w:tc>
      </w:tr>
      <w:tr w14:paraId="302D89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6" w:hRule="exact"/>
          <w:jc w:val="center"/>
        </w:trPr>
        <w:tc>
          <w:tcPr>
            <w:tcW w:w="959" w:type="dxa"/>
            <w:vAlign w:val="center"/>
          </w:tcPr>
          <w:p w14:paraId="14B01DBF">
            <w:pPr>
              <w:widowControl/>
              <w:spacing w:line="240" w:lineRule="exact"/>
              <w:jc w:val="center"/>
              <w:rPr>
                <w:rFonts w:ascii="Times New Roman" w:hAnsi="Times New Roman" w:eastAsia="黑体" w:cs="Times New Roman"/>
                <w:b/>
                <w:bCs/>
                <w:sz w:val="18"/>
                <w:szCs w:val="18"/>
                <w:highlight w:val="none"/>
              </w:rPr>
            </w:pPr>
            <w:r>
              <w:rPr>
                <w:rFonts w:ascii="Times New Roman" w:hAnsi="Times New Roman" w:eastAsia="黑体" w:cs="Times New Roman"/>
                <w:b/>
                <w:bCs/>
                <w:kern w:val="0"/>
                <w:sz w:val="18"/>
                <w:szCs w:val="18"/>
                <w:highlight w:val="none"/>
                <w:lang w:bidi="ar"/>
              </w:rPr>
              <w:t>气体</w:t>
            </w:r>
          </w:p>
        </w:tc>
        <w:tc>
          <w:tcPr>
            <w:tcW w:w="1276" w:type="dxa"/>
            <w:vAlign w:val="center"/>
          </w:tcPr>
          <w:p w14:paraId="4F9877C4">
            <w:pPr>
              <w:tabs>
                <w:tab w:val="center" w:pos="4201"/>
                <w:tab w:val="right" w:leader="dot" w:pos="9298"/>
              </w:tabs>
              <w:spacing w:line="240" w:lineRule="exact"/>
              <w:jc w:val="center"/>
              <w:outlineLvl w:val="2"/>
              <w:rPr>
                <w:rFonts w:ascii="Times New Roman" w:hAnsi="Times New Roman" w:eastAsia="黑体" w:cs="Times New Roman"/>
                <w:b/>
                <w:bCs/>
                <w:sz w:val="18"/>
                <w:szCs w:val="18"/>
                <w:highlight w:val="none"/>
              </w:rPr>
            </w:pPr>
            <w:r>
              <w:rPr>
                <w:rFonts w:ascii="Times New Roman" w:hAnsi="Times New Roman" w:eastAsia="黑体" w:cs="Times New Roman"/>
                <w:b/>
                <w:bCs/>
                <w:kern w:val="0"/>
                <w:sz w:val="18"/>
                <w:szCs w:val="18"/>
                <w:highlight w:val="none"/>
                <w:lang w:bidi="ar"/>
              </w:rPr>
              <w:t>标称浓度</w:t>
            </w:r>
          </w:p>
        </w:tc>
        <w:tc>
          <w:tcPr>
            <w:tcW w:w="1134" w:type="dxa"/>
            <w:vAlign w:val="center"/>
          </w:tcPr>
          <w:p w14:paraId="29BF396A">
            <w:pPr>
              <w:tabs>
                <w:tab w:val="center" w:pos="4201"/>
                <w:tab w:val="right" w:leader="dot" w:pos="9298"/>
              </w:tabs>
              <w:spacing w:line="240" w:lineRule="exact"/>
              <w:jc w:val="center"/>
              <w:outlineLvl w:val="2"/>
              <w:rPr>
                <w:rFonts w:ascii="Times New Roman" w:hAnsi="Times New Roman" w:eastAsia="黑体" w:cs="Times New Roman"/>
                <w:b/>
                <w:bCs/>
                <w:sz w:val="18"/>
                <w:szCs w:val="18"/>
                <w:highlight w:val="none"/>
              </w:rPr>
            </w:pPr>
            <w:r>
              <w:rPr>
                <w:rFonts w:ascii="Times New Roman" w:hAnsi="Times New Roman" w:eastAsia="黑体" w:cs="Times New Roman"/>
                <w:b/>
                <w:bCs/>
                <w:kern w:val="0"/>
                <w:sz w:val="18"/>
                <w:szCs w:val="18"/>
                <w:highlight w:val="none"/>
                <w:lang w:bidi="ar"/>
              </w:rPr>
              <w:t>测量值</w:t>
            </w:r>
          </w:p>
        </w:tc>
        <w:tc>
          <w:tcPr>
            <w:tcW w:w="992" w:type="dxa"/>
            <w:vAlign w:val="center"/>
          </w:tcPr>
          <w:p w14:paraId="2E74785B">
            <w:pPr>
              <w:tabs>
                <w:tab w:val="center" w:pos="4201"/>
                <w:tab w:val="right" w:leader="dot" w:pos="9298"/>
              </w:tabs>
              <w:spacing w:line="240" w:lineRule="exact"/>
              <w:jc w:val="center"/>
              <w:outlineLvl w:val="2"/>
              <w:rPr>
                <w:rFonts w:ascii="Times New Roman" w:hAnsi="Times New Roman" w:eastAsia="黑体" w:cs="Times New Roman"/>
                <w:b/>
                <w:bCs/>
                <w:sz w:val="18"/>
                <w:szCs w:val="18"/>
                <w:highlight w:val="none"/>
              </w:rPr>
            </w:pPr>
            <w:r>
              <w:rPr>
                <w:rFonts w:ascii="Times New Roman" w:hAnsi="Times New Roman" w:eastAsia="黑体" w:cs="Times New Roman"/>
                <w:b/>
                <w:bCs/>
                <w:kern w:val="0"/>
                <w:sz w:val="18"/>
                <w:szCs w:val="18"/>
                <w:highlight w:val="none"/>
                <w:lang w:bidi="ar"/>
              </w:rPr>
              <w:t>拟合度</w:t>
            </w:r>
          </w:p>
        </w:tc>
        <w:tc>
          <w:tcPr>
            <w:tcW w:w="1559" w:type="dxa"/>
          </w:tcPr>
          <w:p w14:paraId="1AB5F0B6">
            <w:pPr>
              <w:tabs>
                <w:tab w:val="center" w:pos="4201"/>
                <w:tab w:val="right" w:leader="dot" w:pos="9298"/>
              </w:tabs>
              <w:spacing w:line="240" w:lineRule="exact"/>
              <w:jc w:val="center"/>
              <w:outlineLvl w:val="2"/>
              <w:rPr>
                <w:rFonts w:ascii="Times New Roman" w:hAnsi="Times New Roman" w:eastAsia="黑体" w:cs="Times New Roman"/>
                <w:b/>
                <w:bCs/>
                <w:sz w:val="18"/>
                <w:szCs w:val="18"/>
                <w:highlight w:val="none"/>
              </w:rPr>
            </w:pPr>
            <w:r>
              <w:rPr>
                <w:rFonts w:ascii="Times New Roman" w:hAnsi="Times New Roman" w:eastAsia="黑体" w:cs="Times New Roman"/>
                <w:b/>
                <w:bCs/>
                <w:sz w:val="18"/>
                <w:szCs w:val="18"/>
                <w:highlight w:val="none"/>
              </w:rPr>
              <w:t>工作气标称浓度</w:t>
            </w:r>
          </w:p>
        </w:tc>
        <w:tc>
          <w:tcPr>
            <w:tcW w:w="1134" w:type="dxa"/>
            <w:vAlign w:val="center"/>
          </w:tcPr>
          <w:p w14:paraId="509C741B">
            <w:pPr>
              <w:tabs>
                <w:tab w:val="center" w:pos="4201"/>
                <w:tab w:val="right" w:leader="dot" w:pos="9298"/>
              </w:tabs>
              <w:spacing w:line="240" w:lineRule="exact"/>
              <w:jc w:val="center"/>
              <w:outlineLvl w:val="2"/>
              <w:rPr>
                <w:rFonts w:ascii="Times New Roman" w:hAnsi="Times New Roman" w:eastAsia="黑体" w:cs="Times New Roman"/>
                <w:b/>
                <w:bCs/>
                <w:sz w:val="18"/>
                <w:szCs w:val="18"/>
                <w:highlight w:val="none"/>
              </w:rPr>
            </w:pPr>
            <w:r>
              <w:rPr>
                <w:rFonts w:ascii="Times New Roman" w:hAnsi="Times New Roman" w:eastAsia="黑体" w:cs="Times New Roman"/>
                <w:b/>
                <w:bCs/>
                <w:sz w:val="18"/>
                <w:szCs w:val="18"/>
                <w:highlight w:val="none"/>
              </w:rPr>
              <w:t>工作气差值</w:t>
            </w:r>
          </w:p>
        </w:tc>
        <w:tc>
          <w:tcPr>
            <w:tcW w:w="1134" w:type="dxa"/>
            <w:vAlign w:val="center"/>
          </w:tcPr>
          <w:p w14:paraId="6C1E1E74">
            <w:pPr>
              <w:tabs>
                <w:tab w:val="center" w:pos="4201"/>
                <w:tab w:val="right" w:leader="dot" w:pos="9298"/>
              </w:tabs>
              <w:spacing w:line="240" w:lineRule="exact"/>
              <w:ind w:firstLine="361"/>
              <w:jc w:val="center"/>
              <w:outlineLvl w:val="2"/>
              <w:rPr>
                <w:rFonts w:ascii="Times New Roman" w:hAnsi="Times New Roman" w:eastAsia="黑体" w:cs="Times New Roman"/>
                <w:b/>
                <w:bCs/>
                <w:sz w:val="18"/>
                <w:szCs w:val="18"/>
                <w:highlight w:val="none"/>
              </w:rPr>
            </w:pPr>
            <w:r>
              <w:rPr>
                <w:rFonts w:ascii="Times New Roman" w:hAnsi="Times New Roman" w:eastAsia="黑体" w:cs="Times New Roman"/>
                <w:b/>
                <w:bCs/>
                <w:kern w:val="0"/>
                <w:sz w:val="18"/>
                <w:szCs w:val="18"/>
                <w:highlight w:val="none"/>
                <w:lang w:bidi="ar"/>
              </w:rPr>
              <w:t>审核结果</w:t>
            </w:r>
          </w:p>
        </w:tc>
      </w:tr>
      <w:tr w14:paraId="34FDD0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6" w:hRule="exact"/>
          <w:jc w:val="center"/>
        </w:trPr>
        <w:tc>
          <w:tcPr>
            <w:tcW w:w="959" w:type="dxa"/>
            <w:vMerge w:val="restart"/>
            <w:vAlign w:val="center"/>
          </w:tcPr>
          <w:p w14:paraId="78681D73">
            <w:pPr>
              <w:widowControl/>
              <w:spacing w:line="240" w:lineRule="exact"/>
              <w:jc w:val="center"/>
              <w:rPr>
                <w:rFonts w:ascii="Times New Roman" w:hAnsi="Times New Roman" w:eastAsia="黑体" w:cs="Times New Roman"/>
                <w:sz w:val="15"/>
                <w:szCs w:val="15"/>
                <w:highlight w:val="none"/>
              </w:rPr>
            </w:pPr>
            <w:r>
              <w:rPr>
                <w:rFonts w:ascii="Times New Roman" w:hAnsi="Times New Roman" w:eastAsia="宋体" w:cs="Times New Roman"/>
                <w:kern w:val="0"/>
                <w:sz w:val="15"/>
                <w:szCs w:val="15"/>
                <w:highlight w:val="none"/>
                <w:lang w:bidi="ar"/>
              </w:rPr>
              <w:t>CH</w:t>
            </w:r>
            <w:r>
              <w:rPr>
                <w:rFonts w:ascii="Times New Roman" w:hAnsi="Times New Roman" w:eastAsia="宋体" w:cs="Times New Roman"/>
                <w:kern w:val="0"/>
                <w:sz w:val="15"/>
                <w:szCs w:val="15"/>
                <w:highlight w:val="none"/>
                <w:vertAlign w:val="subscript"/>
                <w:lang w:bidi="ar"/>
              </w:rPr>
              <w:t>4</w:t>
            </w:r>
          </w:p>
        </w:tc>
        <w:tc>
          <w:tcPr>
            <w:tcW w:w="1276" w:type="dxa"/>
            <w:vAlign w:val="center"/>
          </w:tcPr>
          <w:p w14:paraId="25D674FA">
            <w:pPr>
              <w:widowControl/>
              <w:spacing w:line="240" w:lineRule="exact"/>
              <w:jc w:val="center"/>
              <w:rPr>
                <w:rFonts w:ascii="Times New Roman" w:hAnsi="Times New Roman" w:eastAsia="黑体" w:cs="Times New Roman"/>
                <w:sz w:val="15"/>
                <w:szCs w:val="15"/>
                <w:highlight w:val="none"/>
              </w:rPr>
            </w:pPr>
            <w:r>
              <w:rPr>
                <w:rFonts w:ascii="Times New Roman" w:hAnsi="Times New Roman" w:eastAsia="宋体" w:cs="Times New Roman"/>
                <w:kern w:val="0"/>
                <w:sz w:val="15"/>
                <w:szCs w:val="15"/>
                <w:highlight w:val="none"/>
                <w:lang w:bidi="ar"/>
              </w:rPr>
              <w:t>1801.0 ppb</w:t>
            </w:r>
          </w:p>
        </w:tc>
        <w:tc>
          <w:tcPr>
            <w:tcW w:w="1134" w:type="dxa"/>
            <w:vAlign w:val="center"/>
          </w:tcPr>
          <w:p w14:paraId="59C01CF9">
            <w:pPr>
              <w:tabs>
                <w:tab w:val="center" w:pos="4201"/>
                <w:tab w:val="right" w:leader="dot" w:pos="9298"/>
              </w:tabs>
              <w:spacing w:line="240" w:lineRule="exact"/>
              <w:jc w:val="center"/>
              <w:outlineLvl w:val="2"/>
              <w:rPr>
                <w:rFonts w:ascii="Times New Roman" w:hAnsi="Times New Roman" w:eastAsia="黑体" w:cs="Times New Roman"/>
                <w:sz w:val="15"/>
                <w:szCs w:val="15"/>
                <w:highlight w:val="none"/>
              </w:rPr>
            </w:pPr>
            <w:r>
              <w:rPr>
                <w:rFonts w:ascii="Times New Roman" w:hAnsi="Times New Roman" w:eastAsia="宋体" w:cs="Times New Roman"/>
                <w:kern w:val="0"/>
                <w:sz w:val="15"/>
                <w:szCs w:val="15"/>
                <w:highlight w:val="none"/>
                <w:lang w:bidi="ar"/>
              </w:rPr>
              <w:t>1817.1 ppb</w:t>
            </w:r>
          </w:p>
        </w:tc>
        <w:tc>
          <w:tcPr>
            <w:tcW w:w="992" w:type="dxa"/>
            <w:vMerge w:val="restart"/>
            <w:vAlign w:val="center"/>
          </w:tcPr>
          <w:p w14:paraId="41EE3751">
            <w:pPr>
              <w:widowControl/>
              <w:spacing w:line="240" w:lineRule="exact"/>
              <w:jc w:val="center"/>
              <w:rPr>
                <w:rFonts w:ascii="Times New Roman" w:hAnsi="Times New Roman" w:eastAsia="黑体" w:cs="Times New Roman"/>
                <w:sz w:val="15"/>
                <w:szCs w:val="15"/>
                <w:highlight w:val="none"/>
              </w:rPr>
            </w:pPr>
            <w:r>
              <w:rPr>
                <w:rFonts w:ascii="Times New Roman" w:hAnsi="Times New Roman" w:eastAsia="宋体" w:cs="Times New Roman"/>
                <w:kern w:val="0"/>
                <w:sz w:val="15"/>
                <w:szCs w:val="15"/>
                <w:highlight w:val="none"/>
                <w:lang w:bidi="ar"/>
              </w:rPr>
              <w:t>0.999999</w:t>
            </w:r>
          </w:p>
        </w:tc>
        <w:tc>
          <w:tcPr>
            <w:tcW w:w="1559" w:type="dxa"/>
            <w:vMerge w:val="restart"/>
            <w:vAlign w:val="center"/>
          </w:tcPr>
          <w:p w14:paraId="28C562C2">
            <w:pPr>
              <w:widowControl/>
              <w:spacing w:line="240" w:lineRule="exact"/>
              <w:jc w:val="center"/>
              <w:rPr>
                <w:rFonts w:ascii="Times New Roman" w:hAnsi="Times New Roman" w:eastAsia="宋体" w:cs="Times New Roman"/>
                <w:kern w:val="0"/>
                <w:sz w:val="15"/>
                <w:szCs w:val="15"/>
                <w:highlight w:val="none"/>
                <w:lang w:bidi="ar"/>
              </w:rPr>
            </w:pPr>
            <w:r>
              <w:rPr>
                <w:rFonts w:ascii="Times New Roman" w:hAnsi="Times New Roman" w:eastAsia="宋体" w:cs="Times New Roman"/>
                <w:kern w:val="0"/>
                <w:sz w:val="15"/>
                <w:szCs w:val="15"/>
                <w:highlight w:val="none"/>
                <w:lang w:bidi="ar"/>
              </w:rPr>
              <w:t>2007.6</w:t>
            </w:r>
            <w:r>
              <w:rPr>
                <w:rFonts w:hint="eastAsia" w:ascii="Times New Roman" w:hAnsi="Times New Roman" w:eastAsia="宋体" w:cs="Times New Roman"/>
                <w:kern w:val="0"/>
                <w:sz w:val="15"/>
                <w:szCs w:val="15"/>
                <w:highlight w:val="none"/>
                <w:lang w:bidi="ar"/>
              </w:rPr>
              <w:t>ppb</w:t>
            </w:r>
          </w:p>
        </w:tc>
        <w:tc>
          <w:tcPr>
            <w:tcW w:w="1134" w:type="dxa"/>
            <w:vMerge w:val="restart"/>
            <w:vAlign w:val="center"/>
          </w:tcPr>
          <w:p w14:paraId="6A9D7968">
            <w:pPr>
              <w:widowControl/>
              <w:spacing w:line="240" w:lineRule="exact"/>
              <w:jc w:val="center"/>
              <w:rPr>
                <w:rFonts w:ascii="Times New Roman" w:hAnsi="Times New Roman" w:eastAsia="黑体" w:cs="Times New Roman"/>
                <w:sz w:val="15"/>
                <w:szCs w:val="15"/>
                <w:highlight w:val="none"/>
              </w:rPr>
            </w:pPr>
            <w:r>
              <w:rPr>
                <w:rFonts w:ascii="Times New Roman" w:hAnsi="Times New Roman" w:eastAsia="宋体" w:cs="Times New Roman"/>
                <w:kern w:val="0"/>
                <w:sz w:val="15"/>
                <w:szCs w:val="15"/>
                <w:highlight w:val="none"/>
                <w:lang w:bidi="ar"/>
              </w:rPr>
              <w:t xml:space="preserve">-1.30 ppb </w:t>
            </w:r>
          </w:p>
        </w:tc>
        <w:tc>
          <w:tcPr>
            <w:tcW w:w="1134" w:type="dxa"/>
            <w:vMerge w:val="restart"/>
            <w:vAlign w:val="center"/>
          </w:tcPr>
          <w:p w14:paraId="62CCCC82">
            <w:pPr>
              <w:tabs>
                <w:tab w:val="center" w:pos="4201"/>
                <w:tab w:val="right" w:leader="dot" w:pos="9298"/>
              </w:tabs>
              <w:spacing w:line="240" w:lineRule="exact"/>
              <w:ind w:firstLine="300"/>
              <w:jc w:val="center"/>
              <w:outlineLvl w:val="2"/>
              <w:rPr>
                <w:rFonts w:ascii="Times New Roman" w:hAnsi="Times New Roman" w:eastAsia="黑体" w:cs="Times New Roman"/>
                <w:sz w:val="15"/>
                <w:szCs w:val="15"/>
                <w:highlight w:val="none"/>
              </w:rPr>
            </w:pPr>
            <w:r>
              <w:rPr>
                <w:rFonts w:ascii="Times New Roman" w:hAnsi="Times New Roman" w:eastAsia="黑体" w:cs="Times New Roman"/>
                <w:sz w:val="15"/>
                <w:szCs w:val="15"/>
                <w:highlight w:val="none"/>
              </w:rPr>
              <w:t>合格</w:t>
            </w:r>
          </w:p>
        </w:tc>
      </w:tr>
      <w:tr w14:paraId="2DF17B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6" w:hRule="exact"/>
          <w:jc w:val="center"/>
        </w:trPr>
        <w:tc>
          <w:tcPr>
            <w:tcW w:w="959" w:type="dxa"/>
            <w:vMerge w:val="continue"/>
            <w:vAlign w:val="center"/>
          </w:tcPr>
          <w:p w14:paraId="6D1685FC">
            <w:pPr>
              <w:tabs>
                <w:tab w:val="center" w:pos="4201"/>
                <w:tab w:val="right" w:leader="dot" w:pos="9298"/>
              </w:tabs>
              <w:spacing w:line="240" w:lineRule="exact"/>
              <w:jc w:val="center"/>
              <w:outlineLvl w:val="2"/>
              <w:rPr>
                <w:rFonts w:ascii="Times New Roman" w:hAnsi="Times New Roman" w:eastAsia="黑体" w:cs="Times New Roman"/>
                <w:sz w:val="15"/>
                <w:szCs w:val="15"/>
                <w:highlight w:val="none"/>
              </w:rPr>
            </w:pPr>
          </w:p>
        </w:tc>
        <w:tc>
          <w:tcPr>
            <w:tcW w:w="1276" w:type="dxa"/>
            <w:vAlign w:val="center"/>
          </w:tcPr>
          <w:p w14:paraId="4ED611C8">
            <w:pPr>
              <w:widowControl/>
              <w:spacing w:line="240" w:lineRule="exact"/>
              <w:jc w:val="center"/>
              <w:rPr>
                <w:rFonts w:ascii="Times New Roman" w:hAnsi="Times New Roman" w:eastAsia="黑体" w:cs="Times New Roman"/>
                <w:sz w:val="15"/>
                <w:szCs w:val="15"/>
                <w:highlight w:val="none"/>
              </w:rPr>
            </w:pPr>
            <w:r>
              <w:rPr>
                <w:rFonts w:ascii="Times New Roman" w:hAnsi="Times New Roman" w:eastAsia="宋体" w:cs="Times New Roman"/>
                <w:kern w:val="0"/>
                <w:sz w:val="15"/>
                <w:szCs w:val="15"/>
                <w:highlight w:val="none"/>
                <w:lang w:bidi="ar"/>
              </w:rPr>
              <w:t>2409.8 ppb</w:t>
            </w:r>
          </w:p>
        </w:tc>
        <w:tc>
          <w:tcPr>
            <w:tcW w:w="1134" w:type="dxa"/>
            <w:vAlign w:val="center"/>
          </w:tcPr>
          <w:p w14:paraId="09301FF0">
            <w:pPr>
              <w:widowControl/>
              <w:spacing w:line="240" w:lineRule="exact"/>
              <w:jc w:val="center"/>
              <w:rPr>
                <w:rFonts w:ascii="Times New Roman" w:hAnsi="Times New Roman" w:eastAsia="黑体" w:cs="Times New Roman"/>
                <w:sz w:val="15"/>
                <w:szCs w:val="15"/>
                <w:highlight w:val="none"/>
              </w:rPr>
            </w:pPr>
            <w:r>
              <w:rPr>
                <w:rFonts w:ascii="Times New Roman" w:hAnsi="Times New Roman" w:eastAsia="宋体" w:cs="Times New Roman"/>
                <w:kern w:val="0"/>
                <w:sz w:val="15"/>
                <w:szCs w:val="15"/>
                <w:highlight w:val="none"/>
                <w:lang w:bidi="ar"/>
              </w:rPr>
              <w:t>2434.2 ppb</w:t>
            </w:r>
          </w:p>
        </w:tc>
        <w:tc>
          <w:tcPr>
            <w:tcW w:w="992" w:type="dxa"/>
            <w:vMerge w:val="continue"/>
            <w:vAlign w:val="center"/>
          </w:tcPr>
          <w:p w14:paraId="33ED58A6">
            <w:pPr>
              <w:tabs>
                <w:tab w:val="center" w:pos="4201"/>
                <w:tab w:val="right" w:leader="dot" w:pos="9298"/>
              </w:tabs>
              <w:spacing w:line="240" w:lineRule="exact"/>
              <w:jc w:val="center"/>
              <w:outlineLvl w:val="2"/>
              <w:rPr>
                <w:rFonts w:ascii="Times New Roman" w:hAnsi="Times New Roman" w:eastAsia="黑体" w:cs="Times New Roman"/>
                <w:sz w:val="15"/>
                <w:szCs w:val="15"/>
                <w:highlight w:val="none"/>
              </w:rPr>
            </w:pPr>
          </w:p>
        </w:tc>
        <w:tc>
          <w:tcPr>
            <w:tcW w:w="1559" w:type="dxa"/>
            <w:vMerge w:val="continue"/>
            <w:vAlign w:val="center"/>
          </w:tcPr>
          <w:p w14:paraId="22FD4E67">
            <w:pPr>
              <w:widowControl/>
              <w:spacing w:line="240" w:lineRule="exact"/>
              <w:jc w:val="center"/>
              <w:rPr>
                <w:rFonts w:ascii="Times New Roman" w:hAnsi="Times New Roman" w:eastAsia="宋体" w:cs="Times New Roman"/>
                <w:kern w:val="0"/>
                <w:sz w:val="15"/>
                <w:szCs w:val="15"/>
                <w:highlight w:val="none"/>
                <w:lang w:bidi="ar"/>
              </w:rPr>
            </w:pPr>
          </w:p>
        </w:tc>
        <w:tc>
          <w:tcPr>
            <w:tcW w:w="1134" w:type="dxa"/>
            <w:vMerge w:val="continue"/>
            <w:vAlign w:val="center"/>
          </w:tcPr>
          <w:p w14:paraId="792BE153">
            <w:pPr>
              <w:tabs>
                <w:tab w:val="center" w:pos="4201"/>
                <w:tab w:val="right" w:leader="dot" w:pos="9298"/>
              </w:tabs>
              <w:spacing w:line="240" w:lineRule="exact"/>
              <w:jc w:val="center"/>
              <w:outlineLvl w:val="2"/>
              <w:rPr>
                <w:rFonts w:ascii="Times New Roman" w:hAnsi="Times New Roman" w:eastAsia="黑体" w:cs="Times New Roman"/>
                <w:sz w:val="15"/>
                <w:szCs w:val="15"/>
                <w:highlight w:val="none"/>
              </w:rPr>
            </w:pPr>
          </w:p>
        </w:tc>
        <w:tc>
          <w:tcPr>
            <w:tcW w:w="1134" w:type="dxa"/>
            <w:vMerge w:val="continue"/>
            <w:vAlign w:val="center"/>
          </w:tcPr>
          <w:p w14:paraId="45904EB9">
            <w:pPr>
              <w:tabs>
                <w:tab w:val="center" w:pos="4201"/>
                <w:tab w:val="right" w:leader="dot" w:pos="9298"/>
              </w:tabs>
              <w:spacing w:line="240" w:lineRule="exact"/>
              <w:ind w:firstLine="300"/>
              <w:jc w:val="center"/>
              <w:outlineLvl w:val="2"/>
              <w:rPr>
                <w:rFonts w:ascii="Times New Roman" w:hAnsi="Times New Roman" w:eastAsia="黑体" w:cs="Times New Roman"/>
                <w:sz w:val="15"/>
                <w:szCs w:val="15"/>
                <w:highlight w:val="none"/>
              </w:rPr>
            </w:pPr>
          </w:p>
        </w:tc>
      </w:tr>
      <w:tr w14:paraId="646BBC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exact"/>
          <w:jc w:val="center"/>
        </w:trPr>
        <w:tc>
          <w:tcPr>
            <w:tcW w:w="959" w:type="dxa"/>
            <w:vMerge w:val="continue"/>
            <w:vAlign w:val="center"/>
          </w:tcPr>
          <w:p w14:paraId="1E74E710">
            <w:pPr>
              <w:tabs>
                <w:tab w:val="center" w:pos="4201"/>
                <w:tab w:val="right" w:leader="dot" w:pos="9298"/>
              </w:tabs>
              <w:spacing w:line="240" w:lineRule="exact"/>
              <w:jc w:val="center"/>
              <w:outlineLvl w:val="2"/>
              <w:rPr>
                <w:rFonts w:ascii="Times New Roman" w:hAnsi="Times New Roman" w:eastAsia="黑体" w:cs="Times New Roman"/>
                <w:sz w:val="15"/>
                <w:szCs w:val="15"/>
                <w:highlight w:val="none"/>
              </w:rPr>
            </w:pPr>
          </w:p>
        </w:tc>
        <w:tc>
          <w:tcPr>
            <w:tcW w:w="1276" w:type="dxa"/>
            <w:vAlign w:val="center"/>
          </w:tcPr>
          <w:p w14:paraId="4CD2CE6C">
            <w:pPr>
              <w:tabs>
                <w:tab w:val="center" w:pos="4201"/>
                <w:tab w:val="right" w:leader="dot" w:pos="9298"/>
              </w:tabs>
              <w:spacing w:line="240" w:lineRule="exact"/>
              <w:jc w:val="center"/>
              <w:outlineLvl w:val="2"/>
              <w:rPr>
                <w:rFonts w:ascii="Times New Roman" w:hAnsi="Times New Roman" w:eastAsia="黑体" w:cs="Times New Roman"/>
                <w:sz w:val="15"/>
                <w:szCs w:val="15"/>
                <w:highlight w:val="none"/>
              </w:rPr>
            </w:pPr>
            <w:r>
              <w:rPr>
                <w:rFonts w:ascii="Times New Roman" w:hAnsi="Times New Roman" w:eastAsia="宋体" w:cs="Times New Roman"/>
                <w:kern w:val="0"/>
                <w:sz w:val="15"/>
                <w:szCs w:val="15"/>
                <w:highlight w:val="none"/>
                <w:lang w:bidi="ar"/>
              </w:rPr>
              <w:t>3107.4 ppb</w:t>
            </w:r>
          </w:p>
        </w:tc>
        <w:tc>
          <w:tcPr>
            <w:tcW w:w="1134" w:type="dxa"/>
            <w:vAlign w:val="center"/>
          </w:tcPr>
          <w:p w14:paraId="4795992C">
            <w:pPr>
              <w:tabs>
                <w:tab w:val="center" w:pos="4201"/>
                <w:tab w:val="right" w:leader="dot" w:pos="9298"/>
              </w:tabs>
              <w:spacing w:line="240" w:lineRule="exact"/>
              <w:jc w:val="center"/>
              <w:outlineLvl w:val="2"/>
              <w:rPr>
                <w:rFonts w:ascii="Times New Roman" w:hAnsi="Times New Roman" w:eastAsia="黑体" w:cs="Times New Roman"/>
                <w:sz w:val="15"/>
                <w:szCs w:val="15"/>
                <w:highlight w:val="none"/>
              </w:rPr>
            </w:pPr>
            <w:r>
              <w:rPr>
                <w:rFonts w:ascii="Times New Roman" w:hAnsi="Times New Roman" w:eastAsia="宋体" w:cs="Times New Roman"/>
                <w:kern w:val="0"/>
                <w:sz w:val="15"/>
                <w:szCs w:val="15"/>
                <w:highlight w:val="none"/>
                <w:lang w:bidi="ar"/>
              </w:rPr>
              <w:t>3139.5 ppb</w:t>
            </w:r>
          </w:p>
        </w:tc>
        <w:tc>
          <w:tcPr>
            <w:tcW w:w="992" w:type="dxa"/>
            <w:vMerge w:val="continue"/>
            <w:vAlign w:val="center"/>
          </w:tcPr>
          <w:p w14:paraId="07D494E9">
            <w:pPr>
              <w:tabs>
                <w:tab w:val="center" w:pos="4201"/>
                <w:tab w:val="right" w:leader="dot" w:pos="9298"/>
              </w:tabs>
              <w:spacing w:line="240" w:lineRule="exact"/>
              <w:jc w:val="center"/>
              <w:outlineLvl w:val="2"/>
              <w:rPr>
                <w:rFonts w:ascii="Times New Roman" w:hAnsi="Times New Roman" w:eastAsia="黑体" w:cs="Times New Roman"/>
                <w:sz w:val="15"/>
                <w:szCs w:val="15"/>
                <w:highlight w:val="none"/>
              </w:rPr>
            </w:pPr>
          </w:p>
        </w:tc>
        <w:tc>
          <w:tcPr>
            <w:tcW w:w="1559" w:type="dxa"/>
            <w:vMerge w:val="continue"/>
            <w:vAlign w:val="center"/>
          </w:tcPr>
          <w:p w14:paraId="3876B75E">
            <w:pPr>
              <w:widowControl/>
              <w:spacing w:line="240" w:lineRule="exact"/>
              <w:jc w:val="center"/>
              <w:rPr>
                <w:rFonts w:ascii="Times New Roman" w:hAnsi="Times New Roman" w:eastAsia="宋体" w:cs="Times New Roman"/>
                <w:kern w:val="0"/>
                <w:sz w:val="15"/>
                <w:szCs w:val="15"/>
                <w:highlight w:val="none"/>
                <w:lang w:bidi="ar"/>
              </w:rPr>
            </w:pPr>
          </w:p>
        </w:tc>
        <w:tc>
          <w:tcPr>
            <w:tcW w:w="1134" w:type="dxa"/>
            <w:vMerge w:val="continue"/>
            <w:vAlign w:val="center"/>
          </w:tcPr>
          <w:p w14:paraId="780599CE">
            <w:pPr>
              <w:tabs>
                <w:tab w:val="center" w:pos="4201"/>
                <w:tab w:val="right" w:leader="dot" w:pos="9298"/>
              </w:tabs>
              <w:spacing w:line="240" w:lineRule="exact"/>
              <w:jc w:val="center"/>
              <w:outlineLvl w:val="2"/>
              <w:rPr>
                <w:rFonts w:ascii="Times New Roman" w:hAnsi="Times New Roman" w:eastAsia="黑体" w:cs="Times New Roman"/>
                <w:sz w:val="15"/>
                <w:szCs w:val="15"/>
                <w:highlight w:val="none"/>
              </w:rPr>
            </w:pPr>
          </w:p>
        </w:tc>
        <w:tc>
          <w:tcPr>
            <w:tcW w:w="1134" w:type="dxa"/>
            <w:vMerge w:val="continue"/>
            <w:vAlign w:val="center"/>
          </w:tcPr>
          <w:p w14:paraId="553D3CF6">
            <w:pPr>
              <w:tabs>
                <w:tab w:val="center" w:pos="4201"/>
                <w:tab w:val="right" w:leader="dot" w:pos="9298"/>
              </w:tabs>
              <w:spacing w:line="240" w:lineRule="exact"/>
              <w:ind w:firstLine="300"/>
              <w:jc w:val="center"/>
              <w:outlineLvl w:val="2"/>
              <w:rPr>
                <w:rFonts w:ascii="Times New Roman" w:hAnsi="Times New Roman" w:eastAsia="黑体" w:cs="Times New Roman"/>
                <w:sz w:val="15"/>
                <w:szCs w:val="15"/>
                <w:highlight w:val="none"/>
              </w:rPr>
            </w:pPr>
          </w:p>
        </w:tc>
      </w:tr>
      <w:tr w14:paraId="584C79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6" w:hRule="exact"/>
          <w:jc w:val="center"/>
        </w:trPr>
        <w:tc>
          <w:tcPr>
            <w:tcW w:w="959" w:type="dxa"/>
            <w:vMerge w:val="restart"/>
            <w:vAlign w:val="center"/>
          </w:tcPr>
          <w:p w14:paraId="1088F22C">
            <w:pPr>
              <w:widowControl/>
              <w:spacing w:line="240" w:lineRule="exact"/>
              <w:jc w:val="center"/>
              <w:rPr>
                <w:rFonts w:ascii="Times New Roman" w:hAnsi="Times New Roman" w:eastAsia="黑体" w:cs="Times New Roman"/>
                <w:sz w:val="15"/>
                <w:szCs w:val="15"/>
                <w:highlight w:val="none"/>
              </w:rPr>
            </w:pPr>
            <w:r>
              <w:rPr>
                <w:rFonts w:ascii="Times New Roman" w:hAnsi="Times New Roman" w:eastAsia="宋体" w:cs="Times New Roman"/>
                <w:kern w:val="0"/>
                <w:sz w:val="15"/>
                <w:szCs w:val="15"/>
                <w:highlight w:val="none"/>
                <w:lang w:bidi="ar"/>
              </w:rPr>
              <w:t>CO</w:t>
            </w:r>
            <w:r>
              <w:rPr>
                <w:rFonts w:ascii="Times New Roman" w:hAnsi="Times New Roman" w:eastAsia="宋体" w:cs="Times New Roman"/>
                <w:kern w:val="0"/>
                <w:sz w:val="15"/>
                <w:szCs w:val="15"/>
                <w:highlight w:val="none"/>
                <w:vertAlign w:val="subscript"/>
                <w:lang w:bidi="ar"/>
              </w:rPr>
              <w:t>2</w:t>
            </w:r>
          </w:p>
        </w:tc>
        <w:tc>
          <w:tcPr>
            <w:tcW w:w="1276" w:type="dxa"/>
            <w:vAlign w:val="center"/>
          </w:tcPr>
          <w:p w14:paraId="14FDF05B">
            <w:pPr>
              <w:widowControl/>
              <w:spacing w:line="240" w:lineRule="exact"/>
              <w:jc w:val="center"/>
              <w:rPr>
                <w:rFonts w:ascii="Times New Roman" w:hAnsi="Times New Roman" w:eastAsia="黑体" w:cs="Times New Roman"/>
                <w:sz w:val="15"/>
                <w:szCs w:val="15"/>
                <w:highlight w:val="none"/>
              </w:rPr>
            </w:pPr>
            <w:r>
              <w:rPr>
                <w:rFonts w:ascii="Times New Roman" w:hAnsi="Times New Roman" w:eastAsia="宋体" w:cs="Times New Roman"/>
                <w:kern w:val="0"/>
                <w:sz w:val="15"/>
                <w:szCs w:val="15"/>
                <w:highlight w:val="none"/>
                <w:lang w:bidi="ar"/>
              </w:rPr>
              <w:t>381.05 ppm</w:t>
            </w:r>
          </w:p>
        </w:tc>
        <w:tc>
          <w:tcPr>
            <w:tcW w:w="1134" w:type="dxa"/>
            <w:vAlign w:val="center"/>
          </w:tcPr>
          <w:p w14:paraId="4A19BB01">
            <w:pPr>
              <w:tabs>
                <w:tab w:val="center" w:pos="4201"/>
                <w:tab w:val="right" w:leader="dot" w:pos="9298"/>
              </w:tabs>
              <w:spacing w:line="240" w:lineRule="exact"/>
              <w:jc w:val="center"/>
              <w:outlineLvl w:val="2"/>
              <w:rPr>
                <w:rFonts w:ascii="Times New Roman" w:hAnsi="Times New Roman" w:eastAsia="黑体" w:cs="Times New Roman"/>
                <w:sz w:val="15"/>
                <w:szCs w:val="15"/>
                <w:highlight w:val="none"/>
              </w:rPr>
            </w:pPr>
            <w:r>
              <w:rPr>
                <w:rFonts w:ascii="Times New Roman" w:hAnsi="Times New Roman" w:eastAsia="宋体" w:cs="Times New Roman"/>
                <w:kern w:val="0"/>
                <w:sz w:val="15"/>
                <w:szCs w:val="15"/>
                <w:highlight w:val="none"/>
                <w:lang w:bidi="ar"/>
              </w:rPr>
              <w:t>397.06 ppm</w:t>
            </w:r>
          </w:p>
        </w:tc>
        <w:tc>
          <w:tcPr>
            <w:tcW w:w="992" w:type="dxa"/>
            <w:vMerge w:val="restart"/>
            <w:vAlign w:val="center"/>
          </w:tcPr>
          <w:p w14:paraId="56BA30D5">
            <w:pPr>
              <w:tabs>
                <w:tab w:val="center" w:pos="4201"/>
                <w:tab w:val="right" w:leader="dot" w:pos="9298"/>
              </w:tabs>
              <w:spacing w:line="240" w:lineRule="exact"/>
              <w:jc w:val="center"/>
              <w:outlineLvl w:val="2"/>
              <w:rPr>
                <w:rFonts w:ascii="Times New Roman" w:hAnsi="Times New Roman" w:eastAsia="黑体" w:cs="Times New Roman"/>
                <w:sz w:val="15"/>
                <w:szCs w:val="15"/>
                <w:highlight w:val="none"/>
              </w:rPr>
            </w:pPr>
            <w:r>
              <w:rPr>
                <w:rFonts w:ascii="Times New Roman" w:hAnsi="Times New Roman" w:eastAsia="宋体" w:cs="Times New Roman"/>
                <w:kern w:val="0"/>
                <w:sz w:val="15"/>
                <w:szCs w:val="15"/>
                <w:highlight w:val="none"/>
                <w:lang w:bidi="ar"/>
              </w:rPr>
              <w:t>0.999999</w:t>
            </w:r>
          </w:p>
        </w:tc>
        <w:tc>
          <w:tcPr>
            <w:tcW w:w="1559" w:type="dxa"/>
            <w:vMerge w:val="restart"/>
            <w:vAlign w:val="center"/>
          </w:tcPr>
          <w:p w14:paraId="3EB1CEB6">
            <w:pPr>
              <w:widowControl/>
              <w:spacing w:line="240" w:lineRule="exact"/>
              <w:jc w:val="center"/>
              <w:rPr>
                <w:rFonts w:ascii="Times New Roman" w:hAnsi="Times New Roman" w:eastAsia="宋体" w:cs="Times New Roman"/>
                <w:kern w:val="0"/>
                <w:sz w:val="15"/>
                <w:szCs w:val="15"/>
                <w:highlight w:val="none"/>
                <w:lang w:bidi="ar"/>
              </w:rPr>
            </w:pPr>
            <w:r>
              <w:rPr>
                <w:rFonts w:ascii="Times New Roman" w:hAnsi="Times New Roman" w:eastAsia="宋体" w:cs="Times New Roman"/>
                <w:kern w:val="0"/>
                <w:sz w:val="15"/>
                <w:szCs w:val="15"/>
                <w:highlight w:val="none"/>
                <w:lang w:bidi="ar"/>
              </w:rPr>
              <w:t>400.93</w:t>
            </w:r>
            <w:r>
              <w:rPr>
                <w:rFonts w:hint="eastAsia" w:ascii="Times New Roman" w:hAnsi="Times New Roman" w:eastAsia="宋体" w:cs="Times New Roman"/>
                <w:kern w:val="0"/>
                <w:sz w:val="15"/>
                <w:szCs w:val="15"/>
                <w:highlight w:val="none"/>
                <w:lang w:bidi="ar"/>
              </w:rPr>
              <w:t>ppm</w:t>
            </w:r>
          </w:p>
        </w:tc>
        <w:tc>
          <w:tcPr>
            <w:tcW w:w="1134" w:type="dxa"/>
            <w:vMerge w:val="restart"/>
            <w:vAlign w:val="center"/>
          </w:tcPr>
          <w:p w14:paraId="0F84F4DE">
            <w:pPr>
              <w:tabs>
                <w:tab w:val="center" w:pos="4201"/>
                <w:tab w:val="right" w:leader="dot" w:pos="9298"/>
              </w:tabs>
              <w:spacing w:line="240" w:lineRule="exact"/>
              <w:jc w:val="center"/>
              <w:outlineLvl w:val="2"/>
              <w:rPr>
                <w:rFonts w:ascii="Times New Roman" w:hAnsi="Times New Roman" w:eastAsia="黑体" w:cs="Times New Roman"/>
                <w:sz w:val="15"/>
                <w:szCs w:val="15"/>
                <w:highlight w:val="none"/>
              </w:rPr>
            </w:pPr>
            <w:r>
              <w:rPr>
                <w:rFonts w:ascii="Times New Roman" w:hAnsi="Times New Roman" w:eastAsia="宋体" w:cs="Times New Roman"/>
                <w:kern w:val="0"/>
                <w:sz w:val="15"/>
                <w:szCs w:val="15"/>
                <w:highlight w:val="none"/>
                <w:lang w:bidi="ar"/>
              </w:rPr>
              <w:t>0.046 ppm</w:t>
            </w:r>
          </w:p>
        </w:tc>
        <w:tc>
          <w:tcPr>
            <w:tcW w:w="1134" w:type="dxa"/>
            <w:vMerge w:val="restart"/>
            <w:vAlign w:val="center"/>
          </w:tcPr>
          <w:p w14:paraId="2AFC239A">
            <w:pPr>
              <w:tabs>
                <w:tab w:val="center" w:pos="4201"/>
                <w:tab w:val="right" w:leader="dot" w:pos="9298"/>
              </w:tabs>
              <w:spacing w:line="240" w:lineRule="exact"/>
              <w:ind w:firstLine="300"/>
              <w:jc w:val="center"/>
              <w:outlineLvl w:val="2"/>
              <w:rPr>
                <w:rFonts w:ascii="Times New Roman" w:hAnsi="Times New Roman" w:eastAsia="黑体" w:cs="Times New Roman"/>
                <w:sz w:val="15"/>
                <w:szCs w:val="15"/>
                <w:highlight w:val="none"/>
              </w:rPr>
            </w:pPr>
            <w:r>
              <w:rPr>
                <w:rFonts w:ascii="Times New Roman" w:hAnsi="Times New Roman" w:eastAsia="黑体" w:cs="Times New Roman"/>
                <w:sz w:val="15"/>
                <w:szCs w:val="15"/>
                <w:highlight w:val="none"/>
              </w:rPr>
              <w:t>合格</w:t>
            </w:r>
          </w:p>
        </w:tc>
      </w:tr>
      <w:tr w14:paraId="2D5020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7" w:hRule="exact"/>
          <w:jc w:val="center"/>
        </w:trPr>
        <w:tc>
          <w:tcPr>
            <w:tcW w:w="959" w:type="dxa"/>
            <w:vMerge w:val="continue"/>
            <w:vAlign w:val="center"/>
          </w:tcPr>
          <w:p w14:paraId="3A3838E1">
            <w:pPr>
              <w:tabs>
                <w:tab w:val="center" w:pos="4201"/>
                <w:tab w:val="right" w:leader="dot" w:pos="9298"/>
              </w:tabs>
              <w:spacing w:line="240" w:lineRule="exact"/>
              <w:ind w:firstLine="300"/>
              <w:jc w:val="center"/>
              <w:outlineLvl w:val="2"/>
              <w:rPr>
                <w:rFonts w:ascii="Times New Roman" w:hAnsi="Times New Roman" w:eastAsia="黑体" w:cs="Times New Roman"/>
                <w:sz w:val="15"/>
                <w:szCs w:val="15"/>
                <w:highlight w:val="none"/>
              </w:rPr>
            </w:pPr>
          </w:p>
        </w:tc>
        <w:tc>
          <w:tcPr>
            <w:tcW w:w="1276" w:type="dxa"/>
            <w:vAlign w:val="center"/>
          </w:tcPr>
          <w:p w14:paraId="397BBCA4">
            <w:pPr>
              <w:tabs>
                <w:tab w:val="center" w:pos="4201"/>
                <w:tab w:val="right" w:leader="dot" w:pos="9298"/>
              </w:tabs>
              <w:spacing w:line="240" w:lineRule="exact"/>
              <w:jc w:val="center"/>
              <w:outlineLvl w:val="2"/>
              <w:rPr>
                <w:rFonts w:ascii="Times New Roman" w:hAnsi="Times New Roman" w:eastAsia="黑体" w:cs="Times New Roman"/>
                <w:sz w:val="15"/>
                <w:szCs w:val="15"/>
                <w:highlight w:val="none"/>
              </w:rPr>
            </w:pPr>
            <w:r>
              <w:rPr>
                <w:rFonts w:ascii="Times New Roman" w:hAnsi="Times New Roman" w:eastAsia="宋体" w:cs="Times New Roman"/>
                <w:kern w:val="0"/>
                <w:sz w:val="15"/>
                <w:szCs w:val="15"/>
                <w:highlight w:val="none"/>
                <w:lang w:bidi="ar"/>
              </w:rPr>
              <w:t>449.96 ppm</w:t>
            </w:r>
          </w:p>
        </w:tc>
        <w:tc>
          <w:tcPr>
            <w:tcW w:w="1134" w:type="dxa"/>
            <w:vAlign w:val="center"/>
          </w:tcPr>
          <w:p w14:paraId="47DBB79E">
            <w:pPr>
              <w:tabs>
                <w:tab w:val="center" w:pos="4201"/>
                <w:tab w:val="right" w:leader="dot" w:pos="9298"/>
              </w:tabs>
              <w:spacing w:line="240" w:lineRule="exact"/>
              <w:jc w:val="center"/>
              <w:outlineLvl w:val="2"/>
              <w:rPr>
                <w:rFonts w:ascii="Times New Roman" w:hAnsi="Times New Roman" w:eastAsia="黑体" w:cs="Times New Roman"/>
                <w:sz w:val="15"/>
                <w:szCs w:val="15"/>
                <w:highlight w:val="none"/>
              </w:rPr>
            </w:pPr>
            <w:r>
              <w:rPr>
                <w:rFonts w:ascii="Times New Roman" w:hAnsi="Times New Roman" w:eastAsia="宋体" w:cs="Times New Roman"/>
                <w:kern w:val="0"/>
                <w:sz w:val="15"/>
                <w:szCs w:val="15"/>
                <w:highlight w:val="none"/>
                <w:lang w:bidi="ar"/>
              </w:rPr>
              <w:t>474.06 ppm</w:t>
            </w:r>
          </w:p>
        </w:tc>
        <w:tc>
          <w:tcPr>
            <w:tcW w:w="992" w:type="dxa"/>
            <w:vMerge w:val="continue"/>
            <w:vAlign w:val="center"/>
          </w:tcPr>
          <w:p w14:paraId="3223519D">
            <w:pPr>
              <w:tabs>
                <w:tab w:val="center" w:pos="4201"/>
                <w:tab w:val="right" w:leader="dot" w:pos="9298"/>
              </w:tabs>
              <w:spacing w:line="240" w:lineRule="exact"/>
              <w:ind w:firstLine="300"/>
              <w:jc w:val="center"/>
              <w:outlineLvl w:val="2"/>
              <w:rPr>
                <w:rFonts w:ascii="Times New Roman" w:hAnsi="Times New Roman" w:eastAsia="黑体" w:cs="Times New Roman"/>
                <w:sz w:val="15"/>
                <w:szCs w:val="15"/>
                <w:highlight w:val="none"/>
              </w:rPr>
            </w:pPr>
          </w:p>
        </w:tc>
        <w:tc>
          <w:tcPr>
            <w:tcW w:w="1559" w:type="dxa"/>
            <w:vMerge w:val="continue"/>
            <w:vAlign w:val="center"/>
          </w:tcPr>
          <w:p w14:paraId="4B48F1EE">
            <w:pPr>
              <w:widowControl/>
              <w:spacing w:line="240" w:lineRule="exact"/>
              <w:ind w:firstLine="300"/>
              <w:jc w:val="center"/>
              <w:rPr>
                <w:rFonts w:ascii="Times New Roman" w:hAnsi="Times New Roman" w:eastAsia="宋体" w:cs="Times New Roman"/>
                <w:kern w:val="0"/>
                <w:sz w:val="15"/>
                <w:szCs w:val="15"/>
                <w:highlight w:val="none"/>
                <w:lang w:bidi="ar"/>
              </w:rPr>
            </w:pPr>
          </w:p>
        </w:tc>
        <w:tc>
          <w:tcPr>
            <w:tcW w:w="1134" w:type="dxa"/>
            <w:vMerge w:val="continue"/>
            <w:vAlign w:val="center"/>
          </w:tcPr>
          <w:p w14:paraId="1D8C201C">
            <w:pPr>
              <w:tabs>
                <w:tab w:val="center" w:pos="4201"/>
                <w:tab w:val="right" w:leader="dot" w:pos="9298"/>
              </w:tabs>
              <w:spacing w:line="240" w:lineRule="exact"/>
              <w:ind w:firstLine="300"/>
              <w:jc w:val="center"/>
              <w:outlineLvl w:val="2"/>
              <w:rPr>
                <w:rFonts w:ascii="Times New Roman" w:hAnsi="Times New Roman" w:eastAsia="黑体" w:cs="Times New Roman"/>
                <w:sz w:val="15"/>
                <w:szCs w:val="15"/>
                <w:highlight w:val="none"/>
              </w:rPr>
            </w:pPr>
          </w:p>
        </w:tc>
        <w:tc>
          <w:tcPr>
            <w:tcW w:w="1134" w:type="dxa"/>
            <w:vMerge w:val="continue"/>
            <w:vAlign w:val="center"/>
          </w:tcPr>
          <w:p w14:paraId="63749505">
            <w:pPr>
              <w:tabs>
                <w:tab w:val="center" w:pos="4201"/>
                <w:tab w:val="right" w:leader="dot" w:pos="9298"/>
              </w:tabs>
              <w:spacing w:line="240" w:lineRule="exact"/>
              <w:ind w:firstLine="300"/>
              <w:jc w:val="center"/>
              <w:outlineLvl w:val="2"/>
              <w:rPr>
                <w:rFonts w:ascii="Times New Roman" w:hAnsi="Times New Roman" w:eastAsia="黑体" w:cs="Times New Roman"/>
                <w:sz w:val="15"/>
                <w:szCs w:val="15"/>
                <w:highlight w:val="none"/>
              </w:rPr>
            </w:pPr>
          </w:p>
        </w:tc>
      </w:tr>
      <w:tr w14:paraId="235DF4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6" w:hRule="exact"/>
          <w:jc w:val="center"/>
        </w:trPr>
        <w:tc>
          <w:tcPr>
            <w:tcW w:w="959" w:type="dxa"/>
            <w:vMerge w:val="continue"/>
            <w:vAlign w:val="center"/>
          </w:tcPr>
          <w:p w14:paraId="1065E0CB">
            <w:pPr>
              <w:tabs>
                <w:tab w:val="center" w:pos="4201"/>
                <w:tab w:val="right" w:leader="dot" w:pos="9298"/>
              </w:tabs>
              <w:spacing w:line="240" w:lineRule="exact"/>
              <w:ind w:firstLine="300"/>
              <w:jc w:val="center"/>
              <w:outlineLvl w:val="2"/>
              <w:rPr>
                <w:rFonts w:ascii="Times New Roman" w:hAnsi="Times New Roman" w:eastAsia="黑体" w:cs="Times New Roman"/>
                <w:sz w:val="15"/>
                <w:szCs w:val="15"/>
                <w:highlight w:val="none"/>
              </w:rPr>
            </w:pPr>
          </w:p>
        </w:tc>
        <w:tc>
          <w:tcPr>
            <w:tcW w:w="1276" w:type="dxa"/>
            <w:vAlign w:val="center"/>
          </w:tcPr>
          <w:p w14:paraId="629CEFC3">
            <w:pPr>
              <w:tabs>
                <w:tab w:val="center" w:pos="4201"/>
                <w:tab w:val="right" w:leader="dot" w:pos="9298"/>
              </w:tabs>
              <w:spacing w:line="240" w:lineRule="exact"/>
              <w:jc w:val="center"/>
              <w:outlineLvl w:val="2"/>
              <w:rPr>
                <w:rFonts w:ascii="Times New Roman" w:hAnsi="Times New Roman" w:eastAsia="黑体" w:cs="Times New Roman"/>
                <w:sz w:val="15"/>
                <w:szCs w:val="15"/>
                <w:highlight w:val="none"/>
              </w:rPr>
            </w:pPr>
            <w:r>
              <w:rPr>
                <w:rFonts w:ascii="Times New Roman" w:hAnsi="Times New Roman" w:eastAsia="宋体" w:cs="Times New Roman"/>
                <w:kern w:val="0"/>
                <w:sz w:val="15"/>
                <w:szCs w:val="15"/>
                <w:highlight w:val="none"/>
                <w:lang w:bidi="ar"/>
              </w:rPr>
              <w:t>518.57 ppm</w:t>
            </w:r>
          </w:p>
        </w:tc>
        <w:tc>
          <w:tcPr>
            <w:tcW w:w="1134" w:type="dxa"/>
            <w:vAlign w:val="center"/>
          </w:tcPr>
          <w:p w14:paraId="6F1E66BC">
            <w:pPr>
              <w:tabs>
                <w:tab w:val="center" w:pos="4201"/>
                <w:tab w:val="right" w:leader="dot" w:pos="9298"/>
              </w:tabs>
              <w:spacing w:line="240" w:lineRule="exact"/>
              <w:jc w:val="center"/>
              <w:outlineLvl w:val="2"/>
              <w:rPr>
                <w:rFonts w:ascii="Times New Roman" w:hAnsi="Times New Roman" w:eastAsia="黑体" w:cs="Times New Roman"/>
                <w:sz w:val="15"/>
                <w:szCs w:val="15"/>
                <w:highlight w:val="none"/>
              </w:rPr>
            </w:pPr>
            <w:r>
              <w:rPr>
                <w:rFonts w:ascii="Times New Roman" w:hAnsi="Times New Roman" w:eastAsia="宋体" w:cs="Times New Roman"/>
                <w:kern w:val="0"/>
                <w:sz w:val="15"/>
                <w:szCs w:val="15"/>
                <w:highlight w:val="none"/>
                <w:lang w:bidi="ar"/>
              </w:rPr>
              <w:t>550.41 ppm</w:t>
            </w:r>
          </w:p>
        </w:tc>
        <w:tc>
          <w:tcPr>
            <w:tcW w:w="992" w:type="dxa"/>
            <w:vMerge w:val="continue"/>
            <w:vAlign w:val="center"/>
          </w:tcPr>
          <w:p w14:paraId="36ECB5BC">
            <w:pPr>
              <w:tabs>
                <w:tab w:val="center" w:pos="4201"/>
                <w:tab w:val="right" w:leader="dot" w:pos="9298"/>
              </w:tabs>
              <w:spacing w:line="240" w:lineRule="exact"/>
              <w:ind w:firstLine="300"/>
              <w:jc w:val="center"/>
              <w:outlineLvl w:val="2"/>
              <w:rPr>
                <w:rFonts w:ascii="Times New Roman" w:hAnsi="Times New Roman" w:eastAsia="黑体" w:cs="Times New Roman"/>
                <w:sz w:val="15"/>
                <w:szCs w:val="15"/>
                <w:highlight w:val="none"/>
              </w:rPr>
            </w:pPr>
          </w:p>
        </w:tc>
        <w:tc>
          <w:tcPr>
            <w:tcW w:w="1559" w:type="dxa"/>
            <w:vMerge w:val="continue"/>
            <w:vAlign w:val="center"/>
          </w:tcPr>
          <w:p w14:paraId="3B5EF1D1">
            <w:pPr>
              <w:widowControl/>
              <w:spacing w:line="240" w:lineRule="exact"/>
              <w:ind w:firstLine="300"/>
              <w:jc w:val="center"/>
              <w:rPr>
                <w:rFonts w:ascii="Times New Roman" w:hAnsi="Times New Roman" w:eastAsia="宋体" w:cs="Times New Roman"/>
                <w:kern w:val="0"/>
                <w:sz w:val="15"/>
                <w:szCs w:val="15"/>
                <w:highlight w:val="none"/>
                <w:lang w:bidi="ar"/>
              </w:rPr>
            </w:pPr>
          </w:p>
        </w:tc>
        <w:tc>
          <w:tcPr>
            <w:tcW w:w="1134" w:type="dxa"/>
            <w:vMerge w:val="continue"/>
            <w:vAlign w:val="center"/>
          </w:tcPr>
          <w:p w14:paraId="48EEC0F4">
            <w:pPr>
              <w:tabs>
                <w:tab w:val="center" w:pos="4201"/>
                <w:tab w:val="right" w:leader="dot" w:pos="9298"/>
              </w:tabs>
              <w:spacing w:line="240" w:lineRule="exact"/>
              <w:ind w:firstLine="300"/>
              <w:jc w:val="center"/>
              <w:outlineLvl w:val="2"/>
              <w:rPr>
                <w:rFonts w:ascii="Times New Roman" w:hAnsi="Times New Roman" w:eastAsia="黑体" w:cs="Times New Roman"/>
                <w:sz w:val="15"/>
                <w:szCs w:val="15"/>
                <w:highlight w:val="none"/>
              </w:rPr>
            </w:pPr>
          </w:p>
        </w:tc>
        <w:tc>
          <w:tcPr>
            <w:tcW w:w="1134" w:type="dxa"/>
            <w:vMerge w:val="continue"/>
            <w:vAlign w:val="center"/>
          </w:tcPr>
          <w:p w14:paraId="12997FA3">
            <w:pPr>
              <w:tabs>
                <w:tab w:val="center" w:pos="4201"/>
                <w:tab w:val="right" w:leader="dot" w:pos="9298"/>
              </w:tabs>
              <w:spacing w:line="240" w:lineRule="exact"/>
              <w:ind w:firstLine="300"/>
              <w:jc w:val="center"/>
              <w:outlineLvl w:val="2"/>
              <w:rPr>
                <w:rFonts w:ascii="Times New Roman" w:hAnsi="Times New Roman" w:eastAsia="黑体" w:cs="Times New Roman"/>
                <w:sz w:val="15"/>
                <w:szCs w:val="15"/>
                <w:highlight w:val="none"/>
              </w:rPr>
            </w:pPr>
          </w:p>
        </w:tc>
      </w:tr>
    </w:tbl>
    <w:p w14:paraId="522DC4F6">
      <w:pPr>
        <w:numPr>
          <w:ilvl w:val="1"/>
          <w:numId w:val="1"/>
        </w:numPr>
        <w:tabs>
          <w:tab w:val="center" w:pos="4201"/>
          <w:tab w:val="right" w:leader="dot" w:pos="9298"/>
        </w:tabs>
        <w:spacing w:before="156" w:beforeLines="50" w:after="156" w:afterLines="50"/>
        <w:ind w:firstLine="420"/>
        <w:outlineLvl w:val="2"/>
        <w:rPr>
          <w:rFonts w:ascii="Times New Roman" w:hAnsi="Times New Roman" w:eastAsia="黑体" w:cs="Times New Roman"/>
          <w:szCs w:val="21"/>
          <w:highlight w:val="none"/>
        </w:rPr>
      </w:pPr>
      <w:r>
        <w:rPr>
          <w:rFonts w:ascii="Times New Roman" w:hAnsi="Times New Roman" w:eastAsia="黑体" w:cs="Times New Roman"/>
          <w:szCs w:val="21"/>
          <w:highlight w:val="none"/>
        </w:rPr>
        <w:t>可比性测试</w:t>
      </w:r>
    </w:p>
    <w:p w14:paraId="4F0F5D11">
      <w:pPr>
        <w:numPr>
          <w:ilvl w:val="2"/>
          <w:numId w:val="1"/>
        </w:numPr>
        <w:ind w:left="0" w:firstLine="420"/>
        <w:rPr>
          <w:rFonts w:ascii="Times New Roman" w:hAnsi="Times New Roman" w:eastAsia="黑体" w:cs="Times New Roman"/>
          <w:szCs w:val="21"/>
          <w:highlight w:val="none"/>
        </w:rPr>
      </w:pPr>
      <w:r>
        <w:rPr>
          <w:rFonts w:ascii="Times New Roman" w:hAnsi="Times New Roman" w:eastAsia="黑体_x0005_.." w:cs="Times New Roman"/>
          <w:szCs w:val="24"/>
          <w:highlight w:val="none"/>
        </w:rPr>
        <w:t>测试方法和技术要求</w:t>
      </w:r>
    </w:p>
    <w:p w14:paraId="23D83380">
      <w:pPr>
        <w:widowControl/>
        <w:ind w:firstLine="420" w:firstLineChars="200"/>
        <w:rPr>
          <w:rStyle w:val="15"/>
          <w:rFonts w:ascii="Times New Roman" w:hAnsi="Times New Roman" w:cs="Times New Roman"/>
          <w:color w:val="auto"/>
          <w:sz w:val="21"/>
          <w:szCs w:val="21"/>
          <w:highlight w:val="none"/>
        </w:rPr>
      </w:pPr>
      <w:r>
        <w:rPr>
          <w:rStyle w:val="15"/>
          <w:rFonts w:ascii="Times New Roman" w:hAnsi="Times New Roman" w:cs="Times New Roman"/>
          <w:color w:val="auto"/>
          <w:sz w:val="21"/>
          <w:szCs w:val="21"/>
          <w:highlight w:val="none"/>
        </w:rPr>
        <w:t>向监测系统通入某一浓度的标气，等待仪器读数稳定后记录仪器示值，根据仪器示值的修正浓度值与标称浓度值的差值，来确定监测系统与标准气体的可比性。将审核用标气从站房内除水设备前端通入监测系统。建议每次通气20分钟， 取后5分钟监测数据均值为记录结果。根据校准方程计算出测试标气的修正浓度值，将测试标气修正浓度值与标气标称浓度值比较，计算出测试标气差值。</w:t>
      </w:r>
    </w:p>
    <w:p w14:paraId="08C16443">
      <w:pPr>
        <w:widowControl/>
        <w:ind w:firstLine="420" w:firstLineChars="200"/>
        <w:rPr>
          <w:rStyle w:val="15"/>
          <w:rFonts w:hint="default" w:ascii="Times New Roman" w:hAnsi="Times New Roman" w:cs="Times New Roman"/>
          <w:color w:val="auto"/>
          <w:sz w:val="21"/>
          <w:szCs w:val="21"/>
          <w:highlight w:val="none"/>
        </w:rPr>
      </w:pPr>
      <w:r>
        <w:rPr>
          <w:rStyle w:val="15"/>
          <w:rFonts w:ascii="Times New Roman" w:hAnsi="Times New Roman" w:cs="Times New Roman"/>
          <w:color w:val="auto"/>
          <w:sz w:val="21"/>
          <w:szCs w:val="21"/>
          <w:highlight w:val="none"/>
        </w:rPr>
        <w:t>测试标气差值应符合以下要求：CH</w:t>
      </w:r>
      <w:r>
        <w:rPr>
          <w:rStyle w:val="15"/>
          <w:rFonts w:ascii="Times New Roman" w:hAnsi="Times New Roman" w:cs="Times New Roman"/>
          <w:color w:val="auto"/>
          <w:sz w:val="21"/>
          <w:szCs w:val="21"/>
          <w:highlight w:val="none"/>
          <w:vertAlign w:val="subscript"/>
        </w:rPr>
        <w:t>4</w:t>
      </w:r>
      <w:r>
        <w:rPr>
          <w:rStyle w:val="15"/>
          <w:rFonts w:ascii="Times New Roman" w:hAnsi="Times New Roman" w:cs="Times New Roman"/>
          <w:color w:val="auto"/>
          <w:sz w:val="21"/>
          <w:szCs w:val="21"/>
          <w:highlight w:val="none"/>
        </w:rPr>
        <w:t>、CO</w:t>
      </w:r>
      <w:r>
        <w:rPr>
          <w:rStyle w:val="15"/>
          <w:rFonts w:ascii="Times New Roman" w:hAnsi="Times New Roman" w:cs="Times New Roman"/>
          <w:color w:val="auto"/>
          <w:sz w:val="21"/>
          <w:szCs w:val="21"/>
          <w:highlight w:val="none"/>
          <w:vertAlign w:val="subscript"/>
        </w:rPr>
        <w:t>2</w:t>
      </w:r>
      <w:r>
        <w:rPr>
          <w:rStyle w:val="15"/>
          <w:rFonts w:ascii="Times New Roman" w:hAnsi="Times New Roman" w:cs="Times New Roman"/>
          <w:color w:val="auto"/>
          <w:sz w:val="21"/>
          <w:szCs w:val="21"/>
          <w:highlight w:val="none"/>
        </w:rPr>
        <w:t>不超过±0.2ppm/5ppb。</w:t>
      </w:r>
    </w:p>
    <w:p w14:paraId="7E302525">
      <w:pPr>
        <w:numPr>
          <w:ilvl w:val="2"/>
          <w:numId w:val="1"/>
        </w:numPr>
        <w:ind w:left="0" w:firstLine="420"/>
        <w:rPr>
          <w:rFonts w:ascii="Times New Roman" w:hAnsi="Times New Roman" w:eastAsia="黑体_x0005_.." w:cs="Times New Roman"/>
          <w:szCs w:val="24"/>
          <w:highlight w:val="none"/>
        </w:rPr>
      </w:pPr>
      <w:r>
        <w:rPr>
          <w:rFonts w:ascii="Times New Roman" w:hAnsi="Times New Roman" w:eastAsia="黑体_x0005_.." w:cs="Times New Roman"/>
          <w:szCs w:val="24"/>
          <w:highlight w:val="none"/>
        </w:rPr>
        <w:t>测试结果</w:t>
      </w:r>
    </w:p>
    <w:p w14:paraId="180DEF3C">
      <w:pPr>
        <w:pStyle w:val="11"/>
        <w:rPr>
          <w:highlight w:val="none"/>
        </w:rPr>
      </w:pPr>
      <w:r>
        <w:rPr>
          <w:highlight w:val="none"/>
        </w:rPr>
        <w:t>根</w:t>
      </w:r>
      <w:r>
        <w:rPr>
          <w:szCs w:val="21"/>
          <w:highlight w:val="none"/>
        </w:rPr>
        <w:t>据上述方法和技术要求对</w:t>
      </w:r>
      <w:r>
        <w:rPr>
          <w:rStyle w:val="15"/>
          <w:rFonts w:hint="default" w:ascii="Times New Roman" w:hAnsi="Times New Roman"/>
          <w:color w:val="auto"/>
          <w:sz w:val="21"/>
          <w:szCs w:val="21"/>
          <w:highlight w:val="none"/>
        </w:rPr>
        <w:t>QCL</w:t>
      </w:r>
      <w:r>
        <w:rPr>
          <w:szCs w:val="21"/>
          <w:highlight w:val="none"/>
        </w:rPr>
        <w:t>PAS</w:t>
      </w:r>
      <w:r>
        <w:rPr>
          <w:rFonts w:hint="eastAsia" w:hAnsi="宋体"/>
          <w:highlight w:val="none"/>
        </w:rPr>
        <w:t>气体监测</w:t>
      </w:r>
      <w:r>
        <w:rPr>
          <w:rFonts w:hint="eastAsia"/>
          <w:szCs w:val="21"/>
          <w:highlight w:val="none"/>
        </w:rPr>
        <w:t>方法</w:t>
      </w:r>
      <w:r>
        <w:rPr>
          <w:szCs w:val="21"/>
          <w:highlight w:val="none"/>
        </w:rPr>
        <w:t>进行CH</w:t>
      </w:r>
      <w:r>
        <w:rPr>
          <w:szCs w:val="21"/>
          <w:highlight w:val="none"/>
          <w:vertAlign w:val="subscript"/>
        </w:rPr>
        <w:t>4</w:t>
      </w:r>
      <w:r>
        <w:rPr>
          <w:szCs w:val="21"/>
          <w:highlight w:val="none"/>
        </w:rPr>
        <w:t>、CO</w:t>
      </w:r>
      <w:r>
        <w:rPr>
          <w:szCs w:val="21"/>
          <w:highlight w:val="none"/>
          <w:vertAlign w:val="subscript"/>
        </w:rPr>
        <w:t>2</w:t>
      </w:r>
      <w:r>
        <w:rPr>
          <w:szCs w:val="21"/>
          <w:highlight w:val="none"/>
        </w:rPr>
        <w:t>气体的可比性测试，根据上述8.3.1中的标准进行评价（见下表），三种气体的</w:t>
      </w:r>
      <w:r>
        <w:rPr>
          <w:rStyle w:val="15"/>
          <w:rFonts w:hint="default" w:ascii="Times New Roman" w:hAnsi="Times New Roman"/>
          <w:color w:val="auto"/>
          <w:sz w:val="21"/>
          <w:szCs w:val="21"/>
          <w:highlight w:val="none"/>
        </w:rPr>
        <w:t>测试标气修正浓度值与标气标称浓度值</w:t>
      </w:r>
      <w:r>
        <w:rPr>
          <w:szCs w:val="21"/>
          <w:highlight w:val="none"/>
        </w:rPr>
        <w:t>均符合要求。</w:t>
      </w:r>
    </w:p>
    <w:tbl>
      <w:tblPr>
        <w:tblStyle w:val="7"/>
        <w:tblpPr w:leftFromText="180" w:rightFromText="180" w:vertAnchor="text" w:horzAnchor="page" w:tblpX="1793" w:tblpY="451"/>
        <w:tblOverlap w:val="never"/>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77"/>
        <w:gridCol w:w="1378"/>
        <w:gridCol w:w="1378"/>
        <w:gridCol w:w="1376"/>
        <w:gridCol w:w="1378"/>
        <w:gridCol w:w="1635"/>
      </w:tblGrid>
      <w:tr w14:paraId="6576FE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6" w:hRule="exact"/>
        </w:trPr>
        <w:tc>
          <w:tcPr>
            <w:tcW w:w="8522" w:type="dxa"/>
            <w:gridSpan w:val="6"/>
            <w:tcBorders>
              <w:top w:val="nil"/>
              <w:left w:val="nil"/>
              <w:right w:val="nil"/>
            </w:tcBorders>
            <w:vAlign w:val="center"/>
          </w:tcPr>
          <w:p w14:paraId="699F8EC3">
            <w:pPr>
              <w:tabs>
                <w:tab w:val="center" w:pos="4201"/>
                <w:tab w:val="right" w:leader="dot" w:pos="9298"/>
              </w:tabs>
              <w:spacing w:line="240" w:lineRule="exact"/>
              <w:ind w:firstLine="420"/>
              <w:jc w:val="center"/>
              <w:outlineLvl w:val="2"/>
              <w:rPr>
                <w:rFonts w:ascii="Times New Roman" w:hAnsi="Times New Roman" w:eastAsia="黑体" w:cs="Times New Roman"/>
                <w:szCs w:val="21"/>
                <w:highlight w:val="none"/>
              </w:rPr>
            </w:pPr>
            <w:bookmarkStart w:id="105" w:name="OLE_LINK8"/>
            <w:r>
              <w:rPr>
                <w:rFonts w:ascii="Times New Roman" w:hAnsi="Times New Roman" w:eastAsia="黑体" w:cs="Times New Roman"/>
                <w:szCs w:val="21"/>
                <w:highlight w:val="none"/>
              </w:rPr>
              <w:t>表6 可比性测试结果统计表</w:t>
            </w:r>
          </w:p>
          <w:p w14:paraId="2934B0FF">
            <w:pPr>
              <w:tabs>
                <w:tab w:val="center" w:pos="4201"/>
                <w:tab w:val="right" w:leader="dot" w:pos="9298"/>
              </w:tabs>
              <w:spacing w:line="240" w:lineRule="exact"/>
              <w:ind w:firstLine="361"/>
              <w:jc w:val="center"/>
              <w:outlineLvl w:val="2"/>
              <w:rPr>
                <w:rFonts w:ascii="Times New Roman" w:hAnsi="Times New Roman" w:eastAsia="黑体" w:cs="Times New Roman"/>
                <w:b/>
                <w:bCs/>
                <w:kern w:val="0"/>
                <w:sz w:val="18"/>
                <w:szCs w:val="18"/>
                <w:highlight w:val="none"/>
                <w:lang w:bidi="ar"/>
              </w:rPr>
            </w:pPr>
          </w:p>
        </w:tc>
      </w:tr>
      <w:tr w14:paraId="0D414D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6" w:hRule="exact"/>
        </w:trPr>
        <w:tc>
          <w:tcPr>
            <w:tcW w:w="1377" w:type="dxa"/>
            <w:vAlign w:val="center"/>
          </w:tcPr>
          <w:p w14:paraId="210F5D5B">
            <w:pPr>
              <w:widowControl/>
              <w:spacing w:line="240" w:lineRule="exact"/>
              <w:jc w:val="center"/>
              <w:rPr>
                <w:rFonts w:ascii="Times New Roman" w:hAnsi="Times New Roman" w:eastAsia="黑体" w:cs="Times New Roman"/>
                <w:b/>
                <w:bCs/>
                <w:sz w:val="18"/>
                <w:szCs w:val="18"/>
                <w:highlight w:val="none"/>
              </w:rPr>
            </w:pPr>
            <w:r>
              <w:rPr>
                <w:rFonts w:ascii="Times New Roman" w:hAnsi="Times New Roman" w:eastAsia="黑体" w:cs="Times New Roman"/>
                <w:b/>
                <w:bCs/>
                <w:kern w:val="0"/>
                <w:sz w:val="18"/>
                <w:szCs w:val="18"/>
                <w:highlight w:val="none"/>
                <w:lang w:bidi="ar"/>
              </w:rPr>
              <w:t>气体</w:t>
            </w:r>
          </w:p>
        </w:tc>
        <w:tc>
          <w:tcPr>
            <w:tcW w:w="1378" w:type="dxa"/>
            <w:vAlign w:val="center"/>
          </w:tcPr>
          <w:p w14:paraId="657D3D81">
            <w:pPr>
              <w:tabs>
                <w:tab w:val="center" w:pos="4201"/>
                <w:tab w:val="right" w:leader="dot" w:pos="9298"/>
              </w:tabs>
              <w:spacing w:line="240" w:lineRule="exact"/>
              <w:jc w:val="center"/>
              <w:outlineLvl w:val="2"/>
              <w:rPr>
                <w:rFonts w:ascii="Times New Roman" w:hAnsi="Times New Roman" w:eastAsia="黑体" w:cs="Times New Roman"/>
                <w:b/>
                <w:bCs/>
                <w:sz w:val="18"/>
                <w:szCs w:val="18"/>
                <w:highlight w:val="none"/>
              </w:rPr>
            </w:pPr>
            <w:r>
              <w:rPr>
                <w:rFonts w:ascii="Times New Roman" w:hAnsi="Times New Roman" w:eastAsia="黑体" w:cs="Times New Roman"/>
                <w:b/>
                <w:bCs/>
                <w:kern w:val="0"/>
                <w:sz w:val="18"/>
                <w:szCs w:val="18"/>
                <w:highlight w:val="none"/>
                <w:lang w:bidi="ar"/>
              </w:rPr>
              <w:t>标称浓度</w:t>
            </w:r>
          </w:p>
        </w:tc>
        <w:tc>
          <w:tcPr>
            <w:tcW w:w="1378" w:type="dxa"/>
            <w:vAlign w:val="center"/>
          </w:tcPr>
          <w:p w14:paraId="10AD68B7">
            <w:pPr>
              <w:tabs>
                <w:tab w:val="center" w:pos="4201"/>
                <w:tab w:val="right" w:leader="dot" w:pos="9298"/>
              </w:tabs>
              <w:spacing w:line="240" w:lineRule="exact"/>
              <w:jc w:val="center"/>
              <w:outlineLvl w:val="2"/>
              <w:rPr>
                <w:rFonts w:ascii="Times New Roman" w:hAnsi="Times New Roman" w:eastAsia="黑体" w:cs="Times New Roman"/>
                <w:b/>
                <w:bCs/>
                <w:sz w:val="18"/>
                <w:szCs w:val="18"/>
                <w:highlight w:val="none"/>
              </w:rPr>
            </w:pPr>
            <w:r>
              <w:rPr>
                <w:rFonts w:ascii="Times New Roman" w:hAnsi="Times New Roman" w:eastAsia="黑体" w:cs="Times New Roman"/>
                <w:b/>
                <w:bCs/>
                <w:kern w:val="0"/>
                <w:sz w:val="18"/>
                <w:szCs w:val="18"/>
                <w:highlight w:val="none"/>
                <w:lang w:bidi="ar"/>
              </w:rPr>
              <w:t>测量值</w:t>
            </w:r>
          </w:p>
        </w:tc>
        <w:tc>
          <w:tcPr>
            <w:tcW w:w="1376" w:type="dxa"/>
            <w:vAlign w:val="center"/>
          </w:tcPr>
          <w:p w14:paraId="6796E8B4">
            <w:pPr>
              <w:tabs>
                <w:tab w:val="center" w:pos="4201"/>
                <w:tab w:val="right" w:leader="dot" w:pos="9298"/>
              </w:tabs>
              <w:spacing w:line="240" w:lineRule="exact"/>
              <w:jc w:val="center"/>
              <w:outlineLvl w:val="2"/>
              <w:rPr>
                <w:rFonts w:ascii="Times New Roman" w:hAnsi="Times New Roman" w:eastAsia="黑体" w:cs="Times New Roman"/>
                <w:b/>
                <w:bCs/>
                <w:kern w:val="0"/>
                <w:sz w:val="18"/>
                <w:szCs w:val="18"/>
                <w:highlight w:val="none"/>
                <w:lang w:bidi="ar"/>
              </w:rPr>
            </w:pPr>
            <w:r>
              <w:rPr>
                <w:rFonts w:ascii="Times New Roman" w:hAnsi="Times New Roman" w:eastAsia="黑体" w:cs="Times New Roman"/>
                <w:b/>
                <w:bCs/>
                <w:kern w:val="0"/>
                <w:sz w:val="18"/>
                <w:szCs w:val="18"/>
                <w:highlight w:val="none"/>
                <w:lang w:bidi="ar"/>
              </w:rPr>
              <w:t>修正浓度值</w:t>
            </w:r>
          </w:p>
        </w:tc>
        <w:tc>
          <w:tcPr>
            <w:tcW w:w="1378" w:type="dxa"/>
            <w:vAlign w:val="center"/>
          </w:tcPr>
          <w:p w14:paraId="236A3262">
            <w:pPr>
              <w:tabs>
                <w:tab w:val="center" w:pos="4201"/>
                <w:tab w:val="right" w:leader="dot" w:pos="9298"/>
              </w:tabs>
              <w:spacing w:line="240" w:lineRule="exact"/>
              <w:jc w:val="center"/>
              <w:outlineLvl w:val="2"/>
              <w:rPr>
                <w:rFonts w:ascii="Times New Roman" w:hAnsi="Times New Roman" w:eastAsia="黑体" w:cs="Times New Roman"/>
                <w:b/>
                <w:bCs/>
                <w:sz w:val="18"/>
                <w:szCs w:val="18"/>
                <w:highlight w:val="none"/>
              </w:rPr>
            </w:pPr>
            <w:r>
              <w:rPr>
                <w:rFonts w:ascii="Times New Roman" w:hAnsi="Times New Roman" w:eastAsia="黑体" w:cs="Times New Roman"/>
                <w:b/>
                <w:bCs/>
                <w:kern w:val="0"/>
                <w:sz w:val="18"/>
                <w:szCs w:val="18"/>
                <w:highlight w:val="none"/>
                <w:lang w:bidi="ar"/>
              </w:rPr>
              <w:t>差值</w:t>
            </w:r>
          </w:p>
        </w:tc>
        <w:tc>
          <w:tcPr>
            <w:tcW w:w="1635" w:type="dxa"/>
            <w:vAlign w:val="center"/>
          </w:tcPr>
          <w:p w14:paraId="3C1BB025">
            <w:pPr>
              <w:tabs>
                <w:tab w:val="center" w:pos="4201"/>
                <w:tab w:val="right" w:leader="dot" w:pos="9298"/>
              </w:tabs>
              <w:spacing w:line="240" w:lineRule="exact"/>
              <w:jc w:val="center"/>
              <w:outlineLvl w:val="2"/>
              <w:rPr>
                <w:rFonts w:ascii="Times New Roman" w:hAnsi="Times New Roman" w:eastAsia="黑体" w:cs="Times New Roman"/>
                <w:b/>
                <w:bCs/>
                <w:sz w:val="18"/>
                <w:szCs w:val="18"/>
                <w:highlight w:val="none"/>
              </w:rPr>
            </w:pPr>
            <w:r>
              <w:rPr>
                <w:rFonts w:ascii="Times New Roman" w:hAnsi="Times New Roman" w:eastAsia="黑体" w:cs="Times New Roman"/>
                <w:b/>
                <w:bCs/>
                <w:kern w:val="0"/>
                <w:sz w:val="18"/>
                <w:szCs w:val="18"/>
                <w:highlight w:val="none"/>
                <w:lang w:bidi="ar"/>
              </w:rPr>
              <w:t>审核结果</w:t>
            </w:r>
          </w:p>
        </w:tc>
      </w:tr>
      <w:tr w14:paraId="58BC4B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6" w:hRule="exact"/>
        </w:trPr>
        <w:tc>
          <w:tcPr>
            <w:tcW w:w="1377" w:type="dxa"/>
            <w:vMerge w:val="restart"/>
            <w:vAlign w:val="center"/>
          </w:tcPr>
          <w:p w14:paraId="1D43AA69">
            <w:pPr>
              <w:widowControl/>
              <w:spacing w:line="240" w:lineRule="exact"/>
              <w:jc w:val="center"/>
              <w:rPr>
                <w:rFonts w:ascii="Times New Roman" w:hAnsi="Times New Roman" w:eastAsia="黑体" w:cs="Times New Roman"/>
                <w:sz w:val="15"/>
                <w:szCs w:val="15"/>
                <w:highlight w:val="none"/>
              </w:rPr>
            </w:pPr>
            <w:r>
              <w:rPr>
                <w:rFonts w:ascii="Times New Roman" w:hAnsi="Times New Roman" w:eastAsia="宋体" w:cs="Times New Roman"/>
                <w:kern w:val="0"/>
                <w:sz w:val="15"/>
                <w:szCs w:val="15"/>
                <w:highlight w:val="none"/>
                <w:lang w:bidi="ar"/>
              </w:rPr>
              <w:t>CH4</w:t>
            </w:r>
          </w:p>
        </w:tc>
        <w:tc>
          <w:tcPr>
            <w:tcW w:w="1378" w:type="dxa"/>
          </w:tcPr>
          <w:p w14:paraId="47ED3BE3">
            <w:pPr>
              <w:widowControl/>
              <w:spacing w:line="240" w:lineRule="exact"/>
              <w:jc w:val="center"/>
              <w:rPr>
                <w:rFonts w:ascii="Times New Roman" w:hAnsi="Times New Roman" w:eastAsia="宋体" w:cs="Times New Roman"/>
                <w:kern w:val="0"/>
                <w:sz w:val="15"/>
                <w:szCs w:val="15"/>
                <w:highlight w:val="none"/>
                <w:lang w:bidi="ar"/>
              </w:rPr>
            </w:pPr>
            <w:r>
              <w:rPr>
                <w:rFonts w:ascii="Times New Roman" w:hAnsi="Times New Roman" w:eastAsia="宋体" w:cs="Times New Roman"/>
                <w:kern w:val="0"/>
                <w:sz w:val="15"/>
                <w:szCs w:val="15"/>
                <w:highlight w:val="none"/>
                <w:lang w:bidi="ar"/>
              </w:rPr>
              <w:t>1801 ppb</w:t>
            </w:r>
          </w:p>
        </w:tc>
        <w:tc>
          <w:tcPr>
            <w:tcW w:w="1378" w:type="dxa"/>
          </w:tcPr>
          <w:p w14:paraId="731F40B7">
            <w:pPr>
              <w:widowControl/>
              <w:spacing w:line="240" w:lineRule="exact"/>
              <w:jc w:val="center"/>
              <w:rPr>
                <w:rFonts w:ascii="Times New Roman" w:hAnsi="Times New Roman" w:eastAsia="宋体" w:cs="Times New Roman"/>
                <w:kern w:val="0"/>
                <w:sz w:val="15"/>
                <w:szCs w:val="15"/>
                <w:highlight w:val="none"/>
                <w:lang w:bidi="ar"/>
              </w:rPr>
            </w:pPr>
            <w:r>
              <w:rPr>
                <w:rFonts w:ascii="Times New Roman" w:hAnsi="Times New Roman" w:eastAsia="宋体" w:cs="Times New Roman"/>
                <w:kern w:val="0"/>
                <w:sz w:val="15"/>
                <w:szCs w:val="15"/>
                <w:highlight w:val="none"/>
                <w:lang w:bidi="ar"/>
              </w:rPr>
              <w:t>1787.07 ppb</w:t>
            </w:r>
          </w:p>
        </w:tc>
        <w:tc>
          <w:tcPr>
            <w:tcW w:w="1376" w:type="dxa"/>
            <w:vAlign w:val="center"/>
          </w:tcPr>
          <w:p w14:paraId="110290BD">
            <w:pPr>
              <w:widowControl/>
              <w:spacing w:line="240" w:lineRule="exact"/>
              <w:jc w:val="center"/>
              <w:rPr>
                <w:rFonts w:ascii="Times New Roman" w:hAnsi="Times New Roman" w:eastAsia="宋体" w:cs="Times New Roman"/>
                <w:kern w:val="0"/>
                <w:sz w:val="15"/>
                <w:szCs w:val="15"/>
                <w:highlight w:val="none"/>
                <w:lang w:bidi="ar"/>
              </w:rPr>
            </w:pPr>
            <w:r>
              <w:rPr>
                <w:rFonts w:ascii="Times New Roman" w:hAnsi="Times New Roman" w:eastAsia="宋体" w:cs="Times New Roman"/>
                <w:kern w:val="0"/>
                <w:sz w:val="15"/>
                <w:szCs w:val="15"/>
                <w:highlight w:val="none"/>
                <w:lang w:bidi="ar"/>
              </w:rPr>
              <w:t>1803.3 ppb</w:t>
            </w:r>
          </w:p>
        </w:tc>
        <w:tc>
          <w:tcPr>
            <w:tcW w:w="1378" w:type="dxa"/>
            <w:vAlign w:val="center"/>
          </w:tcPr>
          <w:p w14:paraId="2A7757A3">
            <w:pPr>
              <w:widowControl/>
              <w:spacing w:line="240" w:lineRule="exact"/>
              <w:jc w:val="center"/>
              <w:rPr>
                <w:rFonts w:ascii="Times New Roman" w:hAnsi="Times New Roman" w:eastAsia="宋体" w:cs="Times New Roman"/>
                <w:kern w:val="0"/>
                <w:sz w:val="15"/>
                <w:szCs w:val="15"/>
                <w:highlight w:val="none"/>
                <w:lang w:bidi="ar"/>
              </w:rPr>
            </w:pPr>
            <w:r>
              <w:rPr>
                <w:rFonts w:ascii="Times New Roman" w:hAnsi="Times New Roman" w:eastAsia="宋体" w:cs="Times New Roman"/>
                <w:kern w:val="0"/>
                <w:sz w:val="15"/>
                <w:szCs w:val="15"/>
                <w:highlight w:val="none"/>
                <w:lang w:bidi="ar"/>
              </w:rPr>
              <w:t>2.3 ppb</w:t>
            </w:r>
          </w:p>
        </w:tc>
        <w:tc>
          <w:tcPr>
            <w:tcW w:w="1635" w:type="dxa"/>
            <w:vAlign w:val="center"/>
          </w:tcPr>
          <w:p w14:paraId="3F69CBCD">
            <w:pPr>
              <w:tabs>
                <w:tab w:val="center" w:pos="4201"/>
                <w:tab w:val="right" w:leader="dot" w:pos="9298"/>
              </w:tabs>
              <w:spacing w:line="240" w:lineRule="exact"/>
              <w:jc w:val="center"/>
              <w:outlineLvl w:val="2"/>
              <w:rPr>
                <w:rFonts w:ascii="Times New Roman" w:hAnsi="Times New Roman" w:eastAsia="黑体" w:cs="Times New Roman"/>
                <w:sz w:val="15"/>
                <w:szCs w:val="15"/>
                <w:highlight w:val="none"/>
              </w:rPr>
            </w:pPr>
            <w:r>
              <w:rPr>
                <w:rFonts w:ascii="Times New Roman" w:hAnsi="Times New Roman" w:eastAsia="黑体" w:cs="Times New Roman"/>
                <w:sz w:val="15"/>
                <w:szCs w:val="15"/>
                <w:highlight w:val="none"/>
              </w:rPr>
              <w:t>合格</w:t>
            </w:r>
          </w:p>
        </w:tc>
      </w:tr>
      <w:tr w14:paraId="320DC5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6" w:hRule="exact"/>
        </w:trPr>
        <w:tc>
          <w:tcPr>
            <w:tcW w:w="1377" w:type="dxa"/>
            <w:vMerge w:val="continue"/>
            <w:vAlign w:val="center"/>
          </w:tcPr>
          <w:p w14:paraId="4A9C8657">
            <w:pPr>
              <w:tabs>
                <w:tab w:val="center" w:pos="4201"/>
                <w:tab w:val="right" w:leader="dot" w:pos="9298"/>
              </w:tabs>
              <w:spacing w:line="240" w:lineRule="exact"/>
              <w:jc w:val="center"/>
              <w:outlineLvl w:val="2"/>
              <w:rPr>
                <w:rFonts w:ascii="Times New Roman" w:hAnsi="Times New Roman" w:eastAsia="黑体" w:cs="Times New Roman"/>
                <w:sz w:val="15"/>
                <w:szCs w:val="15"/>
                <w:highlight w:val="none"/>
              </w:rPr>
            </w:pPr>
          </w:p>
        </w:tc>
        <w:tc>
          <w:tcPr>
            <w:tcW w:w="1378" w:type="dxa"/>
          </w:tcPr>
          <w:p w14:paraId="71DA89A6">
            <w:pPr>
              <w:widowControl/>
              <w:spacing w:line="240" w:lineRule="exact"/>
              <w:jc w:val="center"/>
              <w:rPr>
                <w:rFonts w:ascii="Times New Roman" w:hAnsi="Times New Roman" w:eastAsia="宋体" w:cs="Times New Roman"/>
                <w:kern w:val="0"/>
                <w:sz w:val="15"/>
                <w:szCs w:val="15"/>
                <w:highlight w:val="none"/>
                <w:lang w:bidi="ar"/>
              </w:rPr>
            </w:pPr>
            <w:r>
              <w:rPr>
                <w:rFonts w:ascii="Times New Roman" w:hAnsi="Times New Roman" w:eastAsia="宋体" w:cs="Times New Roman"/>
                <w:kern w:val="0"/>
                <w:sz w:val="15"/>
                <w:szCs w:val="15"/>
                <w:highlight w:val="none"/>
                <w:lang w:bidi="ar"/>
              </w:rPr>
              <w:t>2409.8 ppb</w:t>
            </w:r>
          </w:p>
        </w:tc>
        <w:tc>
          <w:tcPr>
            <w:tcW w:w="1378" w:type="dxa"/>
          </w:tcPr>
          <w:p w14:paraId="67DFA189">
            <w:pPr>
              <w:widowControl/>
              <w:spacing w:line="240" w:lineRule="exact"/>
              <w:jc w:val="center"/>
              <w:rPr>
                <w:rFonts w:ascii="Times New Roman" w:hAnsi="Times New Roman" w:eastAsia="宋体" w:cs="Times New Roman"/>
                <w:kern w:val="0"/>
                <w:sz w:val="15"/>
                <w:szCs w:val="15"/>
                <w:highlight w:val="none"/>
                <w:lang w:bidi="ar"/>
              </w:rPr>
            </w:pPr>
            <w:r>
              <w:rPr>
                <w:rFonts w:ascii="Times New Roman" w:hAnsi="Times New Roman" w:eastAsia="宋体" w:cs="Times New Roman"/>
                <w:kern w:val="0"/>
                <w:sz w:val="15"/>
                <w:szCs w:val="15"/>
                <w:highlight w:val="none"/>
                <w:lang w:bidi="ar"/>
              </w:rPr>
              <w:t>2384.77 ppb</w:t>
            </w:r>
          </w:p>
        </w:tc>
        <w:tc>
          <w:tcPr>
            <w:tcW w:w="1376" w:type="dxa"/>
            <w:vAlign w:val="center"/>
          </w:tcPr>
          <w:p w14:paraId="0944E4E8">
            <w:pPr>
              <w:widowControl/>
              <w:spacing w:line="240" w:lineRule="exact"/>
              <w:jc w:val="center"/>
              <w:rPr>
                <w:rFonts w:ascii="Times New Roman" w:hAnsi="Times New Roman" w:eastAsia="宋体" w:cs="Times New Roman"/>
                <w:kern w:val="0"/>
                <w:sz w:val="15"/>
                <w:szCs w:val="15"/>
                <w:highlight w:val="none"/>
                <w:lang w:bidi="ar"/>
              </w:rPr>
            </w:pPr>
            <w:r>
              <w:rPr>
                <w:rFonts w:ascii="Times New Roman" w:hAnsi="Times New Roman" w:eastAsia="宋体" w:cs="Times New Roman"/>
                <w:kern w:val="0"/>
                <w:sz w:val="15"/>
                <w:szCs w:val="15"/>
                <w:highlight w:val="none"/>
                <w:lang w:bidi="ar"/>
              </w:rPr>
              <w:t>2408.3 ppb</w:t>
            </w:r>
          </w:p>
        </w:tc>
        <w:tc>
          <w:tcPr>
            <w:tcW w:w="1378" w:type="dxa"/>
            <w:vAlign w:val="center"/>
          </w:tcPr>
          <w:p w14:paraId="330E4D7B">
            <w:pPr>
              <w:widowControl/>
              <w:spacing w:line="240" w:lineRule="exact"/>
              <w:jc w:val="center"/>
              <w:rPr>
                <w:rFonts w:ascii="Times New Roman" w:hAnsi="Times New Roman" w:eastAsia="宋体" w:cs="Times New Roman"/>
                <w:kern w:val="0"/>
                <w:sz w:val="15"/>
                <w:szCs w:val="15"/>
                <w:highlight w:val="none"/>
                <w:lang w:bidi="ar"/>
              </w:rPr>
            </w:pPr>
            <w:r>
              <w:rPr>
                <w:rFonts w:ascii="Times New Roman" w:hAnsi="Times New Roman" w:eastAsia="宋体" w:cs="Times New Roman"/>
                <w:kern w:val="0"/>
                <w:sz w:val="15"/>
                <w:szCs w:val="15"/>
                <w:highlight w:val="none"/>
                <w:lang w:bidi="ar"/>
              </w:rPr>
              <w:t>-1.5 ppb</w:t>
            </w:r>
          </w:p>
        </w:tc>
        <w:tc>
          <w:tcPr>
            <w:tcW w:w="1635" w:type="dxa"/>
            <w:vAlign w:val="center"/>
          </w:tcPr>
          <w:p w14:paraId="46BF402C">
            <w:pPr>
              <w:tabs>
                <w:tab w:val="center" w:pos="4201"/>
                <w:tab w:val="right" w:leader="dot" w:pos="9298"/>
              </w:tabs>
              <w:spacing w:line="240" w:lineRule="exact"/>
              <w:jc w:val="center"/>
              <w:outlineLvl w:val="2"/>
              <w:rPr>
                <w:rFonts w:ascii="Times New Roman" w:hAnsi="Times New Roman" w:eastAsia="黑体" w:cs="Times New Roman"/>
                <w:sz w:val="15"/>
                <w:szCs w:val="15"/>
                <w:highlight w:val="none"/>
              </w:rPr>
            </w:pPr>
            <w:r>
              <w:rPr>
                <w:rFonts w:ascii="Times New Roman" w:hAnsi="Times New Roman" w:eastAsia="黑体" w:cs="Times New Roman"/>
                <w:sz w:val="15"/>
                <w:szCs w:val="15"/>
                <w:highlight w:val="none"/>
              </w:rPr>
              <w:t>合格</w:t>
            </w:r>
          </w:p>
        </w:tc>
      </w:tr>
      <w:tr w14:paraId="16A9E1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exact"/>
        </w:trPr>
        <w:tc>
          <w:tcPr>
            <w:tcW w:w="1377" w:type="dxa"/>
            <w:vMerge w:val="continue"/>
            <w:vAlign w:val="center"/>
          </w:tcPr>
          <w:p w14:paraId="55657B0D">
            <w:pPr>
              <w:tabs>
                <w:tab w:val="center" w:pos="4201"/>
                <w:tab w:val="right" w:leader="dot" w:pos="9298"/>
              </w:tabs>
              <w:spacing w:line="240" w:lineRule="exact"/>
              <w:jc w:val="center"/>
              <w:outlineLvl w:val="2"/>
              <w:rPr>
                <w:rFonts w:ascii="Times New Roman" w:hAnsi="Times New Roman" w:eastAsia="黑体" w:cs="Times New Roman"/>
                <w:sz w:val="15"/>
                <w:szCs w:val="15"/>
                <w:highlight w:val="none"/>
              </w:rPr>
            </w:pPr>
          </w:p>
        </w:tc>
        <w:tc>
          <w:tcPr>
            <w:tcW w:w="1378" w:type="dxa"/>
          </w:tcPr>
          <w:p w14:paraId="312E8F92">
            <w:pPr>
              <w:widowControl/>
              <w:spacing w:line="240" w:lineRule="exact"/>
              <w:jc w:val="center"/>
              <w:rPr>
                <w:rFonts w:ascii="Times New Roman" w:hAnsi="Times New Roman" w:eastAsia="宋体" w:cs="Times New Roman"/>
                <w:kern w:val="0"/>
                <w:sz w:val="15"/>
                <w:szCs w:val="15"/>
                <w:highlight w:val="none"/>
                <w:lang w:bidi="ar"/>
              </w:rPr>
            </w:pPr>
            <w:r>
              <w:rPr>
                <w:rFonts w:ascii="Times New Roman" w:hAnsi="Times New Roman" w:eastAsia="宋体" w:cs="Times New Roman"/>
                <w:kern w:val="0"/>
                <w:sz w:val="15"/>
                <w:szCs w:val="15"/>
                <w:highlight w:val="none"/>
                <w:lang w:bidi="ar"/>
              </w:rPr>
              <w:t>3107.4 ppb</w:t>
            </w:r>
          </w:p>
        </w:tc>
        <w:tc>
          <w:tcPr>
            <w:tcW w:w="1378" w:type="dxa"/>
          </w:tcPr>
          <w:p w14:paraId="62469274">
            <w:pPr>
              <w:widowControl/>
              <w:spacing w:line="240" w:lineRule="exact"/>
              <w:jc w:val="center"/>
              <w:rPr>
                <w:rFonts w:ascii="Times New Roman" w:hAnsi="Times New Roman" w:eastAsia="宋体" w:cs="Times New Roman"/>
                <w:kern w:val="0"/>
                <w:sz w:val="15"/>
                <w:szCs w:val="15"/>
                <w:highlight w:val="none"/>
                <w:lang w:bidi="ar"/>
              </w:rPr>
            </w:pPr>
            <w:r>
              <w:rPr>
                <w:rFonts w:ascii="Times New Roman" w:hAnsi="Times New Roman" w:eastAsia="宋体" w:cs="Times New Roman"/>
                <w:kern w:val="0"/>
                <w:sz w:val="15"/>
                <w:szCs w:val="15"/>
                <w:highlight w:val="none"/>
                <w:lang w:bidi="ar"/>
              </w:rPr>
              <w:t>3078.49 ppb</w:t>
            </w:r>
          </w:p>
        </w:tc>
        <w:tc>
          <w:tcPr>
            <w:tcW w:w="1376" w:type="dxa"/>
            <w:vAlign w:val="center"/>
          </w:tcPr>
          <w:p w14:paraId="486D51BE">
            <w:pPr>
              <w:widowControl/>
              <w:spacing w:line="240" w:lineRule="exact"/>
              <w:jc w:val="center"/>
              <w:rPr>
                <w:rFonts w:ascii="Times New Roman" w:hAnsi="Times New Roman" w:eastAsia="宋体" w:cs="Times New Roman"/>
                <w:kern w:val="0"/>
                <w:sz w:val="15"/>
                <w:szCs w:val="15"/>
                <w:highlight w:val="none"/>
                <w:lang w:bidi="ar"/>
              </w:rPr>
            </w:pPr>
            <w:r>
              <w:rPr>
                <w:rFonts w:ascii="Times New Roman" w:hAnsi="Times New Roman" w:eastAsia="宋体" w:cs="Times New Roman"/>
                <w:kern w:val="0"/>
                <w:sz w:val="15"/>
                <w:szCs w:val="15"/>
                <w:highlight w:val="none"/>
                <w:lang w:bidi="ar"/>
              </w:rPr>
              <w:t>3110.5 ppb</w:t>
            </w:r>
          </w:p>
        </w:tc>
        <w:tc>
          <w:tcPr>
            <w:tcW w:w="1378" w:type="dxa"/>
            <w:vAlign w:val="center"/>
          </w:tcPr>
          <w:p w14:paraId="24E5CB8E">
            <w:pPr>
              <w:widowControl/>
              <w:spacing w:line="240" w:lineRule="exact"/>
              <w:jc w:val="center"/>
              <w:rPr>
                <w:rFonts w:ascii="Times New Roman" w:hAnsi="Times New Roman" w:eastAsia="宋体" w:cs="Times New Roman"/>
                <w:kern w:val="0"/>
                <w:sz w:val="15"/>
                <w:szCs w:val="15"/>
                <w:highlight w:val="none"/>
                <w:lang w:bidi="ar"/>
              </w:rPr>
            </w:pPr>
            <w:r>
              <w:rPr>
                <w:rFonts w:ascii="Times New Roman" w:hAnsi="Times New Roman" w:eastAsia="宋体" w:cs="Times New Roman"/>
                <w:kern w:val="0"/>
                <w:sz w:val="15"/>
                <w:szCs w:val="15"/>
                <w:highlight w:val="none"/>
                <w:lang w:bidi="ar"/>
              </w:rPr>
              <w:t>3.1 ppb</w:t>
            </w:r>
          </w:p>
        </w:tc>
        <w:tc>
          <w:tcPr>
            <w:tcW w:w="1635" w:type="dxa"/>
            <w:vAlign w:val="center"/>
          </w:tcPr>
          <w:p w14:paraId="1EBEBEC9">
            <w:pPr>
              <w:tabs>
                <w:tab w:val="center" w:pos="4201"/>
                <w:tab w:val="right" w:leader="dot" w:pos="9298"/>
              </w:tabs>
              <w:spacing w:line="240" w:lineRule="exact"/>
              <w:jc w:val="center"/>
              <w:outlineLvl w:val="2"/>
              <w:rPr>
                <w:rFonts w:ascii="Times New Roman" w:hAnsi="Times New Roman" w:eastAsia="黑体" w:cs="Times New Roman"/>
                <w:sz w:val="15"/>
                <w:szCs w:val="15"/>
                <w:highlight w:val="none"/>
              </w:rPr>
            </w:pPr>
            <w:r>
              <w:rPr>
                <w:rFonts w:ascii="Times New Roman" w:hAnsi="Times New Roman" w:eastAsia="黑体" w:cs="Times New Roman"/>
                <w:sz w:val="15"/>
                <w:szCs w:val="15"/>
                <w:highlight w:val="none"/>
              </w:rPr>
              <w:t>合格</w:t>
            </w:r>
          </w:p>
        </w:tc>
      </w:tr>
      <w:tr w14:paraId="4F67D5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6" w:hRule="exact"/>
        </w:trPr>
        <w:tc>
          <w:tcPr>
            <w:tcW w:w="1377" w:type="dxa"/>
            <w:vMerge w:val="restart"/>
            <w:vAlign w:val="center"/>
          </w:tcPr>
          <w:p w14:paraId="0E36828D">
            <w:pPr>
              <w:widowControl/>
              <w:spacing w:line="240" w:lineRule="exact"/>
              <w:jc w:val="center"/>
              <w:rPr>
                <w:rFonts w:ascii="Times New Roman" w:hAnsi="Times New Roman" w:eastAsia="黑体" w:cs="Times New Roman"/>
                <w:sz w:val="15"/>
                <w:szCs w:val="15"/>
                <w:highlight w:val="none"/>
              </w:rPr>
            </w:pPr>
            <w:r>
              <w:rPr>
                <w:rFonts w:ascii="Times New Roman" w:hAnsi="Times New Roman" w:eastAsia="宋体" w:cs="Times New Roman"/>
                <w:kern w:val="0"/>
                <w:sz w:val="15"/>
                <w:szCs w:val="15"/>
                <w:highlight w:val="none"/>
                <w:lang w:bidi="ar"/>
              </w:rPr>
              <w:t>CO2</w:t>
            </w:r>
          </w:p>
        </w:tc>
        <w:tc>
          <w:tcPr>
            <w:tcW w:w="1378" w:type="dxa"/>
          </w:tcPr>
          <w:p w14:paraId="5C3B1AAF">
            <w:pPr>
              <w:widowControl/>
              <w:spacing w:line="240" w:lineRule="exact"/>
              <w:jc w:val="center"/>
              <w:rPr>
                <w:rFonts w:ascii="Times New Roman" w:hAnsi="Times New Roman" w:eastAsia="宋体" w:cs="Times New Roman"/>
                <w:kern w:val="0"/>
                <w:sz w:val="15"/>
                <w:szCs w:val="15"/>
                <w:highlight w:val="none"/>
                <w:lang w:bidi="ar"/>
              </w:rPr>
            </w:pPr>
            <w:r>
              <w:rPr>
                <w:rFonts w:ascii="Times New Roman" w:hAnsi="Times New Roman" w:eastAsia="宋体" w:cs="Times New Roman"/>
                <w:kern w:val="0"/>
                <w:sz w:val="15"/>
                <w:szCs w:val="15"/>
                <w:highlight w:val="none"/>
                <w:lang w:bidi="ar"/>
              </w:rPr>
              <w:t>381.05 ppm</w:t>
            </w:r>
          </w:p>
        </w:tc>
        <w:tc>
          <w:tcPr>
            <w:tcW w:w="1378" w:type="dxa"/>
          </w:tcPr>
          <w:p w14:paraId="627BA601">
            <w:pPr>
              <w:widowControl/>
              <w:spacing w:line="240" w:lineRule="exact"/>
              <w:jc w:val="center"/>
              <w:rPr>
                <w:rFonts w:ascii="Times New Roman" w:hAnsi="Times New Roman" w:eastAsia="宋体" w:cs="Times New Roman"/>
                <w:kern w:val="0"/>
                <w:sz w:val="15"/>
                <w:szCs w:val="15"/>
                <w:highlight w:val="none"/>
                <w:lang w:bidi="ar"/>
              </w:rPr>
            </w:pPr>
            <w:r>
              <w:rPr>
                <w:rFonts w:ascii="Times New Roman" w:hAnsi="Times New Roman" w:eastAsia="宋体" w:cs="Times New Roman"/>
                <w:kern w:val="0"/>
                <w:sz w:val="15"/>
                <w:szCs w:val="15"/>
                <w:highlight w:val="none"/>
                <w:lang w:bidi="ar"/>
              </w:rPr>
              <w:t>366.55 ppm</w:t>
            </w:r>
          </w:p>
        </w:tc>
        <w:tc>
          <w:tcPr>
            <w:tcW w:w="1376" w:type="dxa"/>
            <w:vAlign w:val="center"/>
          </w:tcPr>
          <w:p w14:paraId="3C9C6CEC">
            <w:pPr>
              <w:widowControl/>
              <w:spacing w:line="240" w:lineRule="exact"/>
              <w:jc w:val="center"/>
              <w:rPr>
                <w:rFonts w:ascii="Times New Roman" w:hAnsi="Times New Roman" w:eastAsia="宋体" w:cs="Times New Roman"/>
                <w:kern w:val="0"/>
                <w:sz w:val="15"/>
                <w:szCs w:val="15"/>
                <w:highlight w:val="none"/>
                <w:lang w:bidi="ar"/>
              </w:rPr>
            </w:pPr>
            <w:r>
              <w:rPr>
                <w:rFonts w:ascii="Times New Roman" w:hAnsi="Times New Roman" w:eastAsia="宋体" w:cs="Times New Roman"/>
                <w:kern w:val="0"/>
                <w:sz w:val="15"/>
                <w:szCs w:val="15"/>
                <w:highlight w:val="none"/>
                <w:lang w:bidi="ar"/>
              </w:rPr>
              <w:t>380.94 ppm</w:t>
            </w:r>
          </w:p>
        </w:tc>
        <w:tc>
          <w:tcPr>
            <w:tcW w:w="1378" w:type="dxa"/>
            <w:vAlign w:val="center"/>
          </w:tcPr>
          <w:p w14:paraId="580B7D8A">
            <w:pPr>
              <w:widowControl/>
              <w:spacing w:line="240" w:lineRule="exact"/>
              <w:jc w:val="center"/>
              <w:rPr>
                <w:rFonts w:ascii="Times New Roman" w:hAnsi="Times New Roman" w:eastAsia="宋体" w:cs="Times New Roman"/>
                <w:kern w:val="0"/>
                <w:sz w:val="15"/>
                <w:szCs w:val="15"/>
                <w:highlight w:val="none"/>
                <w:lang w:bidi="ar"/>
              </w:rPr>
            </w:pPr>
            <w:r>
              <w:rPr>
                <w:rFonts w:ascii="Times New Roman" w:hAnsi="Times New Roman" w:eastAsia="宋体" w:cs="Times New Roman"/>
                <w:kern w:val="0"/>
                <w:sz w:val="15"/>
                <w:szCs w:val="15"/>
                <w:highlight w:val="none"/>
                <w:lang w:bidi="ar"/>
              </w:rPr>
              <w:t>-0.11 ppm</w:t>
            </w:r>
          </w:p>
        </w:tc>
        <w:tc>
          <w:tcPr>
            <w:tcW w:w="1635" w:type="dxa"/>
            <w:vAlign w:val="center"/>
          </w:tcPr>
          <w:p w14:paraId="4BDBEEE0">
            <w:pPr>
              <w:tabs>
                <w:tab w:val="center" w:pos="4201"/>
                <w:tab w:val="right" w:leader="dot" w:pos="9298"/>
              </w:tabs>
              <w:spacing w:line="240" w:lineRule="exact"/>
              <w:jc w:val="center"/>
              <w:outlineLvl w:val="2"/>
              <w:rPr>
                <w:rFonts w:ascii="Times New Roman" w:hAnsi="Times New Roman" w:eastAsia="黑体" w:cs="Times New Roman"/>
                <w:sz w:val="15"/>
                <w:szCs w:val="15"/>
                <w:highlight w:val="none"/>
              </w:rPr>
            </w:pPr>
            <w:r>
              <w:rPr>
                <w:rFonts w:ascii="Times New Roman" w:hAnsi="Times New Roman" w:eastAsia="黑体" w:cs="Times New Roman"/>
                <w:sz w:val="15"/>
                <w:szCs w:val="15"/>
                <w:highlight w:val="none"/>
              </w:rPr>
              <w:t>合格</w:t>
            </w:r>
          </w:p>
        </w:tc>
      </w:tr>
      <w:tr w14:paraId="7A1746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7" w:hRule="exact"/>
        </w:trPr>
        <w:tc>
          <w:tcPr>
            <w:tcW w:w="1377" w:type="dxa"/>
            <w:vMerge w:val="continue"/>
            <w:vAlign w:val="center"/>
          </w:tcPr>
          <w:p w14:paraId="5D800070">
            <w:pPr>
              <w:tabs>
                <w:tab w:val="center" w:pos="4201"/>
                <w:tab w:val="right" w:leader="dot" w:pos="9298"/>
              </w:tabs>
              <w:spacing w:line="240" w:lineRule="exact"/>
              <w:jc w:val="center"/>
              <w:outlineLvl w:val="2"/>
              <w:rPr>
                <w:rFonts w:ascii="Times New Roman" w:hAnsi="Times New Roman" w:eastAsia="黑体" w:cs="Times New Roman"/>
                <w:sz w:val="15"/>
                <w:szCs w:val="15"/>
                <w:highlight w:val="none"/>
              </w:rPr>
            </w:pPr>
          </w:p>
        </w:tc>
        <w:tc>
          <w:tcPr>
            <w:tcW w:w="1378" w:type="dxa"/>
          </w:tcPr>
          <w:p w14:paraId="129DB2CA">
            <w:pPr>
              <w:widowControl/>
              <w:spacing w:line="240" w:lineRule="exact"/>
              <w:jc w:val="center"/>
              <w:rPr>
                <w:rFonts w:ascii="Times New Roman" w:hAnsi="Times New Roman" w:eastAsia="宋体" w:cs="Times New Roman"/>
                <w:kern w:val="0"/>
                <w:sz w:val="15"/>
                <w:szCs w:val="15"/>
                <w:highlight w:val="none"/>
                <w:lang w:bidi="ar"/>
              </w:rPr>
            </w:pPr>
            <w:r>
              <w:rPr>
                <w:rFonts w:ascii="Times New Roman" w:hAnsi="Times New Roman" w:eastAsia="宋体" w:cs="Times New Roman"/>
                <w:kern w:val="0"/>
                <w:sz w:val="15"/>
                <w:szCs w:val="15"/>
                <w:highlight w:val="none"/>
                <w:lang w:bidi="ar"/>
              </w:rPr>
              <w:t>449.96 ppm</w:t>
            </w:r>
          </w:p>
        </w:tc>
        <w:tc>
          <w:tcPr>
            <w:tcW w:w="1378" w:type="dxa"/>
          </w:tcPr>
          <w:p w14:paraId="46E0AAA7">
            <w:pPr>
              <w:widowControl/>
              <w:spacing w:line="240" w:lineRule="exact"/>
              <w:jc w:val="center"/>
              <w:rPr>
                <w:rFonts w:ascii="Times New Roman" w:hAnsi="Times New Roman" w:eastAsia="宋体" w:cs="Times New Roman"/>
                <w:kern w:val="0"/>
                <w:sz w:val="15"/>
                <w:szCs w:val="15"/>
                <w:highlight w:val="none"/>
                <w:lang w:bidi="ar"/>
              </w:rPr>
            </w:pPr>
            <w:r>
              <w:rPr>
                <w:rFonts w:ascii="Times New Roman" w:hAnsi="Times New Roman" w:eastAsia="宋体" w:cs="Times New Roman"/>
                <w:kern w:val="0"/>
                <w:sz w:val="15"/>
                <w:szCs w:val="15"/>
                <w:highlight w:val="none"/>
                <w:lang w:bidi="ar"/>
              </w:rPr>
              <w:t>428.48 ppm</w:t>
            </w:r>
          </w:p>
        </w:tc>
        <w:tc>
          <w:tcPr>
            <w:tcW w:w="1376" w:type="dxa"/>
            <w:vAlign w:val="center"/>
          </w:tcPr>
          <w:p w14:paraId="33FF9625">
            <w:pPr>
              <w:widowControl/>
              <w:spacing w:line="240" w:lineRule="exact"/>
              <w:jc w:val="center"/>
              <w:rPr>
                <w:rFonts w:ascii="Times New Roman" w:hAnsi="Times New Roman" w:eastAsia="宋体" w:cs="Times New Roman"/>
                <w:kern w:val="0"/>
                <w:sz w:val="15"/>
                <w:szCs w:val="15"/>
                <w:highlight w:val="none"/>
                <w:lang w:bidi="ar"/>
              </w:rPr>
            </w:pPr>
            <w:r>
              <w:rPr>
                <w:rFonts w:ascii="Times New Roman" w:hAnsi="Times New Roman" w:eastAsia="宋体" w:cs="Times New Roman"/>
                <w:kern w:val="0"/>
                <w:sz w:val="15"/>
                <w:szCs w:val="15"/>
                <w:highlight w:val="none"/>
                <w:lang w:bidi="ar"/>
              </w:rPr>
              <w:t>450.00 ppm</w:t>
            </w:r>
          </w:p>
        </w:tc>
        <w:tc>
          <w:tcPr>
            <w:tcW w:w="1378" w:type="dxa"/>
            <w:vAlign w:val="center"/>
          </w:tcPr>
          <w:p w14:paraId="6F2FDC3C">
            <w:pPr>
              <w:widowControl/>
              <w:spacing w:line="240" w:lineRule="exact"/>
              <w:jc w:val="center"/>
              <w:rPr>
                <w:rFonts w:ascii="Times New Roman" w:hAnsi="Times New Roman" w:eastAsia="宋体" w:cs="Times New Roman"/>
                <w:kern w:val="0"/>
                <w:sz w:val="15"/>
                <w:szCs w:val="15"/>
                <w:highlight w:val="none"/>
                <w:lang w:bidi="ar"/>
              </w:rPr>
            </w:pPr>
            <w:r>
              <w:rPr>
                <w:rFonts w:ascii="Times New Roman" w:hAnsi="Times New Roman" w:eastAsia="宋体" w:cs="Times New Roman"/>
                <w:kern w:val="0"/>
                <w:sz w:val="15"/>
                <w:szCs w:val="15"/>
                <w:highlight w:val="none"/>
                <w:lang w:bidi="ar"/>
              </w:rPr>
              <w:t>0.04 ppm</w:t>
            </w:r>
          </w:p>
        </w:tc>
        <w:tc>
          <w:tcPr>
            <w:tcW w:w="1635" w:type="dxa"/>
            <w:vAlign w:val="center"/>
          </w:tcPr>
          <w:p w14:paraId="1A20DEFD">
            <w:pPr>
              <w:tabs>
                <w:tab w:val="center" w:pos="4201"/>
                <w:tab w:val="right" w:leader="dot" w:pos="9298"/>
              </w:tabs>
              <w:spacing w:line="240" w:lineRule="exact"/>
              <w:jc w:val="center"/>
              <w:outlineLvl w:val="2"/>
              <w:rPr>
                <w:rFonts w:ascii="Times New Roman" w:hAnsi="Times New Roman" w:eastAsia="黑体" w:cs="Times New Roman"/>
                <w:sz w:val="15"/>
                <w:szCs w:val="15"/>
                <w:highlight w:val="none"/>
              </w:rPr>
            </w:pPr>
            <w:r>
              <w:rPr>
                <w:rFonts w:ascii="Times New Roman" w:hAnsi="Times New Roman" w:eastAsia="黑体" w:cs="Times New Roman"/>
                <w:sz w:val="15"/>
                <w:szCs w:val="15"/>
                <w:highlight w:val="none"/>
              </w:rPr>
              <w:t>合格</w:t>
            </w:r>
          </w:p>
        </w:tc>
      </w:tr>
      <w:tr w14:paraId="0FA27F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6" w:hRule="exact"/>
        </w:trPr>
        <w:tc>
          <w:tcPr>
            <w:tcW w:w="1377" w:type="dxa"/>
            <w:vMerge w:val="continue"/>
            <w:vAlign w:val="center"/>
          </w:tcPr>
          <w:p w14:paraId="69FF78F2">
            <w:pPr>
              <w:tabs>
                <w:tab w:val="center" w:pos="4201"/>
                <w:tab w:val="right" w:leader="dot" w:pos="9298"/>
              </w:tabs>
              <w:spacing w:line="240" w:lineRule="exact"/>
              <w:jc w:val="center"/>
              <w:outlineLvl w:val="2"/>
              <w:rPr>
                <w:rFonts w:ascii="Times New Roman" w:hAnsi="Times New Roman" w:eastAsia="黑体" w:cs="Times New Roman"/>
                <w:sz w:val="15"/>
                <w:szCs w:val="15"/>
                <w:highlight w:val="none"/>
              </w:rPr>
            </w:pPr>
          </w:p>
        </w:tc>
        <w:tc>
          <w:tcPr>
            <w:tcW w:w="1378" w:type="dxa"/>
          </w:tcPr>
          <w:p w14:paraId="08CFBFF2">
            <w:pPr>
              <w:widowControl/>
              <w:spacing w:line="240" w:lineRule="exact"/>
              <w:jc w:val="center"/>
              <w:rPr>
                <w:rFonts w:ascii="Times New Roman" w:hAnsi="Times New Roman" w:eastAsia="宋体" w:cs="Times New Roman"/>
                <w:kern w:val="0"/>
                <w:sz w:val="15"/>
                <w:szCs w:val="15"/>
                <w:highlight w:val="none"/>
                <w:lang w:bidi="ar"/>
              </w:rPr>
            </w:pPr>
            <w:r>
              <w:rPr>
                <w:rFonts w:ascii="Times New Roman" w:hAnsi="Times New Roman" w:eastAsia="宋体" w:cs="Times New Roman"/>
                <w:kern w:val="0"/>
                <w:sz w:val="15"/>
                <w:szCs w:val="15"/>
                <w:highlight w:val="none"/>
                <w:lang w:bidi="ar"/>
              </w:rPr>
              <w:t>518.57 ppm</w:t>
            </w:r>
          </w:p>
        </w:tc>
        <w:tc>
          <w:tcPr>
            <w:tcW w:w="1378" w:type="dxa"/>
          </w:tcPr>
          <w:p w14:paraId="25036D33">
            <w:pPr>
              <w:widowControl/>
              <w:spacing w:line="240" w:lineRule="exact"/>
              <w:jc w:val="center"/>
              <w:rPr>
                <w:rFonts w:ascii="Times New Roman" w:hAnsi="Times New Roman" w:eastAsia="宋体" w:cs="Times New Roman"/>
                <w:kern w:val="0"/>
                <w:sz w:val="15"/>
                <w:szCs w:val="15"/>
                <w:highlight w:val="none"/>
                <w:lang w:bidi="ar"/>
              </w:rPr>
            </w:pPr>
            <w:r>
              <w:rPr>
                <w:rFonts w:ascii="Times New Roman" w:hAnsi="Times New Roman" w:eastAsia="宋体" w:cs="Times New Roman"/>
                <w:kern w:val="0"/>
                <w:sz w:val="15"/>
                <w:szCs w:val="15"/>
                <w:highlight w:val="none"/>
                <w:lang w:bidi="ar"/>
              </w:rPr>
              <w:t>489.89 ppm</w:t>
            </w:r>
          </w:p>
        </w:tc>
        <w:tc>
          <w:tcPr>
            <w:tcW w:w="1376" w:type="dxa"/>
            <w:vAlign w:val="center"/>
          </w:tcPr>
          <w:p w14:paraId="0F80FF8B">
            <w:pPr>
              <w:widowControl/>
              <w:spacing w:line="240" w:lineRule="exact"/>
              <w:jc w:val="center"/>
              <w:rPr>
                <w:rFonts w:ascii="Times New Roman" w:hAnsi="Times New Roman" w:eastAsia="宋体" w:cs="Times New Roman"/>
                <w:kern w:val="0"/>
                <w:sz w:val="15"/>
                <w:szCs w:val="15"/>
                <w:highlight w:val="none"/>
                <w:lang w:bidi="ar"/>
              </w:rPr>
            </w:pPr>
            <w:r>
              <w:rPr>
                <w:rFonts w:ascii="Times New Roman" w:hAnsi="Times New Roman" w:eastAsia="宋体" w:cs="Times New Roman"/>
                <w:kern w:val="0"/>
                <w:sz w:val="15"/>
                <w:szCs w:val="15"/>
                <w:highlight w:val="none"/>
                <w:lang w:bidi="ar"/>
              </w:rPr>
              <w:t>518.48 ppm</w:t>
            </w:r>
          </w:p>
        </w:tc>
        <w:tc>
          <w:tcPr>
            <w:tcW w:w="1378" w:type="dxa"/>
            <w:vAlign w:val="center"/>
          </w:tcPr>
          <w:p w14:paraId="62D82BF2">
            <w:pPr>
              <w:widowControl/>
              <w:spacing w:line="240" w:lineRule="exact"/>
              <w:jc w:val="center"/>
              <w:rPr>
                <w:rFonts w:ascii="Times New Roman" w:hAnsi="Times New Roman" w:eastAsia="宋体" w:cs="Times New Roman"/>
                <w:kern w:val="0"/>
                <w:sz w:val="15"/>
                <w:szCs w:val="15"/>
                <w:highlight w:val="none"/>
                <w:lang w:bidi="ar"/>
              </w:rPr>
            </w:pPr>
            <w:r>
              <w:rPr>
                <w:rFonts w:ascii="Times New Roman" w:hAnsi="Times New Roman" w:eastAsia="宋体" w:cs="Times New Roman"/>
                <w:kern w:val="0"/>
                <w:sz w:val="15"/>
                <w:szCs w:val="15"/>
                <w:highlight w:val="none"/>
                <w:lang w:bidi="ar"/>
              </w:rPr>
              <w:t>-0.09 ppm</w:t>
            </w:r>
          </w:p>
        </w:tc>
        <w:tc>
          <w:tcPr>
            <w:tcW w:w="1635" w:type="dxa"/>
            <w:vAlign w:val="center"/>
          </w:tcPr>
          <w:p w14:paraId="1A1AC273">
            <w:pPr>
              <w:tabs>
                <w:tab w:val="center" w:pos="4201"/>
                <w:tab w:val="right" w:leader="dot" w:pos="9298"/>
              </w:tabs>
              <w:spacing w:line="240" w:lineRule="exact"/>
              <w:jc w:val="center"/>
              <w:outlineLvl w:val="2"/>
              <w:rPr>
                <w:rFonts w:ascii="Times New Roman" w:hAnsi="Times New Roman" w:eastAsia="黑体" w:cs="Times New Roman"/>
                <w:sz w:val="15"/>
                <w:szCs w:val="15"/>
                <w:highlight w:val="none"/>
              </w:rPr>
            </w:pPr>
            <w:r>
              <w:rPr>
                <w:rFonts w:ascii="Times New Roman" w:hAnsi="Times New Roman" w:eastAsia="黑体" w:cs="Times New Roman"/>
                <w:sz w:val="15"/>
                <w:szCs w:val="15"/>
                <w:highlight w:val="none"/>
              </w:rPr>
              <w:t>合格</w:t>
            </w:r>
          </w:p>
        </w:tc>
      </w:tr>
      <w:bookmarkEnd w:id="105"/>
    </w:tbl>
    <w:p w14:paraId="6813AD19">
      <w:pPr>
        <w:numPr>
          <w:ilvl w:val="1"/>
          <w:numId w:val="1"/>
        </w:numPr>
        <w:tabs>
          <w:tab w:val="center" w:pos="4201"/>
          <w:tab w:val="right" w:leader="dot" w:pos="9298"/>
        </w:tabs>
        <w:spacing w:before="156" w:beforeLines="50" w:after="156" w:afterLines="50"/>
        <w:ind w:firstLine="420"/>
        <w:outlineLvl w:val="2"/>
        <w:rPr>
          <w:rFonts w:ascii="Times New Roman" w:hAnsi="Times New Roman" w:eastAsia="宋体" w:cs="Times New Roman"/>
          <w:szCs w:val="21"/>
          <w:highlight w:val="none"/>
        </w:rPr>
      </w:pPr>
      <w:r>
        <w:rPr>
          <w:rFonts w:ascii="Times New Roman" w:hAnsi="Times New Roman" w:eastAsia="宋体" w:cs="Times New Roman"/>
          <w:szCs w:val="21"/>
          <w:highlight w:val="none"/>
        </w:rPr>
        <w:t>与</w:t>
      </w:r>
      <w:r>
        <w:rPr>
          <w:rFonts w:hint="eastAsia" w:ascii="Times New Roman" w:hAnsi="Times New Roman" w:eastAsia="宋体" w:cs="Times New Roman"/>
          <w:szCs w:val="21"/>
          <w:highlight w:val="none"/>
        </w:rPr>
        <w:t>基于CRDS方法的进口设备</w:t>
      </w:r>
      <w:r>
        <w:rPr>
          <w:rFonts w:ascii="Times New Roman" w:hAnsi="Times New Roman" w:eastAsia="宋体" w:cs="Times New Roman"/>
          <w:szCs w:val="21"/>
          <w:highlight w:val="none"/>
        </w:rPr>
        <w:t>同期数据比对</w:t>
      </w:r>
    </w:p>
    <w:p w14:paraId="55E482C7">
      <w:pPr>
        <w:numPr>
          <w:ilvl w:val="2"/>
          <w:numId w:val="1"/>
        </w:numPr>
        <w:ind w:left="0" w:firstLine="420"/>
        <w:rPr>
          <w:rFonts w:ascii="Times New Roman" w:hAnsi="Times New Roman" w:eastAsia="黑体" w:cs="Times New Roman"/>
          <w:szCs w:val="21"/>
          <w:highlight w:val="none"/>
        </w:rPr>
      </w:pPr>
      <w:r>
        <w:rPr>
          <w:rFonts w:ascii="Times New Roman" w:hAnsi="Times New Roman" w:eastAsia="黑体_x0005_.." w:cs="Times New Roman"/>
          <w:szCs w:val="24"/>
          <w:highlight w:val="none"/>
        </w:rPr>
        <w:t>测试方法和技术要求</w:t>
      </w:r>
    </w:p>
    <w:p w14:paraId="3A79FF4F">
      <w:pPr>
        <w:widowControl/>
        <w:ind w:firstLine="420" w:firstLineChars="200"/>
        <w:rPr>
          <w:rFonts w:ascii="Times New Roman" w:hAnsi="Times New Roman" w:eastAsia="宋体" w:cs="Times New Roman"/>
          <w:kern w:val="0"/>
          <w:szCs w:val="21"/>
          <w:highlight w:val="none"/>
          <w:lang w:bidi="ar"/>
        </w:rPr>
      </w:pPr>
      <w:r>
        <w:rPr>
          <w:rStyle w:val="15"/>
          <w:rFonts w:hint="default" w:ascii="Times New Roman" w:hAnsi="Times New Roman" w:cs="Times New Roman"/>
          <w:color w:val="auto"/>
          <w:sz w:val="21"/>
          <w:szCs w:val="21"/>
          <w:highlight w:val="none"/>
        </w:rPr>
        <w:t>将</w:t>
      </w:r>
      <w:r>
        <w:rPr>
          <w:rStyle w:val="15"/>
          <w:rFonts w:ascii="Times New Roman" w:hAnsi="Times New Roman" w:cs="Times New Roman"/>
          <w:color w:val="auto"/>
          <w:sz w:val="21"/>
          <w:szCs w:val="21"/>
          <w:highlight w:val="none"/>
        </w:rPr>
        <w:t>基</w:t>
      </w:r>
      <w:r>
        <w:rPr>
          <w:rStyle w:val="15"/>
          <w:rFonts w:hint="default" w:ascii="Times New Roman" w:hAnsi="Times New Roman" w:cs="Times New Roman"/>
          <w:color w:val="auto"/>
          <w:sz w:val="21"/>
          <w:szCs w:val="21"/>
          <w:highlight w:val="none"/>
        </w:rPr>
        <w:t>于QCL</w:t>
      </w:r>
      <w:r>
        <w:rPr>
          <w:rFonts w:ascii="Times New Roman" w:hAnsi="Times New Roman" w:cs="Times New Roman"/>
          <w:szCs w:val="21"/>
          <w:highlight w:val="none"/>
        </w:rPr>
        <w:t>PAS</w:t>
      </w:r>
      <w:r>
        <w:rPr>
          <w:rFonts w:hint="eastAsia" w:ascii="Times New Roman" w:hAnsi="Times New Roman" w:cs="Times New Roman"/>
          <w:szCs w:val="21"/>
          <w:highlight w:val="none"/>
        </w:rPr>
        <w:t>方法的</w:t>
      </w:r>
      <w:r>
        <w:rPr>
          <w:rFonts w:ascii="Times New Roman" w:hAnsi="Times New Roman" w:cs="Times New Roman"/>
          <w:szCs w:val="21"/>
          <w:highlight w:val="none"/>
        </w:rPr>
        <w:t>气</w:t>
      </w:r>
      <w:r>
        <w:rPr>
          <w:rFonts w:hint="eastAsia" w:hAnsi="宋体"/>
          <w:szCs w:val="21"/>
          <w:highlight w:val="none"/>
        </w:rPr>
        <w:t>体监测系统</w:t>
      </w:r>
      <w:r>
        <w:rPr>
          <w:rStyle w:val="15"/>
          <w:rFonts w:hint="default" w:ascii="Times New Roman" w:hAnsi="Times New Roman" w:cs="Times New Roman"/>
          <w:color w:val="auto"/>
          <w:sz w:val="21"/>
          <w:szCs w:val="21"/>
          <w:highlight w:val="none"/>
        </w:rPr>
        <w:t>与</w:t>
      </w:r>
      <w:r>
        <w:rPr>
          <w:rFonts w:hint="eastAsia" w:ascii="Times New Roman" w:hAnsi="Times New Roman" w:eastAsia="宋体" w:cs="Times New Roman"/>
          <w:szCs w:val="21"/>
          <w:highlight w:val="none"/>
        </w:rPr>
        <w:t>基于CRDS方法的进口设备</w:t>
      </w:r>
      <w:r>
        <w:rPr>
          <w:rStyle w:val="15"/>
          <w:rFonts w:hint="default" w:ascii="Times New Roman" w:hAnsi="Times New Roman" w:cs="Times New Roman"/>
          <w:color w:val="auto"/>
          <w:sz w:val="21"/>
          <w:szCs w:val="21"/>
          <w:highlight w:val="none"/>
        </w:rPr>
        <w:t>置于同一室内环境中，并利用三通气路使二者进气口通入同一采样器抽回的空气，连续同步测量30天，比较二者实时测量结果。</w:t>
      </w:r>
    </w:p>
    <w:p w14:paraId="75444C91">
      <w:pPr>
        <w:numPr>
          <w:ilvl w:val="2"/>
          <w:numId w:val="1"/>
        </w:numPr>
        <w:ind w:left="0" w:firstLine="420"/>
        <w:rPr>
          <w:rFonts w:ascii="Times New Roman" w:hAnsi="Times New Roman" w:eastAsia="黑体_x0005_.." w:cs="Times New Roman"/>
          <w:szCs w:val="24"/>
          <w:highlight w:val="none"/>
        </w:rPr>
      </w:pPr>
      <w:r>
        <w:rPr>
          <w:rFonts w:ascii="Times New Roman" w:hAnsi="Times New Roman" w:eastAsia="黑体_x0005_.." w:cs="Times New Roman"/>
          <w:szCs w:val="24"/>
          <w:highlight w:val="none"/>
        </w:rPr>
        <w:t>测试结果</w:t>
      </w:r>
    </w:p>
    <w:p w14:paraId="583A52D5">
      <w:pPr>
        <w:pStyle w:val="11"/>
        <w:rPr>
          <w:szCs w:val="21"/>
          <w:highlight w:val="none"/>
        </w:rPr>
      </w:pPr>
      <w:r>
        <w:rPr>
          <w:highlight w:val="none"/>
        </w:rPr>
        <w:t>根据上述方法对</w:t>
      </w:r>
      <w:r>
        <w:rPr>
          <w:rFonts w:hint="eastAsia"/>
          <w:highlight w:val="none"/>
        </w:rPr>
        <w:t>基于</w:t>
      </w:r>
      <w:r>
        <w:rPr>
          <w:rStyle w:val="15"/>
          <w:rFonts w:hint="default" w:ascii="Times New Roman" w:hAnsi="Times New Roman"/>
          <w:color w:val="auto"/>
          <w:sz w:val="21"/>
          <w:szCs w:val="21"/>
          <w:highlight w:val="none"/>
        </w:rPr>
        <w:t>QCL</w:t>
      </w:r>
      <w:r>
        <w:rPr>
          <w:szCs w:val="21"/>
          <w:highlight w:val="none"/>
        </w:rPr>
        <w:t>PAS</w:t>
      </w:r>
      <w:r>
        <w:rPr>
          <w:rFonts w:hint="eastAsia"/>
          <w:szCs w:val="21"/>
          <w:highlight w:val="none"/>
        </w:rPr>
        <w:t>方法的检测系统</w:t>
      </w:r>
      <w:r>
        <w:rPr>
          <w:highlight w:val="none"/>
        </w:rPr>
        <w:t>和</w:t>
      </w:r>
      <w:r>
        <w:rPr>
          <w:rFonts w:hint="eastAsia"/>
          <w:highlight w:val="none"/>
        </w:rPr>
        <w:t>基于</w:t>
      </w:r>
      <w:r>
        <w:rPr>
          <w:highlight w:val="none"/>
        </w:rPr>
        <w:t>CRDS</w:t>
      </w:r>
      <w:r>
        <w:rPr>
          <w:rFonts w:hint="eastAsia"/>
          <w:highlight w:val="none"/>
        </w:rPr>
        <w:t>方法的进口</w:t>
      </w:r>
      <w:r>
        <w:rPr>
          <w:highlight w:val="none"/>
        </w:rPr>
        <w:t>仪器进行CH</w:t>
      </w:r>
      <w:r>
        <w:rPr>
          <w:highlight w:val="none"/>
          <w:vertAlign w:val="subscript"/>
        </w:rPr>
        <w:t>4</w:t>
      </w:r>
      <w:r>
        <w:rPr>
          <w:highlight w:val="none"/>
        </w:rPr>
        <w:t>、CO</w:t>
      </w:r>
      <w:r>
        <w:rPr>
          <w:highlight w:val="none"/>
          <w:vertAlign w:val="subscript"/>
        </w:rPr>
        <w:t>2</w:t>
      </w:r>
      <w:r>
        <w:rPr>
          <w:highlight w:val="none"/>
        </w:rPr>
        <w:t>气体的对比测试，三种气体的30天连续</w:t>
      </w:r>
      <w:r>
        <w:rPr>
          <w:rStyle w:val="15"/>
          <w:rFonts w:hint="default" w:ascii="Times New Roman" w:hAnsi="Times New Roman"/>
          <w:color w:val="auto"/>
          <w:highlight w:val="none"/>
        </w:rPr>
        <w:t>测试</w:t>
      </w:r>
      <w:r>
        <w:rPr>
          <w:szCs w:val="21"/>
          <w:highlight w:val="none"/>
        </w:rPr>
        <w:t>结果如下图所示，在P</w:t>
      </w:r>
      <w:r>
        <w:rPr>
          <w:rFonts w:hint="eastAsia"/>
          <w:szCs w:val="21"/>
          <w:highlight w:val="none"/>
        </w:rPr>
        <w:t>二者</w:t>
      </w:r>
      <w:r>
        <w:rPr>
          <w:szCs w:val="21"/>
          <w:highlight w:val="none"/>
        </w:rPr>
        <w:t>都正常工作情况下，二者实时测量结果吻合较好。</w:t>
      </w:r>
    </w:p>
    <w:p w14:paraId="64800B10">
      <w:pPr>
        <w:spacing w:before="156"/>
        <w:rPr>
          <w:rFonts w:ascii="Times New Roman" w:hAnsi="Times New Roman" w:cs="Times New Roman"/>
          <w:highlight w:val="none"/>
        </w:rPr>
      </w:pPr>
      <w:r>
        <w:rPr>
          <w:rFonts w:ascii="Times New Roman" w:hAnsi="Times New Roman" w:cs="Times New Roman"/>
          <w:highlight w:val="none"/>
        </w:rPr>
        <w:drawing>
          <wp:inline distT="0" distB="0" distL="0" distR="0">
            <wp:extent cx="5274310" cy="2242820"/>
            <wp:effectExtent l="0" t="0" r="2540" b="5080"/>
            <wp:docPr id="1802190577" name="图片 2" descr="图表, 折线图, 直方图&#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2190577" name="图片 2" descr="图表, 折线图, 直方图&#10;&#10;描述已自动生成"/>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5274310" cy="2242820"/>
                    </a:xfrm>
                    <a:prstGeom prst="rect">
                      <a:avLst/>
                    </a:prstGeom>
                    <a:noFill/>
                    <a:ln>
                      <a:noFill/>
                    </a:ln>
                  </pic:spPr>
                </pic:pic>
              </a:graphicData>
            </a:graphic>
          </wp:inline>
        </w:drawing>
      </w:r>
      <w:r>
        <w:rPr>
          <w:rFonts w:ascii="Times New Roman" w:hAnsi="Times New Roman" w:cs="Times New Roman"/>
          <w:highlight w:val="none"/>
        </w:rPr>
        <w:drawing>
          <wp:inline distT="0" distB="0" distL="0" distR="0">
            <wp:extent cx="5274310" cy="2242820"/>
            <wp:effectExtent l="0" t="0" r="2540" b="5080"/>
            <wp:docPr id="10667519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675197" name="图片 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5274310" cy="2242820"/>
                    </a:xfrm>
                    <a:prstGeom prst="rect">
                      <a:avLst/>
                    </a:prstGeom>
                    <a:noFill/>
                    <a:ln>
                      <a:noFill/>
                    </a:ln>
                  </pic:spPr>
                </pic:pic>
              </a:graphicData>
            </a:graphic>
          </wp:inline>
        </w:drawing>
      </w:r>
    </w:p>
    <w:p w14:paraId="4670666C">
      <w:pPr>
        <w:snapToGrid w:val="0"/>
        <w:spacing w:line="360" w:lineRule="auto"/>
        <w:ind w:firstLine="360"/>
        <w:jc w:val="center"/>
        <w:rPr>
          <w:rFonts w:ascii="Times New Roman" w:hAnsi="Times New Roman" w:eastAsia="宋体" w:cs="Times New Roman"/>
          <w:sz w:val="18"/>
          <w:szCs w:val="18"/>
          <w:highlight w:val="none"/>
        </w:rPr>
      </w:pPr>
      <w:r>
        <w:rPr>
          <w:rFonts w:ascii="Times New Roman" w:hAnsi="Times New Roman" w:eastAsia="黑体" w:cs="Times New Roman"/>
          <w:sz w:val="18"/>
          <w:szCs w:val="18"/>
          <w:highlight w:val="none"/>
        </w:rPr>
        <w:t>图6</w:t>
      </w:r>
      <w:r>
        <w:rPr>
          <w:rFonts w:ascii="Times New Roman" w:hAnsi="Times New Roman" w:cs="Times New Roman"/>
          <w:sz w:val="18"/>
          <w:szCs w:val="18"/>
          <w:highlight w:val="none"/>
        </w:rPr>
        <w:t xml:space="preserve"> </w:t>
      </w:r>
      <w:r>
        <w:rPr>
          <w:rFonts w:hint="eastAsia" w:ascii="Times New Roman" w:hAnsi="Times New Roman" w:cs="Times New Roman"/>
          <w:sz w:val="18"/>
          <w:szCs w:val="18"/>
          <w:highlight w:val="none"/>
        </w:rPr>
        <w:t>基于</w:t>
      </w:r>
      <w:r>
        <w:rPr>
          <w:rFonts w:hint="eastAsia" w:ascii="Times New Roman" w:hAnsi="Times New Roman" w:eastAsia="黑体" w:cs="Times New Roman"/>
          <w:sz w:val="18"/>
          <w:szCs w:val="18"/>
          <w:highlight w:val="none"/>
        </w:rPr>
        <w:t>QCLPAS方法的监测系统</w:t>
      </w:r>
      <w:r>
        <w:rPr>
          <w:rFonts w:ascii="Times New Roman" w:hAnsi="Times New Roman" w:eastAsia="黑体" w:cs="Times New Roman"/>
          <w:sz w:val="18"/>
          <w:szCs w:val="18"/>
          <w:highlight w:val="none"/>
        </w:rPr>
        <w:t>和</w:t>
      </w:r>
      <w:r>
        <w:rPr>
          <w:rFonts w:hint="eastAsia" w:ascii="Times New Roman" w:hAnsi="Times New Roman" w:eastAsia="黑体" w:cs="Times New Roman"/>
          <w:sz w:val="18"/>
          <w:szCs w:val="18"/>
          <w:highlight w:val="none"/>
        </w:rPr>
        <w:t>基于</w:t>
      </w:r>
      <w:r>
        <w:rPr>
          <w:rFonts w:ascii="Times New Roman" w:hAnsi="Times New Roman" w:eastAsia="黑体" w:cs="Times New Roman"/>
          <w:sz w:val="18"/>
          <w:szCs w:val="18"/>
          <w:highlight w:val="none"/>
        </w:rPr>
        <w:t>CRDS</w:t>
      </w:r>
      <w:r>
        <w:rPr>
          <w:rFonts w:hint="eastAsia" w:ascii="Times New Roman" w:hAnsi="Times New Roman" w:eastAsia="黑体" w:cs="Times New Roman"/>
          <w:sz w:val="18"/>
          <w:szCs w:val="18"/>
          <w:highlight w:val="none"/>
        </w:rPr>
        <w:t>方法的</w:t>
      </w:r>
      <w:r>
        <w:rPr>
          <w:rFonts w:ascii="Times New Roman" w:hAnsi="Times New Roman" w:eastAsia="黑体" w:cs="Times New Roman"/>
          <w:sz w:val="18"/>
          <w:szCs w:val="18"/>
          <w:highlight w:val="none"/>
        </w:rPr>
        <w:t>仪器比对结果</w:t>
      </w:r>
    </w:p>
    <w:p w14:paraId="06D134F1">
      <w:pPr>
        <w:pStyle w:val="10"/>
        <w:rPr>
          <w:rFonts w:ascii="Times New Roman"/>
          <w:highlight w:val="none"/>
        </w:rPr>
      </w:pPr>
      <w:r>
        <w:rPr>
          <w:rFonts w:ascii="Times New Roman"/>
          <w:highlight w:val="none"/>
        </w:rPr>
        <w:t>知识产权说明</w:t>
      </w:r>
    </w:p>
    <w:p w14:paraId="17B65FDE">
      <w:pPr>
        <w:snapToGrid w:val="0"/>
        <w:spacing w:line="360" w:lineRule="auto"/>
        <w:jc w:val="center"/>
        <w:rPr>
          <w:rFonts w:ascii="Times New Roman" w:hAnsi="Times New Roman" w:eastAsia="宋体" w:cs="Times New Roman"/>
          <w:szCs w:val="21"/>
          <w:highlight w:val="none"/>
        </w:rPr>
      </w:pPr>
    </w:p>
    <w:p w14:paraId="645A9B98">
      <w:pPr>
        <w:pStyle w:val="10"/>
        <w:rPr>
          <w:rFonts w:ascii="Times New Roman"/>
          <w:highlight w:val="none"/>
        </w:rPr>
      </w:pPr>
      <w:r>
        <w:rPr>
          <w:rFonts w:ascii="Times New Roman"/>
          <w:highlight w:val="none"/>
        </w:rPr>
        <w:t>知识产权说明</w:t>
      </w:r>
      <w:bookmarkEnd w:id="103"/>
      <w:bookmarkEnd w:id="104"/>
    </w:p>
    <w:p w14:paraId="0310118E">
      <w:pPr>
        <w:pStyle w:val="11"/>
        <w:rPr>
          <w:highlight w:val="none"/>
        </w:rPr>
      </w:pPr>
      <w:r>
        <w:rPr>
          <w:highlight w:val="none"/>
        </w:rPr>
        <w:t>无</w:t>
      </w:r>
    </w:p>
    <w:p w14:paraId="1A7E2751">
      <w:pPr>
        <w:pStyle w:val="10"/>
        <w:rPr>
          <w:rFonts w:ascii="Times New Roman"/>
          <w:highlight w:val="none"/>
        </w:rPr>
      </w:pPr>
      <w:bookmarkStart w:id="106" w:name="_Toc4775"/>
      <w:bookmarkStart w:id="107" w:name="_Toc19121"/>
      <w:r>
        <w:rPr>
          <w:rFonts w:ascii="Times New Roman"/>
          <w:highlight w:val="none"/>
        </w:rPr>
        <w:t>采标情况</w:t>
      </w:r>
      <w:bookmarkEnd w:id="106"/>
      <w:bookmarkEnd w:id="107"/>
    </w:p>
    <w:p w14:paraId="74B700C7">
      <w:pPr>
        <w:pStyle w:val="11"/>
        <w:rPr>
          <w:highlight w:val="none"/>
        </w:rPr>
      </w:pPr>
      <w:r>
        <w:rPr>
          <w:highlight w:val="none"/>
        </w:rPr>
        <w:t>无</w:t>
      </w:r>
    </w:p>
    <w:p w14:paraId="2BA5C589">
      <w:pPr>
        <w:pStyle w:val="11"/>
        <w:rPr>
          <w:highlight w:val="none"/>
        </w:rPr>
      </w:pPr>
    </w:p>
    <w:p w14:paraId="1197DA56">
      <w:pPr>
        <w:pStyle w:val="10"/>
        <w:rPr>
          <w:rFonts w:ascii="Times New Roman"/>
          <w:highlight w:val="none"/>
        </w:rPr>
      </w:pPr>
      <w:bookmarkStart w:id="108" w:name="_Toc17970"/>
      <w:bookmarkStart w:id="109" w:name="_Toc19923"/>
      <w:r>
        <w:rPr>
          <w:rFonts w:ascii="Times New Roman"/>
          <w:highlight w:val="none"/>
        </w:rPr>
        <w:t>重大意见分歧及处理</w:t>
      </w:r>
      <w:bookmarkEnd w:id="108"/>
      <w:bookmarkEnd w:id="109"/>
    </w:p>
    <w:p w14:paraId="099FC640">
      <w:pPr>
        <w:pStyle w:val="11"/>
        <w:rPr>
          <w:highlight w:val="none"/>
        </w:rPr>
      </w:pPr>
      <w:r>
        <w:rPr>
          <w:highlight w:val="none"/>
        </w:rPr>
        <w:t>无</w:t>
      </w:r>
    </w:p>
    <w:p w14:paraId="518530C8">
      <w:pPr>
        <w:pStyle w:val="10"/>
        <w:rPr>
          <w:rFonts w:ascii="Times New Roman"/>
          <w:highlight w:val="none"/>
        </w:rPr>
      </w:pPr>
      <w:bookmarkStart w:id="110" w:name="_Toc5978"/>
      <w:bookmarkStart w:id="111" w:name="_Toc32321"/>
      <w:r>
        <w:rPr>
          <w:rFonts w:ascii="Times New Roman"/>
          <w:highlight w:val="none"/>
        </w:rPr>
        <w:t>其他应予以说明的事项</w:t>
      </w:r>
      <w:bookmarkEnd w:id="110"/>
      <w:bookmarkEnd w:id="111"/>
      <w:bookmarkStart w:id="112" w:name="_Toc470274560"/>
    </w:p>
    <w:p w14:paraId="7DAD56F2">
      <w:pPr>
        <w:snapToGrid w:val="0"/>
        <w:spacing w:line="360" w:lineRule="auto"/>
        <w:ind w:firstLine="420" w:firstLineChars="200"/>
        <w:rPr>
          <w:rFonts w:ascii="Times New Roman" w:hAnsi="Times New Roman" w:cs="Times New Roman"/>
          <w:highlight w:val="none"/>
        </w:rPr>
      </w:pPr>
      <w:r>
        <w:rPr>
          <w:rFonts w:ascii="Times New Roman" w:hAnsi="Times New Roman" w:eastAsia="宋体" w:cs="Times New Roman"/>
          <w:szCs w:val="21"/>
          <w:highlight w:val="none"/>
        </w:rPr>
        <mc:AlternateContent>
          <mc:Choice Requires="wps">
            <w:drawing>
              <wp:anchor distT="0" distB="0" distL="114300" distR="114300" simplePos="0" relativeHeight="251659264" behindDoc="0" locked="0" layoutInCell="1" allowOverlap="1">
                <wp:simplePos x="0" y="0"/>
                <wp:positionH relativeFrom="column">
                  <wp:posOffset>762000</wp:posOffset>
                </wp:positionH>
                <wp:positionV relativeFrom="paragraph">
                  <wp:posOffset>632460</wp:posOffset>
                </wp:positionV>
                <wp:extent cx="3552190" cy="0"/>
                <wp:effectExtent l="0" t="0" r="0" b="0"/>
                <wp:wrapNone/>
                <wp:docPr id="33" name="直接连接符 33"/>
                <wp:cNvGraphicFramePr/>
                <a:graphic xmlns:a="http://schemas.openxmlformats.org/drawingml/2006/main">
                  <a:graphicData uri="http://schemas.microsoft.com/office/word/2010/wordprocessingShape">
                    <wps:wsp>
                      <wps:cNvCnPr/>
                      <wps:spPr>
                        <a:xfrm>
                          <a:off x="0" y="0"/>
                          <a:ext cx="3552092" cy="0"/>
                        </a:xfrm>
                        <a:prstGeom prst="line">
                          <a:avLst/>
                        </a:prstGeom>
                        <a:ln>
                          <a:solidFill>
                            <a:schemeClr val="tx1"/>
                          </a:solidFill>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_x0000_s1026" o:spid="_x0000_s1026" o:spt="20" style="position:absolute;left:0pt;margin-left:60pt;margin-top:49.8pt;height:0pt;width:279.7pt;z-index:251659264;mso-width-relative:page;mso-height-relative:page;" filled="f" stroked="t" coordsize="21600,21600" o:gfxdata="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O7MjW7VAAAACQEA&#10;AA8AAAAAAAAAAQAgAAAAIgAAAGRycy9kb3ducmV2LnhtbFBLAQIUABQAAAAIAIdO4kD6I1Dg5AEA&#10;ALMDAAAOAAAAAAAAAAEAIAAAACQBAABkcnMvZTJvRG9jLnhtbFBLBQYAAAAABgAGAFkBAAB6BQAA&#10;AAA=&#10;">
                <v:fill on="f" focussize="0,0"/>
                <v:stroke weight="0.5pt" color="#000000 [3213]" miterlimit="8" joinstyle="miter"/>
                <v:imagedata o:title=""/>
                <o:lock v:ext="edit" aspectratio="f"/>
              </v:line>
            </w:pict>
          </mc:Fallback>
        </mc:AlternateContent>
      </w:r>
      <w:r>
        <w:rPr>
          <w:rFonts w:ascii="Times New Roman" w:hAnsi="Times New Roman" w:eastAsia="宋体" w:cs="Times New Roman"/>
          <w:szCs w:val="21"/>
          <w:highlight w:val="none"/>
        </w:rPr>
        <w:t>《技术规范》起草过程中，得到了陕西省市场监督管理局、</w:t>
      </w:r>
      <w:r>
        <w:rPr>
          <w:rFonts w:hint="eastAsia" w:ascii="Times New Roman" w:hAnsi="Times New Roman" w:eastAsia="宋体" w:cs="Times New Roman"/>
          <w:szCs w:val="21"/>
          <w:highlight w:val="none"/>
          <w:lang w:eastAsia="zh-CN"/>
        </w:rPr>
        <w:t>陕西省生态环境厅</w:t>
      </w:r>
      <w:r>
        <w:rPr>
          <w:rFonts w:ascii="Times New Roman" w:hAnsi="Times New Roman" w:eastAsia="宋体" w:cs="Times New Roman"/>
          <w:szCs w:val="21"/>
          <w:highlight w:val="none"/>
        </w:rPr>
        <w:t>、各市区环保局的大力支持，在此深表谢意！</w:t>
      </w:r>
      <w:bookmarkEnd w:id="112"/>
    </w:p>
    <w:sectPr>
      <w:footerReference r:id="rId6" w:type="default"/>
      <w:type w:val="continuous"/>
      <w:pgSz w:w="11906" w:h="16838"/>
      <w:pgMar w:top="1440" w:right="1800" w:bottom="1440" w:left="1800" w:header="851" w:footer="992" w:gutter="0"/>
      <w:pgBorders>
        <w:top w:val="none" w:sz="0" w:space="0"/>
        <w:left w:val="none" w:sz="0" w:space="0"/>
        <w:bottom w:val="none" w:sz="0" w:space="0"/>
        <w:right w:val="none" w:sz="0" w:space="0"/>
      </w:pgBorders>
      <w:pgNumType w:start="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黑体_x0005_..">
    <w:altName w:val="黑体"/>
    <w:panose1 w:val="00000000000000000000"/>
    <w:charset w:val="86"/>
    <w:family w:val="swiss"/>
    <w:pitch w:val="default"/>
    <w:sig w:usb0="00000000" w:usb1="00000000" w:usb2="00000000" w:usb3="00000000" w:csb0="00040000" w:csb1="00000000"/>
  </w:font>
  <w:font w:name="宋体_x0005_..">
    <w:altName w:val="宋体"/>
    <w:panose1 w:val="00000000000000000000"/>
    <w:charset w:val="86"/>
    <w:family w:val="roman"/>
    <w:pitch w:val="default"/>
    <w:sig w:usb0="00000000" w:usb1="00000000" w:usb2="00000000" w:usb3="00000000" w:csb0="00040000"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DDCAEB">
    <w:pPr>
      <w:pStyle w:val="3"/>
      <w:framePr w:wrap="around" w:vAnchor="text" w:hAnchor="margin" w:xAlign="center" w:y="1"/>
      <w:rPr>
        <w:rStyle w:val="9"/>
      </w:rPr>
    </w:pPr>
    <w:r>
      <w:fldChar w:fldCharType="begin"/>
    </w:r>
    <w:r>
      <w:rPr>
        <w:rStyle w:val="9"/>
      </w:rPr>
      <w:instrText xml:space="preserve">PAGE  </w:instrText>
    </w:r>
    <w:r>
      <w:fldChar w:fldCharType="separate"/>
    </w:r>
    <w:r>
      <w:rPr>
        <w:rStyle w:val="9"/>
      </w:rPr>
      <w:t>3</w:t>
    </w:r>
    <w:r>
      <w:fldChar w:fldCharType="end"/>
    </w:r>
  </w:p>
  <w:p w14:paraId="4BBE4BCC">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465CF1">
    <w:pPr>
      <w:pStyle w:val="3"/>
      <w:framePr w:wrap="around" w:vAnchor="text" w:hAnchor="margin" w:xAlign="center" w:y="1"/>
      <w:rPr>
        <w:rStyle w:val="9"/>
      </w:rPr>
    </w:pPr>
    <w:r>
      <w:fldChar w:fldCharType="begin"/>
    </w:r>
    <w:r>
      <w:rPr>
        <w:rStyle w:val="9"/>
      </w:rPr>
      <w:instrText xml:space="preserve">PAGE  </w:instrText>
    </w:r>
    <w:r>
      <w:fldChar w:fldCharType="end"/>
    </w:r>
  </w:p>
  <w:p w14:paraId="426874D9">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084DC8">
    <w:pPr>
      <w:pStyle w:val="3"/>
      <w:framePr w:wrap="around" w:vAnchor="text" w:hAnchor="margin" w:xAlign="center" w:y="1"/>
      <w:ind w:firstLine="360"/>
      <w:rPr>
        <w:rStyle w:val="9"/>
      </w:rPr>
    </w:pPr>
    <w:r>
      <w:fldChar w:fldCharType="begin"/>
    </w:r>
    <w:r>
      <w:rPr>
        <w:rStyle w:val="9"/>
      </w:rPr>
      <w:instrText xml:space="preserve">PAGE  </w:instrText>
    </w:r>
    <w:r>
      <w:fldChar w:fldCharType="separate"/>
    </w:r>
    <w:r>
      <w:rPr>
        <w:rStyle w:val="9"/>
      </w:rPr>
      <w:t>28</w:t>
    </w:r>
    <w:r>
      <w:fldChar w:fldCharType="end"/>
    </w:r>
  </w:p>
  <w:p w14:paraId="5DDED69C">
    <w:pPr>
      <w:pStyle w:val="3"/>
      <w:ind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376B3D">
    <w:pPr>
      <w:pStyle w:val="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B706513"/>
    <w:multiLevelType w:val="singleLevel"/>
    <w:tmpl w:val="BB706513"/>
    <w:lvl w:ilvl="0" w:tentative="0">
      <w:start w:val="1"/>
      <w:numFmt w:val="decimal"/>
      <w:lvlText w:val="%1)"/>
      <w:lvlJc w:val="left"/>
      <w:pPr>
        <w:ind w:left="3403" w:hanging="425"/>
      </w:pPr>
      <w:rPr>
        <w:rFonts w:hint="default"/>
      </w:rPr>
    </w:lvl>
  </w:abstractNum>
  <w:abstractNum w:abstractNumId="1">
    <w:nsid w:val="CF588224"/>
    <w:multiLevelType w:val="singleLevel"/>
    <w:tmpl w:val="CF588224"/>
    <w:lvl w:ilvl="0" w:tentative="0">
      <w:start w:val="2"/>
      <w:numFmt w:val="decimal"/>
      <w:suff w:val="nothing"/>
      <w:lvlText w:val="（%1）"/>
      <w:lvlJc w:val="left"/>
    </w:lvl>
  </w:abstractNum>
  <w:abstractNum w:abstractNumId="2">
    <w:nsid w:val="D35F324B"/>
    <w:multiLevelType w:val="singleLevel"/>
    <w:tmpl w:val="D35F324B"/>
    <w:lvl w:ilvl="0" w:tentative="0">
      <w:start w:val="1"/>
      <w:numFmt w:val="decimal"/>
      <w:lvlText w:val="(%1)"/>
      <w:lvlJc w:val="left"/>
      <w:pPr>
        <w:ind w:left="425" w:hanging="425"/>
      </w:pPr>
      <w:rPr>
        <w:rFonts w:hint="default"/>
      </w:rPr>
    </w:lvl>
  </w:abstractNum>
  <w:abstractNum w:abstractNumId="3">
    <w:nsid w:val="D6436343"/>
    <w:multiLevelType w:val="singleLevel"/>
    <w:tmpl w:val="D6436343"/>
    <w:lvl w:ilvl="0" w:tentative="0">
      <w:start w:val="1"/>
      <w:numFmt w:val="decimal"/>
      <w:lvlText w:val="(%1)"/>
      <w:lvlJc w:val="left"/>
      <w:pPr>
        <w:ind w:left="425" w:hanging="425"/>
      </w:pPr>
      <w:rPr>
        <w:rFonts w:hint="default" w:ascii="宋体" w:hAnsi="宋体" w:eastAsia="宋体"/>
      </w:rPr>
    </w:lvl>
  </w:abstractNum>
  <w:abstractNum w:abstractNumId="4">
    <w:nsid w:val="1FC91163"/>
    <w:multiLevelType w:val="multilevel"/>
    <w:tmpl w:val="1FC91163"/>
    <w:lvl w:ilvl="0" w:tentative="0">
      <w:start w:val="1"/>
      <w:numFmt w:val="decimal"/>
      <w:pStyle w:val="10"/>
      <w:suff w:val="nothing"/>
      <w:lvlText w:val="%1　"/>
      <w:lvlJc w:val="left"/>
      <w:pPr>
        <w:ind w:left="0" w:firstLine="0"/>
      </w:pPr>
      <w:rPr>
        <w:rFonts w:hint="eastAsia" w:ascii="黑体" w:hAnsi="Times New Roman" w:eastAsia="黑体"/>
        <w:b w:val="0"/>
        <w:i w:val="0"/>
        <w:sz w:val="21"/>
        <w:szCs w:val="21"/>
      </w:rPr>
    </w:lvl>
    <w:lvl w:ilvl="1" w:tentative="0">
      <w:start w:val="1"/>
      <w:numFmt w:val="decimal"/>
      <w:suff w:val="nothing"/>
      <w:lvlText w:val="%1.%2　"/>
      <w:lvlJc w:val="left"/>
      <w:pPr>
        <w:ind w:left="0" w:firstLine="0"/>
      </w:pPr>
      <w:rPr>
        <w:rFonts w:hint="eastAsia" w:ascii="黑体" w:hAnsi="Times New Roman" w:eastAsia="黑体" w:cs="Times New Roman"/>
        <w:b w:val="0"/>
        <w:bCs w:val="0"/>
        <w:i w:val="0"/>
        <w:iCs w:val="0"/>
        <w:caps w:val="0"/>
        <w:strike w:val="0"/>
        <w:dstrike w:val="0"/>
        <w:vanish w:val="0"/>
        <w:spacing w:val="0"/>
        <w:kern w:val="0"/>
        <w:position w:val="0"/>
        <w:sz w:val="21"/>
        <w:szCs w:val="21"/>
        <w:u w:val="none"/>
        <w:vertAlign w:val="baseline"/>
      </w:rPr>
    </w:lvl>
    <w:lvl w:ilvl="2" w:tentative="0">
      <w:start w:val="1"/>
      <w:numFmt w:val="decimal"/>
      <w:pStyle w:val="14"/>
      <w:suff w:val="nothing"/>
      <w:lvlText w:val="%1.%2.%3　"/>
      <w:lvlJc w:val="left"/>
      <w:pPr>
        <w:ind w:left="1559"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5">
    <w:nsid w:val="29E02583"/>
    <w:multiLevelType w:val="singleLevel"/>
    <w:tmpl w:val="29E02583"/>
    <w:lvl w:ilvl="0" w:tentative="0">
      <w:start w:val="1"/>
      <w:numFmt w:val="decimal"/>
      <w:suff w:val="nothing"/>
      <w:lvlText w:val="（%1）"/>
      <w:lvlJc w:val="left"/>
    </w:lvl>
  </w:abstractNum>
  <w:abstractNum w:abstractNumId="6">
    <w:nsid w:val="657D3FBC"/>
    <w:multiLevelType w:val="multilevel"/>
    <w:tmpl w:val="657D3FBC"/>
    <w:lvl w:ilvl="0" w:tentative="0">
      <w:start w:val="1"/>
      <w:numFmt w:val="upperLetter"/>
      <w:suff w:val="nothing"/>
      <w:lvlText w:val="附　录　%1"/>
      <w:lvlJc w:val="left"/>
      <w:pPr>
        <w:ind w:left="0" w:firstLine="0"/>
      </w:pPr>
      <w:rPr>
        <w:rFonts w:hint="eastAsia" w:ascii="黑体" w:hAnsi="Times New Roman" w:eastAsia="黑体"/>
        <w:b w:val="0"/>
        <w:i w:val="0"/>
        <w:spacing w:val="0"/>
        <w:w w:val="100"/>
        <w:sz w:val="21"/>
      </w:rPr>
    </w:lvl>
    <w:lvl w:ilvl="1" w:tentative="0">
      <w:start w:val="1"/>
      <w:numFmt w:val="decimal"/>
      <w:pStyle w:val="18"/>
      <w:suff w:val="nothing"/>
      <w:lvlText w:val="%1.%2　"/>
      <w:lvlJc w:val="left"/>
      <w:pPr>
        <w:ind w:left="2127" w:firstLine="0"/>
      </w:pPr>
      <w:rPr>
        <w:rFonts w:hint="eastAsia" w:ascii="黑体" w:hAnsi="Times New Roman" w:eastAsia="黑体"/>
        <w:b w:val="0"/>
        <w:i w:val="0"/>
        <w:snapToGrid/>
        <w:spacing w:val="0"/>
        <w:w w:val="100"/>
        <w:kern w:val="21"/>
        <w:sz w:val="21"/>
      </w:rPr>
    </w:lvl>
    <w:lvl w:ilvl="2" w:tentative="0">
      <w:start w:val="1"/>
      <w:numFmt w:val="decimal"/>
      <w:pStyle w:val="19"/>
      <w:suff w:val="nothing"/>
      <w:lvlText w:val="%1.%2.%3　"/>
      <w:lvlJc w:val="left"/>
      <w:pPr>
        <w:ind w:left="0"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num w:numId="1">
    <w:abstractNumId w:val="4"/>
  </w:num>
  <w:num w:numId="2">
    <w:abstractNumId w:val="6"/>
  </w:num>
  <w:num w:numId="3">
    <w:abstractNumId w:val="2"/>
  </w:num>
  <w:num w:numId="4">
    <w:abstractNumId w:val="0"/>
  </w:num>
  <w:num w:numId="5">
    <w:abstractNumId w:val="3"/>
  </w:num>
  <w:num w:numId="6">
    <w:abstractNumId w:val="1"/>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8"/>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k2NTQ3YjQ5YTBiODMyNmUyMTEwNjdhYWViZDYxNzcifQ=="/>
  </w:docVars>
  <w:rsids>
    <w:rsidRoot w:val="00EB512B"/>
    <w:rsid w:val="000427D2"/>
    <w:rsid w:val="000625B5"/>
    <w:rsid w:val="00071109"/>
    <w:rsid w:val="0009109C"/>
    <w:rsid w:val="000C3ABD"/>
    <w:rsid w:val="000E3284"/>
    <w:rsid w:val="000F40F2"/>
    <w:rsid w:val="000F4E2C"/>
    <w:rsid w:val="00150AAD"/>
    <w:rsid w:val="00204EFB"/>
    <w:rsid w:val="00222D20"/>
    <w:rsid w:val="00225146"/>
    <w:rsid w:val="00244206"/>
    <w:rsid w:val="00303C88"/>
    <w:rsid w:val="00305B64"/>
    <w:rsid w:val="003311C7"/>
    <w:rsid w:val="00360D1E"/>
    <w:rsid w:val="003D5F3C"/>
    <w:rsid w:val="003D770A"/>
    <w:rsid w:val="00436FAA"/>
    <w:rsid w:val="004A2A0C"/>
    <w:rsid w:val="004C0DAC"/>
    <w:rsid w:val="004D33FF"/>
    <w:rsid w:val="00506F6C"/>
    <w:rsid w:val="00516CC8"/>
    <w:rsid w:val="00567599"/>
    <w:rsid w:val="005B2167"/>
    <w:rsid w:val="005C2AF9"/>
    <w:rsid w:val="005F3B11"/>
    <w:rsid w:val="00614D86"/>
    <w:rsid w:val="006569E2"/>
    <w:rsid w:val="00660A79"/>
    <w:rsid w:val="006B7923"/>
    <w:rsid w:val="006D3DD5"/>
    <w:rsid w:val="006D633C"/>
    <w:rsid w:val="007F616F"/>
    <w:rsid w:val="00842E45"/>
    <w:rsid w:val="00857AFB"/>
    <w:rsid w:val="008E7177"/>
    <w:rsid w:val="00965578"/>
    <w:rsid w:val="00997C6B"/>
    <w:rsid w:val="009B3A1B"/>
    <w:rsid w:val="009C7C4B"/>
    <w:rsid w:val="00A34675"/>
    <w:rsid w:val="00A43C85"/>
    <w:rsid w:val="00A87752"/>
    <w:rsid w:val="00AB3CAA"/>
    <w:rsid w:val="00AF7CAA"/>
    <w:rsid w:val="00B07FEB"/>
    <w:rsid w:val="00B972E0"/>
    <w:rsid w:val="00B977B6"/>
    <w:rsid w:val="00BE6F94"/>
    <w:rsid w:val="00C74CC0"/>
    <w:rsid w:val="00CD2DE1"/>
    <w:rsid w:val="00CF6316"/>
    <w:rsid w:val="00D06606"/>
    <w:rsid w:val="00D8579F"/>
    <w:rsid w:val="00DA098A"/>
    <w:rsid w:val="00DA2435"/>
    <w:rsid w:val="00DD4AA5"/>
    <w:rsid w:val="00DF58A6"/>
    <w:rsid w:val="00E07F30"/>
    <w:rsid w:val="00E41854"/>
    <w:rsid w:val="00EB512B"/>
    <w:rsid w:val="00EC3D0E"/>
    <w:rsid w:val="00EE5790"/>
    <w:rsid w:val="00F75CAC"/>
    <w:rsid w:val="00FB6D7F"/>
    <w:rsid w:val="01B33980"/>
    <w:rsid w:val="029A1B3E"/>
    <w:rsid w:val="03337DAF"/>
    <w:rsid w:val="04784101"/>
    <w:rsid w:val="04C11604"/>
    <w:rsid w:val="07465DF0"/>
    <w:rsid w:val="0ABB1DE6"/>
    <w:rsid w:val="0CF4009D"/>
    <w:rsid w:val="0D7116ED"/>
    <w:rsid w:val="0DD759F4"/>
    <w:rsid w:val="0E66270F"/>
    <w:rsid w:val="0FBF2BE4"/>
    <w:rsid w:val="12810624"/>
    <w:rsid w:val="136043AE"/>
    <w:rsid w:val="14956609"/>
    <w:rsid w:val="14FB46BE"/>
    <w:rsid w:val="159B6B9F"/>
    <w:rsid w:val="185F6D12"/>
    <w:rsid w:val="19C21C4E"/>
    <w:rsid w:val="1BED6E12"/>
    <w:rsid w:val="1BF32509"/>
    <w:rsid w:val="1D5A186A"/>
    <w:rsid w:val="1EA409C5"/>
    <w:rsid w:val="23137077"/>
    <w:rsid w:val="234B0398"/>
    <w:rsid w:val="235B27CC"/>
    <w:rsid w:val="25C94365"/>
    <w:rsid w:val="27BF5A1F"/>
    <w:rsid w:val="2AA35208"/>
    <w:rsid w:val="2C1F6A8C"/>
    <w:rsid w:val="2DED6716"/>
    <w:rsid w:val="2E81758A"/>
    <w:rsid w:val="2FFB4304"/>
    <w:rsid w:val="34020A9B"/>
    <w:rsid w:val="39011E24"/>
    <w:rsid w:val="3D85696B"/>
    <w:rsid w:val="3D9F7A2D"/>
    <w:rsid w:val="40730CFD"/>
    <w:rsid w:val="439256C8"/>
    <w:rsid w:val="44182FB0"/>
    <w:rsid w:val="47EC671D"/>
    <w:rsid w:val="48FA645F"/>
    <w:rsid w:val="4ABA2BF2"/>
    <w:rsid w:val="4D87403A"/>
    <w:rsid w:val="52462715"/>
    <w:rsid w:val="52BA2D3F"/>
    <w:rsid w:val="53015F52"/>
    <w:rsid w:val="532E7431"/>
    <w:rsid w:val="548D462B"/>
    <w:rsid w:val="57FB4CB9"/>
    <w:rsid w:val="58AD4971"/>
    <w:rsid w:val="5A9164F8"/>
    <w:rsid w:val="5C093025"/>
    <w:rsid w:val="5D1F2603"/>
    <w:rsid w:val="605571BE"/>
    <w:rsid w:val="6070796B"/>
    <w:rsid w:val="60FF065F"/>
    <w:rsid w:val="610027FC"/>
    <w:rsid w:val="612B3202"/>
    <w:rsid w:val="63B5488F"/>
    <w:rsid w:val="64906511"/>
    <w:rsid w:val="68305CFF"/>
    <w:rsid w:val="68D221B5"/>
    <w:rsid w:val="69B47B0D"/>
    <w:rsid w:val="69FC1BE0"/>
    <w:rsid w:val="6AA55772"/>
    <w:rsid w:val="6BDE1359"/>
    <w:rsid w:val="6C117498"/>
    <w:rsid w:val="6DB1683D"/>
    <w:rsid w:val="72AC7F1B"/>
    <w:rsid w:val="73A330CC"/>
    <w:rsid w:val="74774EC3"/>
    <w:rsid w:val="74AC4202"/>
    <w:rsid w:val="75A96DE4"/>
    <w:rsid w:val="75CF5085"/>
    <w:rsid w:val="77336515"/>
    <w:rsid w:val="774016F2"/>
    <w:rsid w:val="783D7E24"/>
    <w:rsid w:val="7A20303A"/>
    <w:rsid w:val="7CC55E61"/>
    <w:rsid w:val="7FCC75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iPriority="39" w:semiHidden="0" w:name="toc 2"/>
    <w:lsdException w:qFormat="1" w:uiPriority="39"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toc 3"/>
    <w:basedOn w:val="1"/>
    <w:next w:val="1"/>
    <w:autoRedefine/>
    <w:semiHidden/>
    <w:unhideWhenUsed/>
    <w:qFormat/>
    <w:uiPriority w:val="39"/>
    <w:pPr>
      <w:ind w:left="840" w:leftChars="400"/>
    </w:pPr>
  </w:style>
  <w:style w:type="paragraph" w:styleId="3">
    <w:name w:val="footer"/>
    <w:basedOn w:val="1"/>
    <w:autoRedefine/>
    <w:unhideWhenUsed/>
    <w:qFormat/>
    <w:uiPriority w:val="0"/>
    <w:pPr>
      <w:tabs>
        <w:tab w:val="center" w:pos="4153"/>
        <w:tab w:val="right" w:pos="8306"/>
      </w:tabs>
      <w:snapToGrid w:val="0"/>
      <w:jc w:val="left"/>
    </w:pPr>
    <w:rPr>
      <w:sz w:val="18"/>
      <w:szCs w:val="18"/>
    </w:rPr>
  </w:style>
  <w:style w:type="paragraph" w:styleId="4">
    <w:name w:val="header"/>
    <w:basedOn w:val="1"/>
    <w:autoRedefine/>
    <w:unhideWhenUsed/>
    <w:qFormat/>
    <w:uiPriority w:val="0"/>
    <w:pPr>
      <w:pBdr>
        <w:bottom w:val="single" w:color="auto" w:sz="6" w:space="1"/>
      </w:pBdr>
      <w:tabs>
        <w:tab w:val="center" w:pos="4153"/>
        <w:tab w:val="right" w:pos="8306"/>
      </w:tabs>
      <w:snapToGrid w:val="0"/>
      <w:jc w:val="center"/>
    </w:pPr>
    <w:rPr>
      <w:sz w:val="18"/>
      <w:szCs w:val="18"/>
    </w:rPr>
  </w:style>
  <w:style w:type="paragraph" w:styleId="5">
    <w:name w:val="toc 2"/>
    <w:basedOn w:val="1"/>
    <w:next w:val="1"/>
    <w:autoRedefine/>
    <w:unhideWhenUsed/>
    <w:qFormat/>
    <w:uiPriority w:val="39"/>
    <w:pPr>
      <w:ind w:left="420" w:leftChars="200"/>
    </w:pPr>
  </w:style>
  <w:style w:type="table" w:styleId="7">
    <w:name w:val="Table Grid"/>
    <w:basedOn w:val="6"/>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page number"/>
    <w:autoRedefine/>
    <w:semiHidden/>
    <w:qFormat/>
    <w:uiPriority w:val="0"/>
    <w:rPr>
      <w:rFonts w:cs="Times New Roman"/>
    </w:rPr>
  </w:style>
  <w:style w:type="paragraph" w:customStyle="1" w:styleId="10">
    <w:name w:val="章标题"/>
    <w:next w:val="11"/>
    <w:autoRedefine/>
    <w:qFormat/>
    <w:uiPriority w:val="0"/>
    <w:pPr>
      <w:numPr>
        <w:ilvl w:val="0"/>
        <w:numId w:val="1"/>
      </w:numPr>
      <w:spacing w:before="312" w:beforeLines="100" w:after="312" w:afterLines="100"/>
      <w:jc w:val="both"/>
      <w:outlineLvl w:val="1"/>
    </w:pPr>
    <w:rPr>
      <w:rFonts w:ascii="黑体" w:hAnsi="Times New Roman" w:eastAsia="黑体" w:cs="Times New Roman"/>
      <w:sz w:val="21"/>
      <w:lang w:val="en-US" w:eastAsia="zh-CN" w:bidi="ar-SA"/>
    </w:rPr>
  </w:style>
  <w:style w:type="paragraph" w:customStyle="1" w:styleId="11">
    <w:name w:val="段"/>
    <w:basedOn w:val="1"/>
    <w:autoRedefine/>
    <w:qFormat/>
    <w:uiPriority w:val="0"/>
    <w:pPr>
      <w:widowControl/>
      <w:tabs>
        <w:tab w:val="center" w:pos="4201"/>
        <w:tab w:val="right" w:leader="dot" w:pos="9298"/>
      </w:tabs>
      <w:autoSpaceDE w:val="0"/>
      <w:autoSpaceDN w:val="0"/>
      <w:ind w:firstLine="420" w:firstLineChars="200"/>
    </w:pPr>
    <w:rPr>
      <w:rFonts w:ascii="Times New Roman" w:hAnsi="Times New Roman" w:eastAsia="宋体" w:cs="Times New Roman"/>
      <w:kern w:val="0"/>
      <w:szCs w:val="20"/>
    </w:rPr>
  </w:style>
  <w:style w:type="paragraph" w:customStyle="1" w:styleId="12">
    <w:name w:val="一级条标题"/>
    <w:next w:val="11"/>
    <w:autoRedefine/>
    <w:qFormat/>
    <w:uiPriority w:val="0"/>
    <w:pPr>
      <w:spacing w:before="156" w:beforeLines="50" w:after="156" w:afterLines="50"/>
      <w:outlineLvl w:val="2"/>
    </w:pPr>
    <w:rPr>
      <w:rFonts w:ascii="黑体" w:hAnsi="Times New Roman" w:eastAsia="黑体" w:cs="Times New Roman"/>
      <w:sz w:val="21"/>
      <w:szCs w:val="21"/>
      <w:lang w:val="en-US" w:eastAsia="zh-CN" w:bidi="ar-SA"/>
    </w:rPr>
  </w:style>
  <w:style w:type="paragraph" w:customStyle="1" w:styleId="13">
    <w:name w:val="二级无"/>
    <w:basedOn w:val="14"/>
    <w:autoRedefine/>
    <w:qFormat/>
    <w:uiPriority w:val="0"/>
    <w:pPr>
      <w:spacing w:before="0" w:beforeLines="0" w:after="0" w:afterLines="0"/>
    </w:pPr>
    <w:rPr>
      <w:rFonts w:ascii="Times New Roman" w:eastAsia="宋体"/>
    </w:rPr>
  </w:style>
  <w:style w:type="paragraph" w:customStyle="1" w:styleId="14">
    <w:name w:val="二级条标题"/>
    <w:basedOn w:val="12"/>
    <w:next w:val="11"/>
    <w:autoRedefine/>
    <w:qFormat/>
    <w:uiPriority w:val="0"/>
    <w:pPr>
      <w:numPr>
        <w:ilvl w:val="2"/>
        <w:numId w:val="1"/>
      </w:numPr>
      <w:spacing w:before="50" w:after="50"/>
      <w:outlineLvl w:val="3"/>
    </w:pPr>
  </w:style>
  <w:style w:type="character" w:customStyle="1" w:styleId="15">
    <w:name w:val="fontstyle01"/>
    <w:basedOn w:val="8"/>
    <w:autoRedefine/>
    <w:qFormat/>
    <w:uiPriority w:val="0"/>
    <w:rPr>
      <w:rFonts w:hint="eastAsia" w:ascii="宋体" w:hAnsi="宋体" w:eastAsia="宋体"/>
      <w:color w:val="000000"/>
      <w:sz w:val="22"/>
      <w:szCs w:val="22"/>
    </w:rPr>
  </w:style>
  <w:style w:type="paragraph" w:styleId="16">
    <w:name w:val="List Paragraph"/>
    <w:basedOn w:val="1"/>
    <w:autoRedefine/>
    <w:unhideWhenUsed/>
    <w:qFormat/>
    <w:uiPriority w:val="99"/>
    <w:pPr>
      <w:ind w:firstLine="420" w:firstLineChars="200"/>
    </w:pPr>
  </w:style>
  <w:style w:type="paragraph" w:customStyle="1" w:styleId="17">
    <w:name w:val="附录标识"/>
    <w:basedOn w:val="1"/>
    <w:next w:val="11"/>
    <w:autoRedefine/>
    <w:qFormat/>
    <w:uiPriority w:val="0"/>
    <w:pPr>
      <w:keepNext/>
      <w:widowControl/>
      <w:shd w:val="clear" w:color="FFFFFF" w:fill="FFFFFF"/>
      <w:tabs>
        <w:tab w:val="left" w:pos="360"/>
        <w:tab w:val="left" w:pos="6405"/>
      </w:tabs>
      <w:spacing w:after="312" w:afterLines="100"/>
      <w:jc w:val="center"/>
      <w:outlineLvl w:val="0"/>
    </w:pPr>
    <w:rPr>
      <w:rFonts w:ascii="黑体" w:hAnsi="Times New Roman" w:eastAsia="黑体" w:cs="Times New Roman"/>
      <w:kern w:val="0"/>
      <w:szCs w:val="20"/>
    </w:rPr>
  </w:style>
  <w:style w:type="paragraph" w:customStyle="1" w:styleId="18">
    <w:name w:val="附录章标题"/>
    <w:next w:val="11"/>
    <w:autoRedefine/>
    <w:qFormat/>
    <w:uiPriority w:val="0"/>
    <w:pPr>
      <w:numPr>
        <w:ilvl w:val="1"/>
        <w:numId w:val="2"/>
      </w:numPr>
      <w:tabs>
        <w:tab w:val="left" w:pos="360"/>
      </w:tabs>
      <w:wordWrap w:val="0"/>
      <w:overflowPunct w:val="0"/>
      <w:autoSpaceDE w:val="0"/>
      <w:spacing w:before="312" w:beforeLines="100" w:after="156" w:afterLines="50"/>
      <w:ind w:left="0"/>
      <w:jc w:val="both"/>
      <w:textAlignment w:val="baseline"/>
      <w:outlineLvl w:val="1"/>
    </w:pPr>
    <w:rPr>
      <w:rFonts w:ascii="黑体" w:hAnsi="Times New Roman" w:eastAsia="黑体" w:cs="Times New Roman"/>
      <w:kern w:val="21"/>
      <w:sz w:val="21"/>
      <w:lang w:val="en-US" w:eastAsia="zh-CN" w:bidi="ar-SA"/>
    </w:rPr>
  </w:style>
  <w:style w:type="paragraph" w:customStyle="1" w:styleId="19">
    <w:name w:val="附录一级条标题"/>
    <w:basedOn w:val="18"/>
    <w:next w:val="11"/>
    <w:autoRedefine/>
    <w:qFormat/>
    <w:uiPriority w:val="0"/>
    <w:pPr>
      <w:numPr>
        <w:ilvl w:val="2"/>
      </w:numPr>
      <w:autoSpaceDN w:val="0"/>
      <w:spacing w:before="50" w:beforeLines="50" w:after="50"/>
      <w:outlineLvl w:val="2"/>
    </w:p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2" Type="http://schemas.openxmlformats.org/officeDocument/2006/relationships/fontTable" Target="fontTable.xml"/><Relationship Id="rId21" Type="http://schemas.openxmlformats.org/officeDocument/2006/relationships/customXml" Target="../customXml/item2.xml"/><Relationship Id="rId20" Type="http://schemas.openxmlformats.org/officeDocument/2006/relationships/numbering" Target="numbering.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media/image10.png"/><Relationship Id="rId17" Type="http://schemas.openxmlformats.org/officeDocument/2006/relationships/image" Target="media/image9.png"/><Relationship Id="rId16" Type="http://schemas.openxmlformats.org/officeDocument/2006/relationships/image" Target="media/image8.png"/><Relationship Id="rId15" Type="http://schemas.openxmlformats.org/officeDocument/2006/relationships/image" Target="media/image7.png"/><Relationship Id="rId14" Type="http://schemas.openxmlformats.org/officeDocument/2006/relationships/image" Target="media/image6.png"/><Relationship Id="rId13" Type="http://schemas.openxmlformats.org/officeDocument/2006/relationships/image" Target="media/image5.png"/><Relationship Id="rId12" Type="http://schemas.openxmlformats.org/officeDocument/2006/relationships/image" Target="media/image4.wmf"/><Relationship Id="rId11" Type="http://schemas.openxmlformats.org/officeDocument/2006/relationships/oleObject" Target="embeddings/oleObject1.bin"/><Relationship Id="rId10" Type="http://schemas.openxmlformats.org/officeDocument/2006/relationships/image" Target="media/image3.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DAC7827-22F4-4DC9-81BE-01343957C359}">
  <ds:schemaRefs/>
</ds:datastoreItem>
</file>

<file path=docProps/app.xml><?xml version="1.0" encoding="utf-8"?>
<Properties xmlns="http://schemas.openxmlformats.org/officeDocument/2006/extended-properties" xmlns:vt="http://schemas.openxmlformats.org/officeDocument/2006/docPropsVTypes">
  <Template>Normal</Template>
  <Pages>22</Pages>
  <Words>14203</Words>
  <Characters>14996</Characters>
  <Lines>148</Lines>
  <Paragraphs>41</Paragraphs>
  <TotalTime>2</TotalTime>
  <ScaleCrop>false</ScaleCrop>
  <LinksUpToDate>false</LinksUpToDate>
  <CharactersWithSpaces>15289</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2024-03-16T11:31:00Z</dcterms:created>
  <dc:creator>admin</dc:creator>
  <cp:lastModifiedBy>小辫子多多</cp:lastModifiedBy>
  <dcterms:modified xsi:type="dcterms:W3CDTF">2024-11-14T09:18:58Z</dcterms:modified>
  <cp:revision>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F6EB97F74FE84CEBA6EF55F2FCC419C4_13</vt:lpwstr>
  </property>
</Properties>
</file>