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关于公布部分医疗服务项目价格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有关事项的通知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00" w:firstLineChars="10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各区（市）医疗保障局，市医疗保险事业中心，公立医疗机构：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为进一步满足人民群众日益增长的医疗服务需求，支持医疗机构创新发展，根据《山东省新增医疗服务价格项目管理办法》（鲁医保发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[2022]35号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）和《山东省医保局关于公布部分医疗服务项目及价格有关事项的通知》（鲁医保发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[2024]26号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）精神，现公布部分纳入医保基金支付范围医疗服务项目价格、新增和修订医疗服务价格项目及可单独收费一次性耗材，并细化、明确一般诊疗费项目。具体事项通知如下：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附件1为公立医疗机构部分医疗服务项目价格，所列医疗服务项目纳入医保基金支付范围。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附件2为新增医疗服务价格项目，由医疗机构制定试行价格，试行期1-2年。试行期满后，对经评审纳入医保基金支付范围的，由市医保部门制定价格，未纳入医保基金支付范围的，继续由医疗机构自主定价。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三、附件3为一般诊疗费，适用于基层医疗机构。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四、附件4为新增和修订可单独收费一次性医用耗材。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各区（市）医保局要做好政策落地实施的跟踪监测。各公立医疗机构应在服务场所显著位置做好价格公示。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本通知自2024年12月20日起施行。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附件：1.枣庄市公立医疗机构部分医疗服务项目价格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2.枣庄市新增医疗服务价格项目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3.枣庄市一般诊疗费项目价格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4.枣庄市可单独收费一次性医用材料目录修订表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枣庄市医疗保障局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202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年12月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枣庄市公立医疗机构部分医疗服务项目价格</w:t>
      </w:r>
    </w:p>
    <w:tbl>
      <w:tblPr>
        <w:tblStyle w:val="3"/>
        <w:tblW w:w="9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891"/>
        <w:gridCol w:w="1160"/>
        <w:gridCol w:w="2669"/>
        <w:gridCol w:w="759"/>
        <w:gridCol w:w="400"/>
        <w:gridCol w:w="880"/>
        <w:gridCol w:w="1719"/>
        <w:gridCol w:w="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价格(元)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说明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是否纳入医保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250203088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肝素结合蛋白测定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样本类型：血液。样本采集、签收、处理，加免疫试剂，检测，质控，审核结果，录入实验室信息系统或人工登记，发送报告；按规定处理废弃物；接受临床相关咨询。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250203089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抗Xa因子活性测定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样本类型：血液。样本采集、签收、处理，检测样本，审核结果，录入实验室信息系统或人工登记，发送报告；按规定处理废弃物；接受临床相关咨询。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250501046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真菌荧光染色镜检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样本类型：各种标本。采样制片，染色，镜检，审核结果，录入实验室信息系统或人工登记，发送报告；按规定处理废弃物；接受临床相关咨询。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280100002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淋巴细胞微核率检测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样本类型：外周血。样本采集、签收、处理，经培养、收获、制片、染片等步骤，镜下分析，计数包含：微核率、微核细胞率、淋巴细胞转化率，审核结果，录入实验室信息系统或人工登记，发送报告；按规定处理废弃物；接受临床相关咨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280100003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外周血淋巴细胞染色体畸变检测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样本类型：外周血。样本采集、签收、处理，经培养、收获、制片、染片等步骤，镜下分析，计数包含：畸变细胞率（染色体型畸变）、双着丝粒染色体率、环状染色体率、不带断片的环状染色体率、无着丝粒片段率、相互易位率、倒位率、染色单体型畸变率(%)，审核结果，录入实验室信息系统或人工登记，发送报告；按规定处理废弃物；接受临床相关咨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330404015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舒莱姆氏管（Schlemm，s管）成形术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醉，消毒铺巾，开睑，置手术贴膜，在手术显微镜下做透明角膜切口及透明角膜辅助切口，透明角膜切口注入粘弹剂，房角镜辅助下行Schlemm's管切开，微导管插入Schlemm's断端，顺Schlemm's管走形360°，牵拉切开Schlemm’s管内侧壁，缝合透明角膜切口，点眼，包扎术眼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310300100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前房穿刺术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包括前房冲洗术、角膜层间冲洗术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编码330404017停用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450000016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三维平衡正脊治疗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适用于颈椎间盘突出症和腰椎间盘突出症（可伴有椎管狭窄）。患者俯卧位，在脊柱两侧膀胱经、痛点及肌痉挛处操作，配合上下肢被动运动，松解脊柱周围粘连，减轻椎间盘内压。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120300004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高流量湿化氧疗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评估患者病情，核对医嘱及患者信息，安装管路及湿化罐，连接氧源，调节吸入气体流速、温度及氧浓度，严密监测患者病情及缺氧缓解程度，做好各项护理及记录。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呼吸管路、面罩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310603004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俯卧位辅助通气治疗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用于低氧血症病人。摆放患者体位，固定各种导管，对易受压部位进行皮肤保护，监测心电、机械通气等的各项指标，确保患者的安全。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限重症监护室使用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310604008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岩盐气溶胶治疗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将岩盐配料经过研磨生成1-5微米的微粒后弥散在空气中与之发生空气离子化形成岩盐气溶胶，达到一定浓度后由患者吸入，从而改善呼吸症状和促进黏膜纤毛的廓清作用，用以治疗呼吸系统疾病。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111000005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多学科门诊会诊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针对疑难复杂疾病患者，由两个及以上多个相关学科专家共同检查病人、分析病情，制定诊查治疗方案。由相对固定的专家组成工作组，针对某一疾病，通过定时、定址的会议，提出适当、综合的诊疗意见。详细询问患者病史，查阅实验室及影像学资料，讨论分析病情，对患者病情进行综合评估，确定最佳的综合序贯诊治方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三个学科内（含三个学科 ）   三级350   二级297    一级252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每增加一个学科加收100元。限医师使用。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310401053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视频头脉冲试验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输入患者信息，讲解试验要求。挑选合适鼻托，佩戴检查眼镜，调整至瞳孔清晰可见，运行机器进行校准。患者紧盯视靶，操作人员快速甩动患者头部向特定方向10-20次（不同速度）以评估特定半规管通路的功能，共评估6个半规管。移除检查眼镜，制作及打印报告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330603008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支撑喉镜下梨状窝瘘内瘘口封闭术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全麻，消毒铺巾，支撑喉镜暴露梨状窝内瘘口，在显微镜直视下，烧灼内瘘口后，切开内瘘口粘膜，缝合创缘，封闭内瘘口。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330202011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面神经松懈减压术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含腮腺浅叶切除；包括面神经周围支支配的外周部分；包括枕大神经减压术、 耳颞神经减压术。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三级2189 二级1861 一级1582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枕大神经减压术三级1870元、二级1861元、一级1351元；耳颞神经减压术三级1275元、二级1083元、一级921元。编码311600007、311600008停用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320600013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脑血管腔内血栓取出术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麻，穿刺股动脉，在导丝的指引下将造影导管置于主动脉弓进行造影，发现颅内外大血管闭塞部位，在微导丝指引下将中间导管置于大脑闭塞血管，通过微导管将取栓器置于血栓处，应用取栓器、抽吸等方式行血管再通治疗，造影复查，穿刺点压迫包扎，人工报告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颅内取栓器，血流重建装置和传送系统，颅内支撑导管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331506001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肩锁关节脱位切开复位内固定术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含韧带重建术；包括肩锁关节成形、韧带重建术。包括胸锁关节脱位切开复位内固定术。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三级2222 二级1889 一级1605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311000041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体外物理振动排石治疗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B超定位，准备，调整患者体位，根据结石走向，顺走向轻推主振子，完成主动排石过程。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0" w:line="420" w:lineRule="exact"/>
        <w:ind w:right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0" w:line="420" w:lineRule="exact"/>
        <w:ind w:right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0" w:line="420" w:lineRule="exact"/>
        <w:ind w:right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</w:pPr>
    </w:p>
    <w:p>
      <w:pPr>
        <w:framePr w:w="10440" w:wrap="notBeside" w:vAnchor="text" w:hAnchor="text" w:xAlign="center" w:y="1"/>
        <w:widowControl w:val="0"/>
        <w:rPr>
          <w:sz w:val="2"/>
          <w:szCs w:val="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98" w:right="0" w:firstLine="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98" w:right="0" w:firstLine="0"/>
        <w:jc w:val="left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en-US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</w:rPr>
        <w:t>附件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sz w:val="32"/>
          <w:szCs w:val="32"/>
          <w:lang w:val="en-US"/>
        </w:rPr>
        <w:t>2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sz w:val="32"/>
          <w:szCs w:val="32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sz w:val="32"/>
          <w:szCs w:val="32"/>
        </w:rPr>
        <w:t>枣庄市新增医疗服务价格项目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170" w:lineRule="exact"/>
        <w:ind w:left="200" w:right="0" w:firstLine="0"/>
        <w:jc w:val="left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170" w:lineRule="exact"/>
        <w:ind w:left="200" w:right="0" w:firstLine="0"/>
        <w:jc w:val="left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</w:rPr>
      </w:pPr>
    </w:p>
    <w:tbl>
      <w:tblPr>
        <w:tblStyle w:val="3"/>
        <w:tblW w:w="506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026"/>
        <w:gridCol w:w="1435"/>
        <w:gridCol w:w="2526"/>
        <w:gridCol w:w="593"/>
        <w:gridCol w:w="593"/>
        <w:gridCol w:w="849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250102035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指仪器法，8－11项。包括尿形态学超活体S染色分析检查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  <w:t>8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10项加收2元，11项加收4元。尿形态学超活体S染色分析检查自主定价。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250104036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人类精子蛋白定量检测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精液。样本采集、签收、处理、洗涤精子、制片、免疫杂交，检测5种男性不育分子标志物（HEL-1、HEL-2、HTL-3、HTL-4、HTL-5）在精子上的定位与定量，分析报告。质控，审核结果，录入实验室信息系统或人工登记，发送报告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250203090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环氧酶-1血小板凝集实验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250301027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错误折叠蛋白检测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250304015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不饱和铁结合力检测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250306016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生长分化因子-15检测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250310065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甲氧基肾上腺素（MN）测定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样本类型：血液、尿液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250310066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甲氧基去甲肾上腺素（NMN）测定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样本类型：血液、尿液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250402070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酪氨酸磷酸酶抗体测定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250402071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胶质纤维酸性蛋白（GFAP）检测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250402072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脑特异性蛋白产物9.5（PGP9.5）检测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250404010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细胞角蛋白19片段测定(CYFRA21-1)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包括细胞角蛋白18片段(CK18-M30、M65)测定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每1片段为1项。细胞角蛋白18片段(CK18-M30、M65)测定自主定价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250503017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肠道屏障功能检测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含二胺氧化酶、乳酸、细菌内毒素联检。连续测量循环血D乳酸、二胺氧化酶和细菌内毒素含量值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250404027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循环肿瘤细胞检测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包括特异性染色体异常循环细胞检测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270800011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石蜡组织白片切取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每张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310100055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经颅交流电刺激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打开治疗仪，给予15mA,77.5Hz的交流电治疗，做好治疗记录。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311503024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心理治疗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包括集中式运动治疗、正念治疗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一般心理治疗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311000046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电脉冲消融术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术中影像引导下，利用不可逆电穿孔机理对病灶进行脉冲消融治疗。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消融电极针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　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120400019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百级静脉用药药物配置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准备药物，开启智能配药设备，在百级洁净环境配药。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不得与集中静脉配置同时使用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340100030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准分子光疗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每光斑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331602018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创面密封负压引流术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清创后,将创面用无菌敷料覆盖创面,将引流管置入合适位置引出体外,创面密封膜封闭创面,连接负压吸引。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每创面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120400020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经外周静脉置入中心静脉导管术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经外周静脉以塞丁格技术穿刺置入中长期静脉血管通路装置。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中心静脉导管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311202016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新生儿脐血管置管术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310300125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角膜生物力学检查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应用高精度摄像技术采集成像，分析角膜生物力学指数（CBl）、生物力学校正眼压（BIOP）、中央角膜厚度、DA比率、综合半径、角膜硬度参数、ARTh（厚度与厚度变化率比值）。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330400000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3D显微眼科手术技术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通过对病灶的放大及景深增强的方式，显示患者眼球三维影像；针对不同层次眼组织结构自定义色彩设置，提高治疗精度，实现数据交融。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310208007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糖尿病泌汗神经病变检测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将检测试纸贴于待检部位进行检测，通过仪器记录单位时间内试纸颜色变化情况，并出具人工报告。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LEBZX010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微电流疼痛治疗</w:t>
            </w:r>
          </w:p>
        </w:tc>
        <w:tc>
          <w:tcPr>
            <w:tcW w:w="1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使用微电流技术对痛点进行长时间治疗。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170" w:lineRule="exact"/>
        <w:ind w:left="200" w:right="0" w:firstLine="0"/>
        <w:jc w:val="left"/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</w:rPr>
        <w:br w:type="page"/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枣庄市一般诊疗项目价格</w:t>
      </w:r>
    </w:p>
    <w:p>
      <w:pPr>
        <w:bidi w:val="0"/>
        <w:rPr>
          <w:rFonts w:hint="eastAsia"/>
          <w:sz w:val="20"/>
          <w:szCs w:val="22"/>
          <w:lang w:val="en-US" w:eastAsia="zh-CN"/>
        </w:rPr>
      </w:pPr>
    </w:p>
    <w:tbl>
      <w:tblPr>
        <w:tblStyle w:val="4"/>
        <w:tblW w:w="9381" w:type="dxa"/>
        <w:tblInd w:w="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29"/>
        <w:gridCol w:w="1760"/>
        <w:gridCol w:w="984"/>
        <w:gridCol w:w="984"/>
        <w:gridCol w:w="98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restart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1729" w:type="dxa"/>
            <w:vMerge w:val="restart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1760" w:type="dxa"/>
            <w:vMerge w:val="restart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84" w:type="dxa"/>
            <w:vMerge w:val="restart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计价单位</w:t>
            </w:r>
          </w:p>
        </w:tc>
        <w:tc>
          <w:tcPr>
            <w:tcW w:w="1968" w:type="dxa"/>
            <w:gridSpan w:val="2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2310" w:type="dxa"/>
            <w:vMerge w:val="restart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</w:tcPr>
          <w:p>
            <w:pPr>
              <w:bidi w:val="0"/>
              <w:jc w:val="center"/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Merge w:val="continue"/>
          </w:tcPr>
          <w:p>
            <w:pPr>
              <w:bidi w:val="0"/>
              <w:jc w:val="center"/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Merge w:val="continue"/>
          </w:tcPr>
          <w:p>
            <w:pPr>
              <w:bidi w:val="0"/>
              <w:jc w:val="center"/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Merge w:val="continue"/>
          </w:tcPr>
          <w:p>
            <w:pPr>
              <w:bidi w:val="0"/>
              <w:jc w:val="center"/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基层医疗机构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村卫生室</w:t>
            </w:r>
          </w:p>
        </w:tc>
        <w:tc>
          <w:tcPr>
            <w:tcW w:w="2310" w:type="dxa"/>
            <w:vMerge w:val="continue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729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110200008</w:t>
            </w:r>
          </w:p>
        </w:tc>
        <w:tc>
          <w:tcPr>
            <w:tcW w:w="1760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一般诊疗费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次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310" w:type="dxa"/>
          </w:tcPr>
          <w:p>
            <w:pPr>
              <w:bidi w:val="0"/>
              <w:jc w:val="left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基层医疗机构一般诊疗费收费每人次仅限其中一种，不得重复收费。对需注射或输液的患者，要严格一般诊疗费的治疗疗程服务，疗程内复诊的，不得再收取一般诊疗费。实施一般诊疗费后，对已合并到一般诊疗费的收费项目（包括挂号费、诊查费、注射费），不得另行收费或变相收费。</w:t>
            </w:r>
          </w:p>
          <w:p>
            <w:pPr>
              <w:bidi w:val="0"/>
              <w:jc w:val="left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村卫生室现有的挂号费、诊查费、注射费（含静脉输液费、不含药品费）以及药事服务成本合并为一般诊疗费，不单设药事服务费。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30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729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110200008a</w:t>
            </w:r>
          </w:p>
        </w:tc>
        <w:tc>
          <w:tcPr>
            <w:tcW w:w="1760" w:type="dxa"/>
            <w:shd w:val="clear" w:color="auto" w:fill="FFFFFF" w:themeFill="background1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一般诊疗费(中医)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次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4.5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1729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110200008b</w:t>
            </w:r>
          </w:p>
        </w:tc>
        <w:tc>
          <w:tcPr>
            <w:tcW w:w="1760" w:type="dxa"/>
            <w:shd w:val="clear" w:color="auto" w:fill="FFFFFF" w:themeFill="background1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一般诊疗费(静脉输液型)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次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9.5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6</w:t>
            </w:r>
          </w:p>
        </w:tc>
        <w:tc>
          <w:tcPr>
            <w:tcW w:w="2310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1729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110200008c</w:t>
            </w:r>
          </w:p>
        </w:tc>
        <w:tc>
          <w:tcPr>
            <w:tcW w:w="1760" w:type="dxa"/>
            <w:shd w:val="clear" w:color="auto" w:fill="FFFFFF" w:themeFill="background1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一般诊疗费(肌肉注射型)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次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6.5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2310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5</w:t>
            </w:r>
          </w:p>
        </w:tc>
        <w:tc>
          <w:tcPr>
            <w:tcW w:w="1729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110200008d</w:t>
            </w:r>
          </w:p>
        </w:tc>
        <w:tc>
          <w:tcPr>
            <w:tcW w:w="1760" w:type="dxa"/>
            <w:shd w:val="clear" w:color="auto" w:fill="FFFFFF" w:themeFill="background1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一般诊疗费(非注射型)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次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4.5</w:t>
            </w:r>
          </w:p>
        </w:tc>
        <w:tc>
          <w:tcPr>
            <w:tcW w:w="984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</w:tcPr>
          <w:p>
            <w:pPr>
              <w:bidi w:val="0"/>
              <w:jc w:val="center"/>
              <w:rPr>
                <w:rFonts w:hint="default"/>
                <w:color w:val="auto"/>
                <w:sz w:val="20"/>
                <w:szCs w:val="2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1984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1900" w:h="16840"/>
          <w:pgMar w:top="2151" w:right="1701" w:bottom="1849" w:left="1701" w:header="0" w:footer="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枣庄市可单独收费一次性医用材料目录修订表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0"/>
        <w:gridCol w:w="4068"/>
        <w:gridCol w:w="4147"/>
        <w:gridCol w:w="47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rPr>
                <w:rFonts w:hint="eastAsia" w:ascii="黑体" w:hAnsi="黑体" w:eastAsia="黑体" w:cs="黑体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</w:rPr>
              <w:t>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rPr>
                <w:rFonts w:hint="eastAsia" w:ascii="黑体" w:hAnsi="黑体" w:eastAsia="黑体" w:cs="黑体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</w:rPr>
              <w:t>材料名称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0" w:lineRule="exact"/>
              <w:ind w:left="0" w:right="0" w:firstLine="0"/>
              <w:rPr>
                <w:rFonts w:hint="eastAsia" w:ascii="黑体" w:hAnsi="黑体" w:eastAsia="黑体" w:cs="黑体"/>
              </w:rPr>
            </w:pPr>
            <w:r>
              <w:rPr>
                <w:rStyle w:val="11"/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</w:rPr>
              <w:t>修订内容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H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输液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输液泵管道（套件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修改输液泵管道为输液泵管道（套件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H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输液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删除血小板白细胞过滤器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删除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H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基础护理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一次性滑移垫（限活动受限患者）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增加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H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临床各系统诊疗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球（气）囊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修改球囊为球（气）囊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H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临床各系统诊疗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泪河试纸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H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经血管介入诊疗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血管塞、一次性滑移垫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H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手术治疗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一次性连接管（套件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修改一次性连接管为一次性连接管（套件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H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手术治疗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一次性软木盘、一次性使用前列腺热蒸汽治疗器械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H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  <w:lang w:val="en-US" w:eastAsia="en-US" w:bidi="en-US"/>
              </w:rPr>
              <w:t>3301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麻醉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鼻氧管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rPr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mallCaps w:val="0"/>
                <w:strike w:val="0"/>
              </w:rPr>
              <w:t>新增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/>
    <w:sectPr>
      <w:footerReference r:id="rId4" w:type="default"/>
      <w:pgSz w:w="16838" w:h="11906" w:orient="landscape"/>
      <w:pgMar w:top="1587" w:right="2098" w:bottom="1474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">
    <w:altName w:val="MS Gothic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Arial Narrow">
    <w:altName w:val="Times New Roman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2C2B2"/>
    <w:multiLevelType w:val="singleLevel"/>
    <w:tmpl w:val="A9E2C2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7D9BE"/>
    <w:rsid w:val="FECB1BD5"/>
    <w:rsid w:val="FFE7D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GW_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微软雅黑"/>
      <w:sz w:val="32"/>
      <w:szCs w:val="36"/>
    </w:rPr>
  </w:style>
  <w:style w:type="paragraph" w:customStyle="1" w:styleId="7">
    <w:name w:val="Heading #2"/>
    <w:basedOn w:val="1"/>
    <w:qFormat/>
    <w:uiPriority w:val="0"/>
    <w:pPr>
      <w:widowControl w:val="0"/>
      <w:shd w:val="clear" w:color="auto" w:fill="FFFFFF"/>
      <w:spacing w:before="960" w:after="480" w:line="641" w:lineRule="exact"/>
      <w:jc w:val="center"/>
      <w:outlineLvl w:val="1"/>
    </w:pPr>
    <w:rPr>
      <w:rFonts w:ascii="MingLiU" w:hAnsi="MingLiU" w:eastAsia="MingLiU" w:cs="MingLiU"/>
      <w:sz w:val="42"/>
      <w:szCs w:val="42"/>
      <w:u w:val="none"/>
    </w:rPr>
  </w:style>
  <w:style w:type="paragraph" w:customStyle="1" w:styleId="8">
    <w:name w:val="Body text (2)"/>
    <w:basedOn w:val="1"/>
    <w:link w:val="10"/>
    <w:qFormat/>
    <w:uiPriority w:val="0"/>
    <w:pPr>
      <w:widowControl w:val="0"/>
      <w:shd w:val="clear" w:color="auto" w:fill="FFFFFF"/>
      <w:spacing w:before="1440" w:after="960" w:line="0" w:lineRule="exact"/>
      <w:ind w:hanging="960"/>
      <w:jc w:val="center"/>
    </w:pPr>
    <w:rPr>
      <w:rFonts w:ascii="MingLiU" w:hAnsi="MingLiU" w:eastAsia="MingLiU" w:cs="MingLiU"/>
      <w:spacing w:val="30"/>
      <w:sz w:val="30"/>
      <w:szCs w:val="30"/>
      <w:u w:val="none"/>
    </w:rPr>
  </w:style>
  <w:style w:type="character" w:customStyle="1" w:styleId="9">
    <w:name w:val="Body text (2) + 8.5 pt"/>
    <w:basedOn w:val="10"/>
    <w:qFormat/>
    <w:uiPriority w:val="0"/>
    <w:rPr>
      <w:color w:val="000000"/>
      <w:spacing w:val="0"/>
      <w:w w:val="100"/>
      <w:position w:val="0"/>
      <w:sz w:val="17"/>
      <w:szCs w:val="17"/>
      <w:lang w:val="zh-CN" w:eastAsia="zh-CN" w:bidi="zh-CN"/>
    </w:rPr>
  </w:style>
  <w:style w:type="character" w:customStyle="1" w:styleId="10">
    <w:name w:val="Body text (2)_"/>
    <w:basedOn w:val="5"/>
    <w:link w:val="8"/>
    <w:qFormat/>
    <w:uiPriority w:val="0"/>
    <w:rPr>
      <w:rFonts w:ascii="MingLiU" w:hAnsi="MingLiU" w:eastAsia="MingLiU" w:cs="MingLiU"/>
      <w:spacing w:val="30"/>
      <w:sz w:val="30"/>
      <w:szCs w:val="30"/>
      <w:u w:val="none"/>
    </w:rPr>
  </w:style>
  <w:style w:type="character" w:customStyle="1" w:styleId="11">
    <w:name w:val="Body text (2) + 10.5 pt"/>
    <w:basedOn w:val="10"/>
    <w:qFormat/>
    <w:uiPriority w:val="0"/>
    <w:rPr>
      <w:color w:val="000000"/>
      <w:spacing w:val="0"/>
      <w:w w:val="100"/>
      <w:position w:val="0"/>
      <w:sz w:val="21"/>
      <w:szCs w:val="21"/>
      <w:lang w:val="zh-CN" w:eastAsia="zh-CN" w:bidi="zh-CN"/>
    </w:rPr>
  </w:style>
  <w:style w:type="character" w:customStyle="1" w:styleId="12">
    <w:name w:val="Body text (2) + Arial Narrow"/>
    <w:basedOn w:val="10"/>
    <w:qFormat/>
    <w:uiPriority w:val="0"/>
    <w:rPr>
      <w:rFonts w:ascii="Arial Narrow" w:hAnsi="Arial Narrow" w:eastAsia="Arial Narrow" w:cs="Arial Narrow"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13">
    <w:name w:val="Body text (2) + 10 pt"/>
    <w:basedOn w:val="10"/>
    <w:qFormat/>
    <w:uiPriority w:val="0"/>
    <w:rPr>
      <w:color w:val="000000"/>
      <w:spacing w:val="0"/>
      <w:w w:val="100"/>
      <w:position w:val="0"/>
      <w:sz w:val="20"/>
      <w:szCs w:val="2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2024-12-11T18:51:00Z</dcterms:created>
  <dc:creator>user</dc:creator>
  <cp:lastModifiedBy>user</cp:lastModifiedBy>
  <cp:lastPrinted>2024-12-11T22:27:00Z</cp:lastPrinted>
  <dcterms:modified xsi:type="dcterms:W3CDTF">2024-12-11T15:43:56Z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