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E8991" w14:textId="6C069244" w:rsidR="00F630DA" w:rsidRDefault="00F630DA" w:rsidP="00F630DA">
      <w:pPr>
        <w:spacing w:line="520" w:lineRule="exact"/>
        <w:ind w:rightChars="-32" w:right="-67"/>
        <w:jc w:val="left"/>
        <w:rPr>
          <w:rFonts w:ascii="黑体" w:eastAsia="黑体" w:hAnsi="黑体" w:cs="黑体"/>
          <w:color w:val="000000"/>
          <w:sz w:val="32"/>
          <w:szCs w:val="32"/>
        </w:rPr>
      </w:pPr>
      <w:r>
        <w:rPr>
          <w:rFonts w:ascii="黑体" w:eastAsia="黑体" w:hAnsi="黑体" w:cs="黑体" w:hint="eastAsia"/>
          <w:color w:val="000000"/>
          <w:sz w:val="32"/>
          <w:szCs w:val="32"/>
        </w:rPr>
        <w:t>附件</w:t>
      </w:r>
      <w:r w:rsidR="00DE3D83">
        <w:rPr>
          <w:rFonts w:ascii="黑体" w:eastAsia="黑体" w:hAnsi="黑体" w:cs="黑体" w:hint="eastAsia"/>
          <w:color w:val="000000"/>
          <w:sz w:val="32"/>
          <w:szCs w:val="32"/>
        </w:rPr>
        <w:t>2</w:t>
      </w:r>
    </w:p>
    <w:p w14:paraId="0780601D" w14:textId="77777777" w:rsidR="00F630DA" w:rsidRDefault="00F630DA" w:rsidP="00F630DA">
      <w:pPr>
        <w:spacing w:line="580" w:lineRule="exact"/>
        <w:jc w:val="left"/>
        <w:rPr>
          <w:rFonts w:ascii="方正小标宋简体" w:eastAsia="方正小标宋简体" w:hAnsi="方正小标宋简体" w:cs="方正小标宋简体"/>
          <w:sz w:val="44"/>
          <w:szCs w:val="44"/>
        </w:rPr>
      </w:pPr>
    </w:p>
    <w:p w14:paraId="4BE571F2" w14:textId="0703DF85" w:rsidR="00F630DA" w:rsidRPr="00F630DA" w:rsidRDefault="00F630DA" w:rsidP="00F630DA">
      <w:pPr>
        <w:spacing w:line="580" w:lineRule="exact"/>
        <w:jc w:val="center"/>
        <w:rPr>
          <w:rFonts w:eastAsia="方正小标宋简体"/>
          <w:color w:val="000000"/>
          <w:sz w:val="44"/>
          <w:szCs w:val="44"/>
        </w:rPr>
      </w:pPr>
      <w:r w:rsidRPr="00F630DA">
        <w:rPr>
          <w:rFonts w:eastAsia="方正小标宋简体" w:hint="eastAsia"/>
          <w:color w:val="000000"/>
          <w:sz w:val="44"/>
          <w:szCs w:val="44"/>
        </w:rPr>
        <w:t>《采用机器人技术的医用电气设备命名指导原则》</w:t>
      </w:r>
    </w:p>
    <w:p w14:paraId="3C513518" w14:textId="77777777" w:rsidR="00F630DA" w:rsidRPr="00F630DA" w:rsidRDefault="00F630DA" w:rsidP="00F630DA">
      <w:pPr>
        <w:spacing w:line="580" w:lineRule="exact"/>
        <w:jc w:val="center"/>
        <w:rPr>
          <w:rFonts w:eastAsia="方正小标宋简体"/>
          <w:color w:val="000000"/>
          <w:sz w:val="44"/>
          <w:szCs w:val="44"/>
        </w:rPr>
      </w:pPr>
      <w:r w:rsidRPr="00F630DA">
        <w:rPr>
          <w:rFonts w:eastAsia="方正小标宋简体" w:hint="eastAsia"/>
          <w:color w:val="000000"/>
          <w:sz w:val="44"/>
          <w:szCs w:val="44"/>
        </w:rPr>
        <w:t>编制说明</w:t>
      </w:r>
    </w:p>
    <w:p w14:paraId="2D0D3CC0" w14:textId="77777777" w:rsidR="00707931" w:rsidRDefault="00707931" w:rsidP="00B24ABB">
      <w:pPr>
        <w:tabs>
          <w:tab w:val="left" w:pos="3948"/>
        </w:tabs>
        <w:snapToGrid w:val="0"/>
        <w:spacing w:line="520" w:lineRule="exact"/>
        <w:rPr>
          <w:rFonts w:eastAsia="黑体"/>
          <w:sz w:val="32"/>
          <w:szCs w:val="32"/>
        </w:rPr>
      </w:pPr>
    </w:p>
    <w:p w14:paraId="407B6F02" w14:textId="77777777" w:rsidR="00707931" w:rsidRDefault="00362AF6">
      <w:pPr>
        <w:tabs>
          <w:tab w:val="left" w:pos="3948"/>
        </w:tabs>
        <w:snapToGrid w:val="0"/>
        <w:spacing w:line="520" w:lineRule="exact"/>
        <w:ind w:firstLineChars="200" w:firstLine="640"/>
        <w:rPr>
          <w:rFonts w:eastAsia="黑体"/>
          <w:sz w:val="32"/>
          <w:szCs w:val="32"/>
        </w:rPr>
      </w:pPr>
      <w:r>
        <w:rPr>
          <w:rFonts w:eastAsia="黑体"/>
          <w:sz w:val="32"/>
          <w:szCs w:val="32"/>
        </w:rPr>
        <w:t>一、</w:t>
      </w:r>
      <w:r>
        <w:rPr>
          <w:rFonts w:eastAsia="黑体" w:hint="eastAsia"/>
          <w:sz w:val="32"/>
          <w:szCs w:val="32"/>
        </w:rPr>
        <w:t>工作简况</w:t>
      </w:r>
    </w:p>
    <w:p w14:paraId="493C85EB" w14:textId="161AE42B" w:rsidR="00707931" w:rsidRDefault="00362AF6">
      <w:pPr>
        <w:pStyle w:val="p15"/>
        <w:spacing w:beforeLines="50" w:before="156" w:afterLines="50" w:after="156" w:line="360" w:lineRule="auto"/>
        <w:ind w:firstLineChars="200" w:firstLine="640"/>
        <w:jc w:val="left"/>
        <w:rPr>
          <w:rFonts w:eastAsia="仿宋_GB2312"/>
          <w:bCs/>
          <w:sz w:val="32"/>
          <w:szCs w:val="32"/>
        </w:rPr>
      </w:pPr>
      <w:r>
        <w:rPr>
          <w:rFonts w:eastAsia="仿宋_GB2312" w:hint="eastAsia"/>
          <w:bCs/>
          <w:sz w:val="32"/>
          <w:szCs w:val="32"/>
        </w:rPr>
        <w:t>根据《国家药监局关于加强全生命周期监管促进医疗机器人产业创新高质量发展的十条措施》中“建立手术机器人、康复机器人及其他医疗机器人的分类和命名要求，重点制定康复机器人等产品分类指导原则和命名规范专家共识”的相关工作部署，经过查询国家药监局数据库、与国内外企业沟通、市场调研等方式，梳理采用机器人技术的辅助手术设备</w:t>
      </w:r>
      <w:r>
        <w:rPr>
          <w:rFonts w:eastAsia="仿宋_GB2312" w:hint="eastAsia"/>
          <w:sz w:val="32"/>
          <w:szCs w:val="32"/>
        </w:rPr>
        <w:t>（</w:t>
      </w:r>
      <w:r>
        <w:rPr>
          <w:rFonts w:eastAsia="仿宋_GB2312" w:hint="eastAsia"/>
          <w:bCs/>
          <w:sz w:val="32"/>
          <w:szCs w:val="32"/>
        </w:rPr>
        <w:t>手术机器人），康复机器人及其他采用机器人技术的医用电气设备</w:t>
      </w:r>
      <w:r>
        <w:rPr>
          <w:rFonts w:eastAsia="仿宋_GB2312" w:hint="eastAsia"/>
          <w:bCs/>
          <w:sz w:val="32"/>
          <w:szCs w:val="32"/>
        </w:rPr>
        <w:t>/</w:t>
      </w:r>
      <w:r>
        <w:rPr>
          <w:rFonts w:eastAsia="仿宋_GB2312" w:hint="eastAsia"/>
          <w:bCs/>
          <w:sz w:val="32"/>
          <w:szCs w:val="32"/>
        </w:rPr>
        <w:t>系统（医用机器人）现状及国内外关于此类产品监管政策，对可能涉及产品按风险进行分类界定，制定《采用机器人技术的医用电气设备分类界定指导原则</w:t>
      </w:r>
      <w:r w:rsidR="00BE744B">
        <w:rPr>
          <w:rFonts w:eastAsia="仿宋_GB2312" w:hint="eastAsia"/>
          <w:bCs/>
          <w:sz w:val="32"/>
          <w:szCs w:val="32"/>
        </w:rPr>
        <w:t>（征求意见稿</w:t>
      </w:r>
      <w:bookmarkStart w:id="0" w:name="_GoBack"/>
      <w:bookmarkEnd w:id="0"/>
      <w:r w:rsidR="00BE744B">
        <w:rPr>
          <w:rFonts w:eastAsia="仿宋_GB2312" w:hint="eastAsia"/>
          <w:bCs/>
          <w:sz w:val="32"/>
          <w:szCs w:val="32"/>
        </w:rPr>
        <w:t>）</w:t>
      </w:r>
      <w:r>
        <w:rPr>
          <w:rFonts w:eastAsia="仿宋_GB2312" w:hint="eastAsia"/>
          <w:bCs/>
          <w:sz w:val="32"/>
          <w:szCs w:val="32"/>
        </w:rPr>
        <w:t>》。</w:t>
      </w:r>
    </w:p>
    <w:p w14:paraId="1622AD3F" w14:textId="77777777" w:rsidR="00707931" w:rsidRDefault="00362AF6">
      <w:pPr>
        <w:pStyle w:val="p15"/>
        <w:spacing w:beforeLines="50" w:before="156" w:afterLines="50" w:after="156" w:line="360" w:lineRule="auto"/>
        <w:ind w:firstLineChars="200" w:firstLine="640"/>
        <w:jc w:val="left"/>
        <w:rPr>
          <w:rFonts w:eastAsia="黑体"/>
          <w:sz w:val="32"/>
          <w:szCs w:val="32"/>
        </w:rPr>
      </w:pPr>
      <w:r>
        <w:rPr>
          <w:rFonts w:eastAsia="黑体"/>
          <w:sz w:val="32"/>
          <w:szCs w:val="32"/>
        </w:rPr>
        <w:t>二、</w:t>
      </w:r>
      <w:r>
        <w:rPr>
          <w:rFonts w:ascii="黑体" w:eastAsia="黑体" w:hAnsi="黑体" w:hint="eastAsia"/>
          <w:sz w:val="32"/>
          <w:szCs w:val="32"/>
        </w:rPr>
        <w:t>编写</w:t>
      </w:r>
      <w:r>
        <w:rPr>
          <w:rFonts w:ascii="黑体" w:eastAsia="黑体" w:hAnsi="黑体"/>
          <w:sz w:val="32"/>
          <w:szCs w:val="32"/>
        </w:rPr>
        <w:t>原则和意义</w:t>
      </w:r>
    </w:p>
    <w:p w14:paraId="4BBE5699" w14:textId="77777777" w:rsidR="00707931" w:rsidRDefault="00362AF6">
      <w:pPr>
        <w:pStyle w:val="p15"/>
        <w:spacing w:beforeLines="50" w:before="156" w:afterLines="50" w:after="156" w:line="360" w:lineRule="auto"/>
        <w:ind w:firstLineChars="200" w:firstLine="640"/>
        <w:jc w:val="left"/>
        <w:rPr>
          <w:rFonts w:eastAsia="仿宋_GB2312"/>
          <w:bCs/>
          <w:sz w:val="32"/>
          <w:szCs w:val="32"/>
        </w:rPr>
      </w:pPr>
      <w:r>
        <w:rPr>
          <w:rFonts w:eastAsia="仿宋_GB2312" w:hint="eastAsia"/>
          <w:bCs/>
          <w:sz w:val="32"/>
          <w:szCs w:val="32"/>
        </w:rPr>
        <w:t>采用机器人技术的医用电气设备</w:t>
      </w:r>
      <w:r>
        <w:rPr>
          <w:rFonts w:eastAsia="仿宋_GB2312" w:hint="eastAsia"/>
          <w:bCs/>
          <w:sz w:val="32"/>
          <w:szCs w:val="32"/>
        </w:rPr>
        <w:t>/</w:t>
      </w:r>
      <w:r>
        <w:rPr>
          <w:rFonts w:eastAsia="仿宋_GB2312" w:hint="eastAsia"/>
          <w:bCs/>
          <w:sz w:val="32"/>
          <w:szCs w:val="32"/>
        </w:rPr>
        <w:t>系统具有功能多样化的特点，特别是近年来随着产业的发展，具备多种功能的手术机器人、康复机器人以及其他采用机器人技术的医用电气设备</w:t>
      </w:r>
      <w:r>
        <w:rPr>
          <w:rFonts w:eastAsia="仿宋_GB2312" w:hint="eastAsia"/>
          <w:bCs/>
          <w:sz w:val="32"/>
          <w:szCs w:val="32"/>
        </w:rPr>
        <w:t>/</w:t>
      </w:r>
      <w:r>
        <w:rPr>
          <w:rFonts w:eastAsia="仿宋_GB2312" w:hint="eastAsia"/>
          <w:bCs/>
          <w:sz w:val="32"/>
          <w:szCs w:val="32"/>
        </w:rPr>
        <w:t>系统越来越多。在国家药监局现有关于此类设备的监督管理条例的基础上，根据其技术特点和监管中的风险程度等，依据《医疗器械监督管理条例》《医疗器械分类规则》《医疗器械分类目录》等编制了</w:t>
      </w:r>
      <w:r>
        <w:rPr>
          <w:rFonts w:eastAsia="仿宋_GB2312"/>
          <w:bCs/>
          <w:sz w:val="32"/>
          <w:szCs w:val="32"/>
        </w:rPr>
        <w:t>《</w:t>
      </w:r>
      <w:r>
        <w:rPr>
          <w:rFonts w:eastAsia="仿宋_GB2312" w:hint="eastAsia"/>
          <w:bCs/>
          <w:sz w:val="32"/>
          <w:szCs w:val="32"/>
        </w:rPr>
        <w:t>采用机器人技术的医用电</w:t>
      </w:r>
      <w:r>
        <w:rPr>
          <w:rFonts w:eastAsia="仿宋_GB2312" w:hint="eastAsia"/>
          <w:bCs/>
          <w:sz w:val="32"/>
          <w:szCs w:val="32"/>
        </w:rPr>
        <w:lastRenderedPageBreak/>
        <w:t>气设备分类界定指导原则</w:t>
      </w:r>
      <w:r>
        <w:rPr>
          <w:rFonts w:eastAsia="仿宋_GB2312"/>
          <w:bCs/>
          <w:sz w:val="32"/>
          <w:szCs w:val="32"/>
        </w:rPr>
        <w:t>》</w:t>
      </w:r>
      <w:r>
        <w:rPr>
          <w:rFonts w:eastAsia="仿宋_GB2312" w:hint="eastAsia"/>
          <w:bCs/>
          <w:sz w:val="32"/>
          <w:szCs w:val="32"/>
        </w:rPr>
        <w:t>。</w:t>
      </w:r>
      <w:r>
        <w:rPr>
          <w:rFonts w:eastAsia="仿宋_GB2312"/>
          <w:bCs/>
          <w:sz w:val="32"/>
          <w:szCs w:val="32"/>
        </w:rPr>
        <w:t>本</w:t>
      </w:r>
      <w:r>
        <w:rPr>
          <w:rFonts w:eastAsia="仿宋_GB2312" w:hint="eastAsia"/>
          <w:bCs/>
          <w:sz w:val="32"/>
          <w:szCs w:val="32"/>
        </w:rPr>
        <w:t>原则</w:t>
      </w:r>
      <w:r>
        <w:rPr>
          <w:rFonts w:eastAsia="仿宋_GB2312"/>
          <w:bCs/>
          <w:sz w:val="32"/>
          <w:szCs w:val="32"/>
        </w:rPr>
        <w:t>可用于</w:t>
      </w:r>
      <w:r>
        <w:rPr>
          <w:rFonts w:eastAsia="仿宋_GB2312" w:hint="eastAsia"/>
          <w:bCs/>
          <w:sz w:val="32"/>
          <w:szCs w:val="32"/>
        </w:rPr>
        <w:t>采用机器人技术的医用电气设备</w:t>
      </w:r>
      <w:r>
        <w:rPr>
          <w:rFonts w:eastAsia="仿宋_GB2312" w:hint="eastAsia"/>
          <w:bCs/>
          <w:sz w:val="32"/>
          <w:szCs w:val="32"/>
        </w:rPr>
        <w:t>/</w:t>
      </w:r>
      <w:r>
        <w:rPr>
          <w:rFonts w:eastAsia="仿宋_GB2312" w:hint="eastAsia"/>
          <w:bCs/>
          <w:sz w:val="32"/>
          <w:szCs w:val="32"/>
        </w:rPr>
        <w:t>系统的属性界定和类别划分</w:t>
      </w:r>
      <w:r>
        <w:rPr>
          <w:rFonts w:eastAsia="仿宋_GB2312"/>
          <w:bCs/>
          <w:sz w:val="32"/>
          <w:szCs w:val="32"/>
        </w:rPr>
        <w:t>，为产业和监管部门提供</w:t>
      </w:r>
      <w:r>
        <w:rPr>
          <w:rFonts w:eastAsia="仿宋_GB2312" w:hint="eastAsia"/>
          <w:bCs/>
          <w:sz w:val="32"/>
          <w:szCs w:val="32"/>
        </w:rPr>
        <w:t>注册和审批</w:t>
      </w:r>
      <w:r>
        <w:rPr>
          <w:rFonts w:eastAsia="仿宋_GB2312"/>
          <w:bCs/>
          <w:sz w:val="32"/>
          <w:szCs w:val="32"/>
        </w:rPr>
        <w:t>的技术</w:t>
      </w:r>
      <w:r>
        <w:rPr>
          <w:rFonts w:eastAsia="仿宋_GB2312" w:hint="eastAsia"/>
          <w:bCs/>
          <w:sz w:val="32"/>
          <w:szCs w:val="32"/>
        </w:rPr>
        <w:t>参考</w:t>
      </w:r>
      <w:r>
        <w:rPr>
          <w:rFonts w:eastAsia="仿宋_GB2312"/>
          <w:bCs/>
          <w:sz w:val="32"/>
          <w:szCs w:val="32"/>
        </w:rPr>
        <w:t>。</w:t>
      </w:r>
    </w:p>
    <w:p w14:paraId="5F8B2563" w14:textId="77777777" w:rsidR="00707931" w:rsidRDefault="00362AF6">
      <w:pPr>
        <w:pStyle w:val="a4"/>
        <w:spacing w:line="520" w:lineRule="exact"/>
        <w:ind w:firstLineChars="200" w:firstLine="640"/>
        <w:rPr>
          <w:rStyle w:val="new"/>
          <w:rFonts w:eastAsia="黑体"/>
          <w:sz w:val="32"/>
          <w:szCs w:val="32"/>
        </w:rPr>
      </w:pPr>
      <w:r>
        <w:rPr>
          <w:rFonts w:eastAsia="黑体"/>
          <w:sz w:val="32"/>
          <w:szCs w:val="32"/>
        </w:rPr>
        <w:t>三、</w:t>
      </w:r>
      <w:r>
        <w:rPr>
          <w:rFonts w:eastAsia="黑体" w:hint="eastAsia"/>
          <w:sz w:val="32"/>
          <w:szCs w:val="32"/>
        </w:rPr>
        <w:t>重大问题讨论</w:t>
      </w:r>
    </w:p>
    <w:p w14:paraId="29BA0008" w14:textId="791C9127" w:rsidR="00707931" w:rsidRDefault="00362AF6">
      <w:pPr>
        <w:ind w:firstLineChars="200" w:firstLine="640"/>
        <w:rPr>
          <w:rFonts w:ascii="仿宋" w:eastAsia="仿宋" w:hAnsi="仿宋"/>
          <w:sz w:val="30"/>
          <w:szCs w:val="30"/>
        </w:rPr>
      </w:pPr>
      <w:r>
        <w:rPr>
          <w:rFonts w:eastAsia="仿宋_GB2312" w:hint="eastAsia"/>
          <w:bCs/>
          <w:kern w:val="0"/>
          <w:sz w:val="32"/>
          <w:szCs w:val="32"/>
        </w:rPr>
        <w:t>经内部讨论以及国家药监局数据库中所涉及的相关信息</w:t>
      </w:r>
      <w:r>
        <w:rPr>
          <w:rFonts w:eastAsia="仿宋_GB2312"/>
          <w:bCs/>
          <w:kern w:val="0"/>
          <w:sz w:val="32"/>
          <w:szCs w:val="32"/>
        </w:rPr>
        <w:t>，</w:t>
      </w:r>
      <w:r>
        <w:rPr>
          <w:rFonts w:eastAsia="仿宋_GB2312" w:hint="eastAsia"/>
          <w:bCs/>
          <w:sz w:val="32"/>
          <w:szCs w:val="32"/>
        </w:rPr>
        <w:t>采用机器人技术的医用电气设备</w:t>
      </w:r>
      <w:r>
        <w:rPr>
          <w:rFonts w:eastAsia="仿宋_GB2312" w:hint="eastAsia"/>
          <w:bCs/>
          <w:kern w:val="0"/>
          <w:sz w:val="32"/>
          <w:szCs w:val="32"/>
        </w:rPr>
        <w:t>根据其是否与医疗行为相关判定其管理属性；</w:t>
      </w:r>
      <w:r>
        <w:rPr>
          <w:rFonts w:ascii="仿宋" w:eastAsia="仿宋" w:hAnsi="仿宋" w:hint="eastAsia"/>
          <w:sz w:val="30"/>
          <w:szCs w:val="30"/>
        </w:rPr>
        <w:t>该类设备的管理类别应结合产品的预期用途综合判定;如设备应用于临床手术，基于有创手术进行操作的，或具有远程操控功能，则按照第</w:t>
      </w:r>
      <w:r w:rsidR="00DE3D83">
        <w:rPr>
          <w:rFonts w:ascii="仿宋" w:eastAsia="仿宋" w:hAnsi="仿宋" w:hint="eastAsia"/>
          <w:sz w:val="30"/>
          <w:szCs w:val="30"/>
        </w:rPr>
        <w:t>Ⅲ</w:t>
      </w:r>
      <w:r>
        <w:rPr>
          <w:rFonts w:ascii="仿宋" w:eastAsia="仿宋" w:hAnsi="仿宋" w:hint="eastAsia"/>
          <w:sz w:val="30"/>
          <w:szCs w:val="30"/>
        </w:rPr>
        <w:t>类医疗器械管理。如设备</w:t>
      </w:r>
      <w:proofErr w:type="gramStart"/>
      <w:r>
        <w:rPr>
          <w:rFonts w:ascii="仿宋" w:eastAsia="仿宋" w:hAnsi="仿宋" w:hint="eastAsia"/>
          <w:sz w:val="30"/>
          <w:szCs w:val="30"/>
        </w:rPr>
        <w:t>仅应用</w:t>
      </w:r>
      <w:proofErr w:type="gramEnd"/>
      <w:r>
        <w:rPr>
          <w:rFonts w:ascii="仿宋" w:eastAsia="仿宋" w:hAnsi="仿宋" w:hint="eastAsia"/>
          <w:sz w:val="30"/>
          <w:szCs w:val="30"/>
        </w:rPr>
        <w:t>于康复治疗等辅助功能的，按第</w:t>
      </w:r>
      <w:r w:rsidR="00DE3D83">
        <w:rPr>
          <w:rFonts w:ascii="仿宋" w:eastAsia="仿宋" w:hAnsi="仿宋" w:hint="eastAsia"/>
          <w:sz w:val="30"/>
          <w:szCs w:val="30"/>
        </w:rPr>
        <w:t>Ⅱ</w:t>
      </w:r>
      <w:r>
        <w:rPr>
          <w:rFonts w:ascii="仿宋" w:eastAsia="仿宋" w:hAnsi="仿宋" w:hint="eastAsia"/>
          <w:sz w:val="30"/>
          <w:szCs w:val="30"/>
        </w:rPr>
        <w:t>类医疗器械管理。</w:t>
      </w:r>
    </w:p>
    <w:sectPr w:rsidR="0070793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B6763" w14:textId="77777777" w:rsidR="00B10CB3" w:rsidRDefault="00B10CB3" w:rsidP="00D320CF">
      <w:r>
        <w:separator/>
      </w:r>
    </w:p>
  </w:endnote>
  <w:endnote w:type="continuationSeparator" w:id="0">
    <w:p w14:paraId="27244287" w14:textId="77777777" w:rsidR="00B10CB3" w:rsidRDefault="00B10CB3" w:rsidP="00D3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47697" w14:textId="77777777" w:rsidR="00B10CB3" w:rsidRDefault="00B10CB3" w:rsidP="00D320CF">
      <w:r>
        <w:separator/>
      </w:r>
    </w:p>
  </w:footnote>
  <w:footnote w:type="continuationSeparator" w:id="0">
    <w:p w14:paraId="5EF42AE2" w14:textId="77777777" w:rsidR="00B10CB3" w:rsidRDefault="00B10CB3" w:rsidP="00D32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YTllZGM4ZDU3YjUzNDhhNzZiNGRhN2I4OTZlMWUifQ=="/>
  </w:docVars>
  <w:rsids>
    <w:rsidRoot w:val="005F77D3"/>
    <w:rsid w:val="000075CC"/>
    <w:rsid w:val="00060DBB"/>
    <w:rsid w:val="000B7F50"/>
    <w:rsid w:val="000F2C72"/>
    <w:rsid w:val="001A2776"/>
    <w:rsid w:val="001B33B7"/>
    <w:rsid w:val="0021027C"/>
    <w:rsid w:val="002973EE"/>
    <w:rsid w:val="002B39CF"/>
    <w:rsid w:val="002D62B2"/>
    <w:rsid w:val="00362AF6"/>
    <w:rsid w:val="00442F1C"/>
    <w:rsid w:val="00476CFA"/>
    <w:rsid w:val="004D2E46"/>
    <w:rsid w:val="00500F44"/>
    <w:rsid w:val="00526060"/>
    <w:rsid w:val="00560E1F"/>
    <w:rsid w:val="005F77D3"/>
    <w:rsid w:val="006C39B9"/>
    <w:rsid w:val="00707931"/>
    <w:rsid w:val="007B3FDC"/>
    <w:rsid w:val="007D3999"/>
    <w:rsid w:val="007E19B2"/>
    <w:rsid w:val="00873C75"/>
    <w:rsid w:val="008871C6"/>
    <w:rsid w:val="008C7C91"/>
    <w:rsid w:val="008F0B08"/>
    <w:rsid w:val="008F758B"/>
    <w:rsid w:val="009245E9"/>
    <w:rsid w:val="00931853"/>
    <w:rsid w:val="009D7913"/>
    <w:rsid w:val="00A051EE"/>
    <w:rsid w:val="00A822DA"/>
    <w:rsid w:val="00AD5625"/>
    <w:rsid w:val="00B10CB3"/>
    <w:rsid w:val="00B24ABB"/>
    <w:rsid w:val="00B25AB2"/>
    <w:rsid w:val="00BE744B"/>
    <w:rsid w:val="00C06DA9"/>
    <w:rsid w:val="00C45EAD"/>
    <w:rsid w:val="00C50575"/>
    <w:rsid w:val="00C50F0C"/>
    <w:rsid w:val="00D15B5F"/>
    <w:rsid w:val="00D320CF"/>
    <w:rsid w:val="00D9353E"/>
    <w:rsid w:val="00D95D43"/>
    <w:rsid w:val="00DE3D83"/>
    <w:rsid w:val="00E75D8B"/>
    <w:rsid w:val="00F04A9F"/>
    <w:rsid w:val="00F125FB"/>
    <w:rsid w:val="00F57A38"/>
    <w:rsid w:val="00F630DA"/>
    <w:rsid w:val="00F93C8D"/>
    <w:rsid w:val="019B1E99"/>
    <w:rsid w:val="02C00827"/>
    <w:rsid w:val="05697D67"/>
    <w:rsid w:val="06C92CC5"/>
    <w:rsid w:val="09327A6B"/>
    <w:rsid w:val="096E162E"/>
    <w:rsid w:val="0A98192E"/>
    <w:rsid w:val="0AB47515"/>
    <w:rsid w:val="0E056A05"/>
    <w:rsid w:val="106868EE"/>
    <w:rsid w:val="10D86EA2"/>
    <w:rsid w:val="1105647F"/>
    <w:rsid w:val="11927F4B"/>
    <w:rsid w:val="168801D3"/>
    <w:rsid w:val="17452C4B"/>
    <w:rsid w:val="178766DD"/>
    <w:rsid w:val="184C3483"/>
    <w:rsid w:val="1A1A7931"/>
    <w:rsid w:val="1A1E49AB"/>
    <w:rsid w:val="1C9167C0"/>
    <w:rsid w:val="1EB43DC9"/>
    <w:rsid w:val="244514B2"/>
    <w:rsid w:val="256E0778"/>
    <w:rsid w:val="25F83C08"/>
    <w:rsid w:val="27FE5D50"/>
    <w:rsid w:val="2A4525E7"/>
    <w:rsid w:val="2AD94591"/>
    <w:rsid w:val="2C5D1363"/>
    <w:rsid w:val="2CA6472B"/>
    <w:rsid w:val="2EBC4A66"/>
    <w:rsid w:val="30D64BAF"/>
    <w:rsid w:val="36DD3EED"/>
    <w:rsid w:val="37672C11"/>
    <w:rsid w:val="3CC431CA"/>
    <w:rsid w:val="3D2739C8"/>
    <w:rsid w:val="3D926241"/>
    <w:rsid w:val="3FE61943"/>
    <w:rsid w:val="41A9097B"/>
    <w:rsid w:val="420C1F2C"/>
    <w:rsid w:val="444A644B"/>
    <w:rsid w:val="463554DB"/>
    <w:rsid w:val="47306EFC"/>
    <w:rsid w:val="473C2E72"/>
    <w:rsid w:val="481328C9"/>
    <w:rsid w:val="4876037D"/>
    <w:rsid w:val="4ED9675F"/>
    <w:rsid w:val="4F11005F"/>
    <w:rsid w:val="513E0226"/>
    <w:rsid w:val="527C1C93"/>
    <w:rsid w:val="5A355416"/>
    <w:rsid w:val="5C89656C"/>
    <w:rsid w:val="5F6D4AD6"/>
    <w:rsid w:val="61D074FF"/>
    <w:rsid w:val="64C822C0"/>
    <w:rsid w:val="693F63E3"/>
    <w:rsid w:val="6AD2649C"/>
    <w:rsid w:val="6AFD62A9"/>
    <w:rsid w:val="6F644715"/>
    <w:rsid w:val="709155F6"/>
    <w:rsid w:val="71557E27"/>
    <w:rsid w:val="73F5427A"/>
    <w:rsid w:val="75381686"/>
    <w:rsid w:val="75CF2EC3"/>
    <w:rsid w:val="769136B0"/>
    <w:rsid w:val="772B3BC0"/>
    <w:rsid w:val="79354FFF"/>
    <w:rsid w:val="7D71105E"/>
    <w:rsid w:val="7D71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ody Text"/>
    <w:basedOn w:val="a"/>
    <w:link w:val="Char0"/>
    <w:uiPriority w:val="99"/>
    <w:unhideWhenUsed/>
    <w:qFormat/>
    <w:pPr>
      <w:spacing w:after="1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p15">
    <w:name w:val="p15"/>
    <w:basedOn w:val="a"/>
    <w:qFormat/>
    <w:pPr>
      <w:widowControl/>
    </w:pPr>
    <w:rPr>
      <w:kern w:val="0"/>
      <w:szCs w:val="21"/>
    </w:rPr>
  </w:style>
  <w:style w:type="character" w:customStyle="1" w:styleId="new">
    <w:name w:val="new"/>
    <w:basedOn w:val="a0"/>
    <w:qFormat/>
  </w:style>
  <w:style w:type="character" w:customStyle="1" w:styleId="Char0">
    <w:name w:val="正文文本 Char"/>
    <w:basedOn w:val="a0"/>
    <w:link w:val="a4"/>
    <w:uiPriority w:val="99"/>
    <w:qFormat/>
    <w:rPr>
      <w:rFonts w:ascii="Times New Roman" w:eastAsia="宋体" w:hAnsi="Times New Roman" w:cs="Times New Roman"/>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4">
    <w:name w:val="批注主题 Char"/>
    <w:basedOn w:val="Char"/>
    <w:link w:val="a8"/>
    <w:uiPriority w:val="99"/>
    <w:semiHidden/>
    <w:qFormat/>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ody Text"/>
    <w:basedOn w:val="a"/>
    <w:link w:val="Char0"/>
    <w:uiPriority w:val="99"/>
    <w:unhideWhenUsed/>
    <w:qFormat/>
    <w:pPr>
      <w:spacing w:after="1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p15">
    <w:name w:val="p15"/>
    <w:basedOn w:val="a"/>
    <w:qFormat/>
    <w:pPr>
      <w:widowControl/>
    </w:pPr>
    <w:rPr>
      <w:kern w:val="0"/>
      <w:szCs w:val="21"/>
    </w:rPr>
  </w:style>
  <w:style w:type="character" w:customStyle="1" w:styleId="new">
    <w:name w:val="new"/>
    <w:basedOn w:val="a0"/>
    <w:qFormat/>
  </w:style>
  <w:style w:type="character" w:customStyle="1" w:styleId="Char0">
    <w:name w:val="正文文本 Char"/>
    <w:basedOn w:val="a0"/>
    <w:link w:val="a4"/>
    <w:uiPriority w:val="99"/>
    <w:qFormat/>
    <w:rPr>
      <w:rFonts w:ascii="Times New Roman" w:eastAsia="宋体" w:hAnsi="Times New Roman" w:cs="Times New Roman"/>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4">
    <w:name w:val="批注主题 Char"/>
    <w:basedOn w:val="Char"/>
    <w:link w:val="a8"/>
    <w:uiPriority w:val="99"/>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109</Words>
  <Characters>623</Characters>
  <Application>Microsoft Office Word</Application>
  <DocSecurity>0</DocSecurity>
  <Lines>5</Lines>
  <Paragraphs>1</Paragraphs>
  <ScaleCrop>false</ScaleCrop>
  <Company>Microsoft</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戎善奎</dc:creator>
  <cp:lastModifiedBy>戎善奎</cp:lastModifiedBy>
  <cp:revision>33</cp:revision>
  <dcterms:created xsi:type="dcterms:W3CDTF">2021-07-02T07:39:00Z</dcterms:created>
  <dcterms:modified xsi:type="dcterms:W3CDTF">2024-11-21T07:16:00Z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EA39E6315A6E4D24AF2204287B65E19B_13</vt:lpwstr>
  </property>
</Properties>
</file>