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spacing w:after="0" w:line="240" w:lineRule="auto"/>
        <w:ind w:left="-498" w:leftChars="-237"/>
        <w:jc w:val="center"/>
        <w:rPr>
          <w:rStyle w:val="21"/>
          <w:rFonts w:ascii="黑体" w:hAnsi="黑体" w:eastAsia="黑体"/>
          <w:b/>
          <w:color w:val="auto"/>
          <w:sz w:val="32"/>
          <w:szCs w:val="32"/>
        </w:rPr>
      </w:pPr>
      <w:r>
        <w:rPr>
          <w:rStyle w:val="21"/>
          <w:rFonts w:hint="eastAsia" w:ascii="黑体" w:hAnsi="黑体" w:eastAsia="黑体"/>
          <w:b/>
          <w:color w:val="auto"/>
          <w:sz w:val="32"/>
          <w:szCs w:val="32"/>
        </w:rPr>
        <w:t>高脂血症患者健康教育处方（2023年版）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8890" b="1333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0"/>
        <w:spacing w:line="240" w:lineRule="auto"/>
        <w:ind w:firstLine="560"/>
        <w:rPr>
          <w:rStyle w:val="24"/>
          <w:rFonts w:ascii="仿宋_GB2312" w:eastAsia="仿宋_GB2312" w:cs="华文楷体" w:hAnsiTheme="minorEastAsia"/>
          <w:b/>
          <w:color w:val="auto"/>
          <w:sz w:val="32"/>
          <w:szCs w:val="28"/>
        </w:rPr>
      </w:pP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>姓名：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 xml:space="preserve">   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 xml:space="preserve">性别： 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 xml:space="preserve"> 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>年龄：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 xml:space="preserve">   </w:t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color w:val="auto"/>
          <w:szCs w:val="24"/>
        </w:rPr>
        <w:t>诊断：</w:t>
      </w:r>
      <w:r>
        <w:rPr>
          <w:rStyle w:val="24"/>
          <w:rFonts w:hint="eastAsia" w:ascii="仿宋_GB2312" w:eastAsia="仿宋_GB2312" w:cs="华文楷体" w:hAnsiTheme="minorEastAsia"/>
          <w:b/>
          <w:color w:val="auto"/>
          <w:sz w:val="32"/>
          <w:szCs w:val="28"/>
        </w:rPr>
        <w:t xml:space="preserve"> 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0" w:line="264" w:lineRule="auto"/>
        <w:ind w:firstLine="482" w:firstLineChars="200"/>
        <w:jc w:val="both"/>
        <w:textAlignment w:val="auto"/>
      </w:pPr>
      <w:r>
        <w:rPr>
          <w:rFonts w:hint="eastAsia" w:ascii="楷体" w:hAnsi="楷体" w:eastAsia="楷体" w:cs="GDSBXP+STKaiti"/>
          <w:b/>
          <w:kern w:val="2"/>
        </w:rPr>
        <w:t>高脂血症</w:t>
      </w:r>
      <w:r>
        <w:rPr>
          <w:rFonts w:hint="eastAsia" w:ascii="楷体" w:hAnsi="楷体" w:eastAsia="楷体"/>
        </w:rPr>
        <w:t>通常指血清中总胆固醇和（或）甘油三酯水平升高，分为高胆固醇血症、高甘油三酯血症、混合高脂血症和低高密度脂蛋白胆固醇血症。高脂血症是冠心病、脑卒中、外周血管病、阿尔茨海默病以及急性胰腺炎的重要危险因素，常与高血压、糖尿病并存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0" w:line="264" w:lineRule="auto"/>
        <w:ind w:firstLine="480" w:firstLineChars="20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高脂血症一般没有症状，主要通过血生化检查发现。严重的高脂血症可以出现黄色瘤和早发脂性角膜环等体征。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0" w:line="264" w:lineRule="auto"/>
        <w:ind w:firstLine="480" w:firstLineChars="20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高脂血症的主要危险因素包括不良的生活方式（如高脂</w:t>
      </w:r>
      <w:r>
        <w:rPr>
          <w:rFonts w:hint="eastAsia" w:ascii="楷体" w:hAnsi="楷体" w:eastAsia="楷体"/>
          <w:lang w:eastAsia="zh-CN"/>
        </w:rPr>
        <w:t>、</w:t>
      </w:r>
      <w:r>
        <w:rPr>
          <w:rFonts w:hint="eastAsia" w:ascii="楷体" w:hAnsi="楷体" w:eastAsia="楷体"/>
        </w:rPr>
        <w:t>高糖</w:t>
      </w:r>
      <w:r>
        <w:rPr>
          <w:rFonts w:hint="eastAsia" w:ascii="楷体" w:hAnsi="楷体" w:eastAsia="楷体"/>
          <w:lang w:eastAsia="zh-CN"/>
        </w:rPr>
        <w:t>、</w:t>
      </w:r>
      <w:r>
        <w:rPr>
          <w:rFonts w:hint="eastAsia" w:ascii="楷体" w:hAnsi="楷体" w:eastAsia="楷体"/>
        </w:rPr>
        <w:t>高能量饮食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</w:rPr>
        <w:t>过量饮酒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</w:rPr>
        <w:t>体力活动不足等）、某些药物（如糖皮质激素和某些抗肿瘤等药物等）、某些疾病（如胆道阻塞、甲状腺功能低下、肾功能不全等）</w:t>
      </w:r>
      <w:r>
        <w:rPr>
          <w:rFonts w:hint="eastAsia" w:ascii="楷体" w:hAnsi="楷体" w:eastAsia="楷体"/>
          <w:lang w:val="en-US" w:eastAsia="zh-CN"/>
        </w:rPr>
        <w:t>及</w:t>
      </w:r>
      <w:r>
        <w:rPr>
          <w:rFonts w:hint="eastAsia" w:ascii="楷体" w:hAnsi="楷体" w:eastAsia="楷体"/>
        </w:rPr>
        <w:t>遗传因素。妊娠期血脂水平可以</w:t>
      </w:r>
      <w:r>
        <w:rPr>
          <w:rFonts w:hint="eastAsia" w:ascii="楷体" w:hAnsi="楷体" w:eastAsia="楷体"/>
          <w:lang w:val="en-US" w:eastAsia="zh-CN"/>
        </w:rPr>
        <w:t>出现</w:t>
      </w:r>
      <w:r>
        <w:rPr>
          <w:rFonts w:hint="eastAsia" w:ascii="楷体" w:hAnsi="楷体" w:eastAsia="楷体"/>
        </w:rPr>
        <w:t>生理性增高。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0" w:line="264" w:lineRule="auto"/>
        <w:ind w:firstLine="480" w:firstLineChars="200"/>
        <w:jc w:val="both"/>
        <w:textAlignment w:val="auto"/>
        <w:rPr>
          <w:rFonts w:ascii="楷体" w:hAnsi="楷体" w:eastAsia="楷体"/>
        </w:rPr>
      </w:pPr>
      <w:r>
        <w:rPr>
          <w:rStyle w:val="24"/>
          <w:rFonts w:hint="eastAsia" w:ascii="楷体" w:hAnsi="楷体" w:eastAsia="楷体" w:cs="华文楷体"/>
          <w:bCs/>
          <w:color w:val="auto"/>
          <w:kern w:val="2"/>
          <w:sz w:val="24"/>
          <w:szCs w:val="24"/>
        </w:rPr>
        <w:t>健康生活方式是高脂血症治疗最重要的措施，有助于延缓心脑血管疾病的发生和发展，改善生活质量。</w:t>
      </w:r>
    </w:p>
    <w:p>
      <w:pPr>
        <w:pStyle w:val="36"/>
        <w:ind w:firstLine="0" w:firstLineChars="0"/>
        <w:rPr>
          <w:rStyle w:val="24"/>
          <w:color w:val="auto"/>
        </w:rPr>
      </w:pPr>
      <w:r>
        <w:rPr>
          <w:rStyle w:val="24"/>
          <w:color w:val="auto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0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0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2"/>
          <w:rFonts w:hint="eastAsia" w:cs="华文中宋" w:asciiTheme="minorEastAsia" w:hAnsiTheme="minorEastAsia"/>
          <w:color w:val="auto"/>
        </w:rPr>
        <w:t>●</w:t>
      </w:r>
      <w:r>
        <w:rPr>
          <w:rFonts w:hint="eastAsia"/>
        </w:rPr>
        <w:t>健康生活方式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</w:t>
      </w:r>
      <w:r>
        <w:rPr>
          <w:rFonts w:hint="eastAsia" w:ascii="楷体" w:hAnsi="楷体" w:eastAsia="楷体"/>
          <w:lang w:val="en-US" w:eastAsia="zh-CN"/>
        </w:rPr>
        <w:t>适宜</w:t>
      </w:r>
      <w:r>
        <w:rPr>
          <w:rFonts w:hint="eastAsia" w:ascii="楷体" w:hAnsi="楷体" w:eastAsia="楷体"/>
        </w:rPr>
        <w:t>体重，</w:t>
      </w:r>
      <w:r>
        <w:rPr>
          <w:rFonts w:hint="eastAsia" w:ascii="楷体" w:hAnsi="楷体" w:eastAsia="楷体"/>
          <w:sz w:val="24"/>
          <w:szCs w:val="24"/>
          <w:lang w:eastAsia="zh-CN"/>
        </w:rPr>
        <w:t>成年人</w:t>
      </w:r>
      <w:r>
        <w:rPr>
          <w:rFonts w:hint="eastAsia" w:ascii="楷体" w:hAnsi="楷体" w:eastAsia="楷体"/>
          <w:sz w:val="24"/>
          <w:szCs w:val="24"/>
        </w:rPr>
        <w:t>体重指数应控制在18.5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</w:rPr>
        <w:t>23.9千克/米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</w:rPr>
        <w:t>［体重指数= 体重（千克）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/>
          <w:sz w:val="24"/>
          <w:szCs w:val="24"/>
        </w:rPr>
        <w:t>身高（米）</w:t>
      </w:r>
      <w:r>
        <w:rPr>
          <w:rFonts w:ascii="楷体" w:hAnsi="楷体" w:eastAsia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/>
          <w:sz w:val="24"/>
          <w:szCs w:val="24"/>
        </w:rPr>
        <w:t>］</w:t>
      </w:r>
      <w:r>
        <w:rPr>
          <w:rFonts w:hint="eastAsia" w:ascii="楷体" w:hAnsi="楷体" w:eastAsia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w w:val="98"/>
          <w:sz w:val="24"/>
          <w:szCs w:val="24"/>
          <w:lang w:eastAsia="zh-CN"/>
        </w:rPr>
        <w:t>老年人宜控制在</w:t>
      </w:r>
      <w:r>
        <w:rPr>
          <w:rFonts w:hint="eastAsia" w:ascii="楷体" w:hAnsi="楷体" w:eastAsia="楷体"/>
          <w:w w:val="98"/>
          <w:sz w:val="24"/>
          <w:szCs w:val="24"/>
          <w:lang w:val="en-US" w:eastAsia="zh-CN"/>
        </w:rPr>
        <w:t>20.0</w:t>
      </w:r>
      <w:r>
        <w:rPr>
          <w:rFonts w:hint="eastAsia" w:ascii="楷体" w:hAnsi="楷体" w:eastAsia="楷体"/>
          <w:w w:val="98"/>
          <w:sz w:val="24"/>
          <w:lang w:val="en-US" w:eastAsia="zh-CN"/>
        </w:rPr>
        <w:t>-</w:t>
      </w:r>
      <w:r>
        <w:rPr>
          <w:rFonts w:hint="eastAsia" w:ascii="楷体" w:hAnsi="楷体" w:eastAsia="楷体"/>
          <w:w w:val="98"/>
          <w:sz w:val="24"/>
          <w:szCs w:val="24"/>
          <w:lang w:val="en-US" w:eastAsia="zh-CN"/>
        </w:rPr>
        <w:t>26.9</w:t>
      </w:r>
      <w:r>
        <w:rPr>
          <w:rFonts w:hint="eastAsia" w:ascii="楷体" w:hAnsi="楷体" w:eastAsia="楷体"/>
          <w:w w:val="98"/>
          <w:sz w:val="24"/>
          <w:szCs w:val="24"/>
        </w:rPr>
        <w:t>千克/米</w:t>
      </w:r>
      <w:r>
        <w:rPr>
          <w:rFonts w:ascii="楷体" w:hAnsi="楷体" w:eastAsia="楷体"/>
          <w:w w:val="98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  <w:vertAlign w:val="baseline"/>
          <w:lang w:eastAsia="zh-CN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420" w:leftChars="0" w:firstLine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  <w:lang w:val="en-US" w:eastAsia="zh-CN"/>
        </w:rPr>
        <w:t>合理安排一日三餐，定时定量，不漏餐，每天吃早餐</w:t>
      </w:r>
      <w:r>
        <w:rPr>
          <w:rFonts w:hint="eastAsia" w:ascii="楷体" w:hAnsi="楷体" w:eastAsia="楷体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420" w:leftChars="0" w:firstLine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清淡饮食。少盐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</w:rPr>
        <w:t>少油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</w:rPr>
        <w:t>少糖，少吃高盐和油炸食品，每日食盐</w:t>
      </w:r>
      <w:r>
        <w:rPr>
          <w:rFonts w:hint="eastAsia" w:ascii="楷体" w:hAnsi="楷体" w:eastAsia="楷体"/>
          <w:lang w:eastAsia="zh-CN"/>
        </w:rPr>
        <w:t>摄入量</w:t>
      </w:r>
      <w:r>
        <w:rPr>
          <w:rFonts w:hint="eastAsia" w:ascii="楷体" w:hAnsi="楷体" w:eastAsia="楷体"/>
          <w:lang w:val="en-US" w:eastAsia="zh-CN"/>
        </w:rPr>
        <w:t xml:space="preserve">      </w:t>
      </w:r>
    </w:p>
    <w:p>
      <w:pPr>
        <w:pStyle w:val="2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420" w:leftChars="0" w:firstLine="480" w:firstLineChars="20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不超过5克，炒菜少放油，每天</w:t>
      </w:r>
      <w:r>
        <w:rPr>
          <w:rFonts w:hint="eastAsia" w:ascii="楷体" w:hAnsi="楷体" w:eastAsia="楷体"/>
          <w:lang w:eastAsia="zh-CN"/>
        </w:rPr>
        <w:t>食用油摄入量</w:t>
      </w:r>
      <w:r>
        <w:rPr>
          <w:rFonts w:hint="eastAsia" w:ascii="楷体" w:hAnsi="楷体" w:eastAsia="楷体"/>
        </w:rPr>
        <w:t>不超过25克</w:t>
      </w:r>
      <w:r>
        <w:rPr>
          <w:rFonts w:hint="eastAsia" w:ascii="楷体" w:hAnsi="楷体" w:eastAsia="楷体"/>
          <w:lang w:eastAsia="zh-CN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  <w:lang w:val="en-US" w:eastAsia="zh-CN"/>
        </w:rPr>
        <w:t>主食中应适当控制精白米面摄入，适量多吃膳食纤维丰富的食物，</w:t>
      </w:r>
      <w:bookmarkStart w:id="0" w:name="_GoBack"/>
      <w:bookmarkEnd w:id="0"/>
      <w:r>
        <w:rPr>
          <w:rFonts w:hint="eastAsia" w:ascii="楷体" w:hAnsi="楷体" w:eastAsia="楷体"/>
          <w:lang w:val="en-US" w:eastAsia="zh-CN"/>
        </w:rPr>
        <w:t>如全谷物、杂豆类、蔬菜等</w:t>
      </w:r>
      <w:r>
        <w:rPr>
          <w:rFonts w:hint="eastAsia" w:ascii="楷体" w:hAnsi="楷体" w:eastAsia="楷体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  <w:lang w:val="en-US" w:eastAsia="zh-CN"/>
        </w:rPr>
        <w:t>蛋白质摄入充足，</w:t>
      </w:r>
      <w:r>
        <w:rPr>
          <w:rFonts w:hint="eastAsia" w:ascii="楷体" w:hAnsi="楷体" w:eastAsia="楷体"/>
        </w:rPr>
        <w:t>适量吃鱼、禽、蛋、瘦肉，建议平均每天120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</w:rPr>
        <w:t>200</w:t>
      </w:r>
      <w:r>
        <w:rPr>
          <w:rFonts w:hint="eastAsia" w:ascii="楷体" w:hAnsi="楷体" w:eastAsia="楷体"/>
          <w:lang w:eastAsia="zh-CN"/>
        </w:rPr>
        <w:t>克</w:t>
      </w:r>
      <w:r>
        <w:rPr>
          <w:rFonts w:hint="eastAsia" w:ascii="楷体" w:hAnsi="楷体" w:eastAsia="楷体"/>
        </w:rPr>
        <w:t>。每周吃鱼300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</w:rPr>
        <w:t>500克，每天胆固醇摄入量应在300毫克以下。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textAlignment w:val="auto"/>
      </w:pPr>
      <w:r>
        <w:rPr>
          <w:rFonts w:hint="eastAsia" w:ascii="楷体" w:hAnsi="楷体" w:eastAsia="楷体"/>
          <w:lang w:val="en-US" w:eastAsia="zh-CN"/>
        </w:rPr>
        <w:t>限制总脂肪、饱和脂肪、胆固醇和反式脂肪酸的摄入，适当增加不饱和脂肪酸的摄入</w:t>
      </w:r>
      <w:r>
        <w:rPr>
          <w:rFonts w:hint="eastAsia" w:ascii="楷体" w:hAnsi="楷体" w:eastAsia="楷体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少量多次、足量饮水，每天1500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</w:rPr>
        <w:t>2000毫升。</w:t>
      </w:r>
      <w:r>
        <w:rPr>
          <w:rFonts w:hint="eastAsia" w:ascii="楷体" w:hAnsi="楷体" w:eastAsia="楷体"/>
          <w:lang w:val="en-US" w:eastAsia="zh-CN"/>
        </w:rPr>
        <w:t>不喝或少喝含糖饮料，不用饮料代替白水。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适量运动。</w:t>
      </w:r>
      <w:r>
        <w:rPr>
          <w:rStyle w:val="24"/>
          <w:rFonts w:hint="eastAsia" w:ascii="楷体" w:hAnsi="楷体" w:eastAsia="楷体"/>
          <w:sz w:val="24"/>
          <w:szCs w:val="24"/>
        </w:rPr>
        <w:t>在医生指导下，根据自己的身体情况，选择慢跑、快步走等中等</w:t>
      </w:r>
      <w:r>
        <w:rPr>
          <w:rStyle w:val="24"/>
          <w:rFonts w:hint="eastAsia" w:ascii="楷体" w:hAnsi="楷体" w:eastAsia="楷体"/>
          <w:sz w:val="24"/>
          <w:szCs w:val="24"/>
          <w:lang w:val="en-US" w:eastAsia="zh-CN"/>
        </w:rPr>
        <w:t>及以上</w:t>
      </w:r>
      <w:r>
        <w:rPr>
          <w:rStyle w:val="24"/>
          <w:rFonts w:hint="eastAsia" w:ascii="楷体" w:hAnsi="楷体" w:eastAsia="楷体"/>
          <w:sz w:val="24"/>
          <w:szCs w:val="24"/>
        </w:rPr>
        <w:t>强度</w:t>
      </w:r>
      <w:r>
        <w:rPr>
          <w:rStyle w:val="24"/>
          <w:rFonts w:hint="eastAsia" w:ascii="楷体" w:hAnsi="楷体" w:eastAsia="楷体"/>
          <w:color w:val="auto"/>
          <w:sz w:val="24"/>
          <w:szCs w:val="24"/>
        </w:rPr>
        <w:t>的活动。建议尽量保持</w:t>
      </w:r>
      <w:r>
        <w:rPr>
          <w:rStyle w:val="24"/>
          <w:rFonts w:hint="eastAsia" w:ascii="楷体" w:hAnsi="楷体" w:eastAsia="楷体"/>
          <w:color w:val="auto"/>
          <w:kern w:val="2"/>
          <w:sz w:val="24"/>
          <w:szCs w:val="24"/>
        </w:rPr>
        <w:t>每周5</w:t>
      </w:r>
      <w:r>
        <w:rPr>
          <w:rStyle w:val="24"/>
          <w:rFonts w:hint="eastAsia" w:ascii="楷体" w:hAnsi="楷体" w:eastAsia="楷体"/>
          <w:color w:val="auto"/>
          <w:kern w:val="2"/>
          <w:sz w:val="24"/>
          <w:szCs w:val="24"/>
          <w:lang w:val="en-US" w:eastAsia="zh-CN"/>
        </w:rPr>
        <w:t>-</w:t>
      </w:r>
      <w:r>
        <w:rPr>
          <w:rStyle w:val="24"/>
          <w:rFonts w:hint="eastAsia" w:ascii="楷体" w:hAnsi="楷体" w:eastAsia="楷体"/>
          <w:color w:val="auto"/>
          <w:kern w:val="2"/>
          <w:sz w:val="24"/>
          <w:szCs w:val="24"/>
        </w:rPr>
        <w:t>7次，每次</w:t>
      </w:r>
      <w:r>
        <w:rPr>
          <w:rStyle w:val="24"/>
          <w:rFonts w:hint="eastAsia" w:ascii="楷体" w:hAnsi="楷体" w:eastAsia="楷体"/>
          <w:kern w:val="2"/>
          <w:sz w:val="24"/>
          <w:szCs w:val="24"/>
        </w:rPr>
        <w:t>30分</w:t>
      </w:r>
      <w:r>
        <w:rPr>
          <w:rStyle w:val="24"/>
          <w:rFonts w:hint="eastAsia" w:ascii="楷体" w:hAnsi="楷体" w:eastAsia="楷体"/>
          <w:kern w:val="2"/>
          <w:sz w:val="24"/>
          <w:szCs w:val="24"/>
          <w:lang w:val="en-US" w:eastAsia="zh-CN"/>
        </w:rPr>
        <w:t>钟</w:t>
      </w:r>
      <w:r>
        <w:rPr>
          <w:rStyle w:val="24"/>
          <w:rFonts w:hint="eastAsia" w:ascii="楷体" w:hAnsi="楷体" w:eastAsia="楷体"/>
          <w:sz w:val="24"/>
          <w:szCs w:val="24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420" w:leftChars="0" w:firstLine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不吸烟（吸烟者戒烟）。避免接触二手烟。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不饮酒或少饮酒。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保持心情舒畅、情绪稳定；保证睡眠充足。</w:t>
      </w:r>
    </w:p>
    <w:p>
      <w:pPr>
        <w:pStyle w:val="2"/>
        <w:spacing w:before="156" w:after="156" w:line="288" w:lineRule="auto"/>
        <w:rPr>
          <w:rStyle w:val="22"/>
          <w:rFonts w:ascii="Times New Roman" w:eastAsiaTheme="minorEastAsia" w:cstheme="minorBidi"/>
          <w:color w:val="auto"/>
          <w:szCs w:val="44"/>
        </w:rPr>
      </w:pPr>
      <w:r>
        <w:rPr>
          <w:rStyle w:val="22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遵医嘱进行药物治疗或非药物治疗，不要随意自行停药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和</w:t>
      </w:r>
      <w:r>
        <w:rPr>
          <w:rFonts w:hint="eastAsia" w:ascii="楷体" w:hAnsi="楷体" w:eastAsia="楷体"/>
          <w:sz w:val="24"/>
          <w:szCs w:val="24"/>
        </w:rPr>
        <w:t>调整药物。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非药物治疗者，开始3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-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6个月应复查血脂，如血脂控制达标，则继续非药物治疗，但仍须每6个月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  <w:lang w:eastAsia="zh-CN"/>
        </w:rPr>
        <w:t>到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1年复查血脂；长期达标者可每年复查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  <w:lang w:val="en-US" w:eastAsia="zh-CN"/>
        </w:rPr>
        <w:t>1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次血脂。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启动调脂药物治疗前，需检测肝功能、肌酸激酶，进行安全性评估。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首次服用调脂药物者，应在用药6周内复查血脂、转氨酶和肌酸激酶，</w:t>
      </w:r>
      <w:r>
        <w:rPr>
          <w:rFonts w:hint="eastAsia" w:ascii="楷体" w:hAnsi="楷体" w:eastAsia="楷体"/>
          <w:sz w:val="24"/>
          <w:szCs w:val="24"/>
        </w:rPr>
        <w:t>严密监测肝肾功能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服用调脂药物者，6周内检测血脂达标且无药物不良反应者，逐步改为</w:t>
      </w:r>
      <w:r>
        <w:rPr>
          <w:rStyle w:val="24"/>
          <w:rFonts w:ascii="楷体_GB2312" w:eastAsia="楷体_GB2312" w:cstheme="minorBidi"/>
          <w:color w:val="auto"/>
          <w:sz w:val="24"/>
          <w:szCs w:val="24"/>
        </w:rPr>
        <w:t>3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  <w:lang w:val="en-US" w:eastAsia="zh-CN"/>
        </w:rPr>
        <w:t>-</w:t>
      </w:r>
      <w:r>
        <w:rPr>
          <w:rStyle w:val="24"/>
          <w:rFonts w:ascii="楷体_GB2312" w:eastAsia="楷体_GB2312" w:cstheme="minorBidi"/>
          <w:color w:val="auto"/>
          <w:sz w:val="24"/>
          <w:szCs w:val="24"/>
        </w:rPr>
        <w:t>6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个月复查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  <w:lang w:val="en-US" w:eastAsia="zh-CN"/>
        </w:rPr>
        <w:t>1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次血脂、转氨酶和肌酸激酶等指标，</w:t>
      </w:r>
      <w:r>
        <w:rPr>
          <w:rFonts w:hint="eastAsia" w:ascii="楷体" w:hAnsi="楷体" w:eastAsia="楷体"/>
          <w:sz w:val="24"/>
          <w:szCs w:val="24"/>
        </w:rPr>
        <w:t>严密监测肝肾功能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调脂药物治疗3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  <w:lang w:val="en-US" w:eastAsia="zh-CN"/>
        </w:rPr>
        <w:t>-</w:t>
      </w: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6个月后血脂仍未达标者，需根据医嘱调整药物剂量、种类或联合治疗，并在治疗6周内复查血脂、转氨酶和肌酸激酶。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4"/>
          <w:rFonts w:hint="eastAsia" w:ascii="楷体_GB2312" w:eastAsia="楷体_GB2312" w:cstheme="minorBidi"/>
          <w:color w:val="auto"/>
          <w:sz w:val="24"/>
          <w:szCs w:val="24"/>
        </w:rPr>
        <w:t>服用调脂药物者，平时注意</w:t>
      </w:r>
      <w:r>
        <w:rPr>
          <w:rFonts w:hint="eastAsia" w:ascii="楷体" w:hAnsi="楷体" w:eastAsia="楷体"/>
          <w:sz w:val="24"/>
          <w:szCs w:val="24"/>
        </w:rPr>
        <w:t>监测药物不良反应。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839" w:leftChars="0" w:hanging="42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患有多种慢性疾病的患者，要注意药物间的相互作用和不良反应。</w:t>
      </w:r>
    </w:p>
    <w:p>
      <w:pPr>
        <w:pStyle w:val="2"/>
        <w:spacing w:before="156" w:after="156" w:line="288" w:lineRule="auto"/>
        <w:rPr>
          <w:rStyle w:val="22"/>
          <w:rFonts w:ascii="Times New Roman" w:eastAsiaTheme="minorEastAsia" w:cstheme="minorBidi"/>
          <w:color w:val="auto"/>
          <w:szCs w:val="44"/>
        </w:rPr>
      </w:pPr>
      <w:r>
        <w:rPr>
          <w:rStyle w:val="22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840" w:leftChars="0" w:firstLineChars="0"/>
        <w:jc w:val="both"/>
        <w:textAlignment w:val="auto"/>
        <w:rPr>
          <w:rStyle w:val="24"/>
          <w:rFonts w:ascii="楷体" w:hAnsi="楷体" w:eastAsia="楷体" w:cs="华文楷体"/>
          <w:color w:val="auto"/>
          <w:kern w:val="2"/>
          <w:sz w:val="24"/>
          <w:szCs w:val="24"/>
        </w:rPr>
      </w:pPr>
      <w:r>
        <w:rPr>
          <w:rStyle w:val="24"/>
          <w:rFonts w:hint="eastAsia" w:ascii="楷体" w:hAnsi="楷体" w:eastAsia="楷体" w:cs="华文楷体"/>
          <w:color w:val="auto"/>
          <w:sz w:val="24"/>
          <w:szCs w:val="24"/>
        </w:rPr>
        <w:t>如病情加重，尤其出现下列情况，应尽快到医院就诊：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480" w:firstLineChars="200"/>
        <w:textAlignment w:val="auto"/>
        <w:rPr>
          <w:rStyle w:val="24"/>
          <w:rFonts w:ascii="楷体" w:hAnsi="楷体" w:eastAsia="楷体" w:cs="华文楷体"/>
          <w:color w:val="auto"/>
          <w:sz w:val="24"/>
          <w:szCs w:val="28"/>
        </w:rPr>
      </w:pP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（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val="en-US" w:eastAsia="zh-CN"/>
        </w:rPr>
        <w:t>1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）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</w:rPr>
        <w:t>服药期间，如出现肌肉酸痛、乏力、食欲下降和恶心呕吐等症状。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480" w:firstLineChars="200"/>
        <w:textAlignment w:val="auto"/>
        <w:rPr>
          <w:rStyle w:val="24"/>
          <w:rFonts w:hint="eastAsia" w:ascii="楷体" w:hAnsi="楷体" w:eastAsia="楷体" w:cs="华文楷体"/>
          <w:color w:val="auto"/>
          <w:sz w:val="24"/>
          <w:szCs w:val="28"/>
        </w:rPr>
      </w:pP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（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val="en-US" w:eastAsia="zh-CN"/>
        </w:rPr>
        <w:t>2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）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</w:rPr>
        <w:t>突然出现胸部不适和腹痛等症状。</w:t>
      </w:r>
    </w:p>
    <w:p>
      <w:pPr>
        <w:pStyle w:val="3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ind w:firstLine="480" w:firstLineChars="200"/>
        <w:textAlignment w:val="auto"/>
        <w:rPr>
          <w:rStyle w:val="24"/>
          <w:rFonts w:ascii="楷体" w:hAnsi="楷体" w:eastAsia="楷体" w:cs="华文楷体"/>
          <w:color w:val="auto"/>
          <w:sz w:val="24"/>
          <w:szCs w:val="28"/>
        </w:rPr>
      </w:pP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（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val="en-US" w:eastAsia="zh-CN"/>
        </w:rPr>
        <w:t>3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  <w:lang w:eastAsia="zh-CN"/>
        </w:rPr>
        <w:t>）</w:t>
      </w:r>
      <w:r>
        <w:rPr>
          <w:rStyle w:val="24"/>
          <w:rFonts w:hint="eastAsia" w:ascii="楷体" w:hAnsi="楷体" w:eastAsia="楷体" w:cs="华文楷体"/>
          <w:color w:val="auto"/>
          <w:sz w:val="24"/>
          <w:szCs w:val="28"/>
        </w:rPr>
        <w:t>其他严重情况。</w:t>
      </w:r>
    </w:p>
    <w:p>
      <w:pPr>
        <w:tabs>
          <w:tab w:val="left" w:pos="567"/>
        </w:tabs>
        <w:adjustRightInd w:val="0"/>
        <w:snapToGrid w:val="0"/>
        <w:spacing w:after="0" w:line="240" w:lineRule="auto"/>
        <w:ind w:left="785"/>
        <w:rPr>
          <w:sz w:val="24"/>
          <w:szCs w:val="24"/>
        </w:rPr>
      </w:pPr>
      <w:r>
        <w:rPr>
          <w:rStyle w:val="24"/>
          <w:rFonts w:hint="eastAsia" w:ascii="楷体_GB2312" w:eastAsia="楷体_GB2312" w:cs="华文楷体" w:hAnsiTheme="minorEastAsia"/>
          <w:color w:val="auto"/>
          <w:sz w:val="24"/>
          <w:szCs w:val="24"/>
        </w:rPr>
        <w:t xml:space="preserve"> </w:t>
      </w:r>
    </w:p>
    <w:p>
      <w:pPr>
        <w:pStyle w:val="36"/>
        <w:ind w:firstLine="0" w:firstLineChars="0"/>
        <w:rPr>
          <w:rStyle w:val="24"/>
          <w:color w:val="auto"/>
        </w:rPr>
      </w:pPr>
      <w:r>
        <w:rPr>
          <w:rStyle w:val="24"/>
          <w:color w:val="auto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0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5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0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5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</w:t>
      </w:r>
    </w:p>
    <w:p>
      <w:pPr>
        <w:spacing w:after="0" w:line="240" w:lineRule="auto"/>
        <w:rPr>
          <w:rStyle w:val="22"/>
          <w:rFonts w:cs="华文楷体" w:asciiTheme="minorEastAsia" w:hAnsiTheme="minorEastAsia"/>
          <w:color w:val="auto"/>
          <w:sz w:val="24"/>
          <w:szCs w:val="24"/>
        </w:rPr>
      </w:pP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>医生/指导人员签名：</w:t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>咨询电话：</w:t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>日期：</w:t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color w:val="auto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</w:t>
      </w:r>
    </w:p>
    <w:p/>
    <w:p>
      <w:pPr>
        <w:pStyle w:val="20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高脂血症患者健康教育处方使用说明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高脂血症患者。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840" w:hanging="42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20834"/>
    <w:rsid w:val="000219E9"/>
    <w:rsid w:val="0002290B"/>
    <w:rsid w:val="00033A51"/>
    <w:rsid w:val="00037C12"/>
    <w:rsid w:val="00051CB7"/>
    <w:rsid w:val="000767FF"/>
    <w:rsid w:val="00096486"/>
    <w:rsid w:val="000968A0"/>
    <w:rsid w:val="000A081C"/>
    <w:rsid w:val="000B4584"/>
    <w:rsid w:val="000C5256"/>
    <w:rsid w:val="000D3202"/>
    <w:rsid w:val="000D6DE2"/>
    <w:rsid w:val="000D7999"/>
    <w:rsid w:val="000E48C5"/>
    <w:rsid w:val="00112C87"/>
    <w:rsid w:val="001176CB"/>
    <w:rsid w:val="001246F7"/>
    <w:rsid w:val="00127E32"/>
    <w:rsid w:val="00144185"/>
    <w:rsid w:val="0015437F"/>
    <w:rsid w:val="001552FE"/>
    <w:rsid w:val="00183492"/>
    <w:rsid w:val="0019108F"/>
    <w:rsid w:val="00195440"/>
    <w:rsid w:val="001968C0"/>
    <w:rsid w:val="001A45EC"/>
    <w:rsid w:val="001C4112"/>
    <w:rsid w:val="001E77B4"/>
    <w:rsid w:val="001F2F69"/>
    <w:rsid w:val="001F5579"/>
    <w:rsid w:val="001F72A6"/>
    <w:rsid w:val="002103B7"/>
    <w:rsid w:val="00226A23"/>
    <w:rsid w:val="00242583"/>
    <w:rsid w:val="00246902"/>
    <w:rsid w:val="0025648C"/>
    <w:rsid w:val="00272FA5"/>
    <w:rsid w:val="0027622D"/>
    <w:rsid w:val="0028168B"/>
    <w:rsid w:val="0028690A"/>
    <w:rsid w:val="002A6E9C"/>
    <w:rsid w:val="002B00C6"/>
    <w:rsid w:val="002D13B4"/>
    <w:rsid w:val="002D7407"/>
    <w:rsid w:val="002E7B6F"/>
    <w:rsid w:val="002F05DC"/>
    <w:rsid w:val="002F1C6D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57D56"/>
    <w:rsid w:val="00361499"/>
    <w:rsid w:val="00361BCB"/>
    <w:rsid w:val="00362B4E"/>
    <w:rsid w:val="00362B58"/>
    <w:rsid w:val="003668B4"/>
    <w:rsid w:val="00367313"/>
    <w:rsid w:val="00367D1D"/>
    <w:rsid w:val="00372596"/>
    <w:rsid w:val="003838E4"/>
    <w:rsid w:val="003903C7"/>
    <w:rsid w:val="0039412E"/>
    <w:rsid w:val="003A1470"/>
    <w:rsid w:val="003A5F28"/>
    <w:rsid w:val="003A7294"/>
    <w:rsid w:val="003A7E1F"/>
    <w:rsid w:val="003C0BEA"/>
    <w:rsid w:val="003C5938"/>
    <w:rsid w:val="003C63CB"/>
    <w:rsid w:val="003C6F58"/>
    <w:rsid w:val="003D255E"/>
    <w:rsid w:val="003E2D7E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75B4A"/>
    <w:rsid w:val="004760B1"/>
    <w:rsid w:val="0049252A"/>
    <w:rsid w:val="0049695E"/>
    <w:rsid w:val="004B6C60"/>
    <w:rsid w:val="004C3C2F"/>
    <w:rsid w:val="004D1C19"/>
    <w:rsid w:val="004D6016"/>
    <w:rsid w:val="004E2EAB"/>
    <w:rsid w:val="004E5692"/>
    <w:rsid w:val="005142E2"/>
    <w:rsid w:val="00517DFB"/>
    <w:rsid w:val="00526679"/>
    <w:rsid w:val="005367EE"/>
    <w:rsid w:val="0054387C"/>
    <w:rsid w:val="00544FBE"/>
    <w:rsid w:val="005836FC"/>
    <w:rsid w:val="005848FC"/>
    <w:rsid w:val="00592C17"/>
    <w:rsid w:val="005B1E2A"/>
    <w:rsid w:val="005B2DF5"/>
    <w:rsid w:val="005C57C4"/>
    <w:rsid w:val="005C5D1F"/>
    <w:rsid w:val="005D464F"/>
    <w:rsid w:val="005D5546"/>
    <w:rsid w:val="006026B5"/>
    <w:rsid w:val="0060593B"/>
    <w:rsid w:val="0061067E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D13A7"/>
    <w:rsid w:val="006F1C1B"/>
    <w:rsid w:val="006F1DB9"/>
    <w:rsid w:val="006F2F15"/>
    <w:rsid w:val="006F7B32"/>
    <w:rsid w:val="00713C2D"/>
    <w:rsid w:val="00720DC4"/>
    <w:rsid w:val="00721E70"/>
    <w:rsid w:val="0073025A"/>
    <w:rsid w:val="00735B6C"/>
    <w:rsid w:val="00735BFE"/>
    <w:rsid w:val="00746622"/>
    <w:rsid w:val="00752883"/>
    <w:rsid w:val="00756A86"/>
    <w:rsid w:val="00762E6B"/>
    <w:rsid w:val="007875C3"/>
    <w:rsid w:val="007965C8"/>
    <w:rsid w:val="007B1C67"/>
    <w:rsid w:val="007B52E7"/>
    <w:rsid w:val="007B6179"/>
    <w:rsid w:val="007B74EB"/>
    <w:rsid w:val="007C576F"/>
    <w:rsid w:val="007C6F39"/>
    <w:rsid w:val="007D15BF"/>
    <w:rsid w:val="007E0FF5"/>
    <w:rsid w:val="007F430D"/>
    <w:rsid w:val="0080529D"/>
    <w:rsid w:val="00823E7E"/>
    <w:rsid w:val="00826670"/>
    <w:rsid w:val="00832341"/>
    <w:rsid w:val="008349B5"/>
    <w:rsid w:val="00851E26"/>
    <w:rsid w:val="008520DA"/>
    <w:rsid w:val="008609DD"/>
    <w:rsid w:val="00871DD5"/>
    <w:rsid w:val="00880F50"/>
    <w:rsid w:val="008A1F1E"/>
    <w:rsid w:val="008A22A9"/>
    <w:rsid w:val="008B1408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910A7D"/>
    <w:rsid w:val="0091635D"/>
    <w:rsid w:val="00934AD0"/>
    <w:rsid w:val="009453F5"/>
    <w:rsid w:val="00955176"/>
    <w:rsid w:val="00966355"/>
    <w:rsid w:val="00971B0B"/>
    <w:rsid w:val="00974A83"/>
    <w:rsid w:val="00995581"/>
    <w:rsid w:val="00995A4D"/>
    <w:rsid w:val="009A3D2E"/>
    <w:rsid w:val="009A73EF"/>
    <w:rsid w:val="009B06A9"/>
    <w:rsid w:val="009B3062"/>
    <w:rsid w:val="009B3347"/>
    <w:rsid w:val="009C74A8"/>
    <w:rsid w:val="009E68E7"/>
    <w:rsid w:val="009F269D"/>
    <w:rsid w:val="009F318E"/>
    <w:rsid w:val="009F51EA"/>
    <w:rsid w:val="00A46B25"/>
    <w:rsid w:val="00A52553"/>
    <w:rsid w:val="00A63510"/>
    <w:rsid w:val="00A6393D"/>
    <w:rsid w:val="00A65139"/>
    <w:rsid w:val="00A80442"/>
    <w:rsid w:val="00A82C20"/>
    <w:rsid w:val="00A83B57"/>
    <w:rsid w:val="00A906DF"/>
    <w:rsid w:val="00A92DAA"/>
    <w:rsid w:val="00AB7840"/>
    <w:rsid w:val="00AC6CDB"/>
    <w:rsid w:val="00AC7D57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19B2"/>
    <w:rsid w:val="00B0461B"/>
    <w:rsid w:val="00B05F69"/>
    <w:rsid w:val="00B12739"/>
    <w:rsid w:val="00B13D36"/>
    <w:rsid w:val="00B2002C"/>
    <w:rsid w:val="00B27F22"/>
    <w:rsid w:val="00B35D8A"/>
    <w:rsid w:val="00B52A44"/>
    <w:rsid w:val="00B71839"/>
    <w:rsid w:val="00B72640"/>
    <w:rsid w:val="00B83F58"/>
    <w:rsid w:val="00B90506"/>
    <w:rsid w:val="00BA4D32"/>
    <w:rsid w:val="00BA6859"/>
    <w:rsid w:val="00BB51D0"/>
    <w:rsid w:val="00BC030B"/>
    <w:rsid w:val="00BC5AB0"/>
    <w:rsid w:val="00BC5B76"/>
    <w:rsid w:val="00BE007E"/>
    <w:rsid w:val="00C023DA"/>
    <w:rsid w:val="00C07558"/>
    <w:rsid w:val="00C20721"/>
    <w:rsid w:val="00C2552C"/>
    <w:rsid w:val="00C3191A"/>
    <w:rsid w:val="00C354D2"/>
    <w:rsid w:val="00C71555"/>
    <w:rsid w:val="00C749FC"/>
    <w:rsid w:val="00C76703"/>
    <w:rsid w:val="00C815D5"/>
    <w:rsid w:val="00C85DA7"/>
    <w:rsid w:val="00C87219"/>
    <w:rsid w:val="00CA1BAB"/>
    <w:rsid w:val="00CA7CF0"/>
    <w:rsid w:val="00CB54E0"/>
    <w:rsid w:val="00CB7194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47250"/>
    <w:rsid w:val="00D47343"/>
    <w:rsid w:val="00D62DFA"/>
    <w:rsid w:val="00D80664"/>
    <w:rsid w:val="00D974AB"/>
    <w:rsid w:val="00DB1DD3"/>
    <w:rsid w:val="00DC09CB"/>
    <w:rsid w:val="00DC45AE"/>
    <w:rsid w:val="00DC5075"/>
    <w:rsid w:val="00DC6D82"/>
    <w:rsid w:val="00DC798F"/>
    <w:rsid w:val="00DE7BD9"/>
    <w:rsid w:val="00E01BEC"/>
    <w:rsid w:val="00E058E0"/>
    <w:rsid w:val="00E05E99"/>
    <w:rsid w:val="00E05F03"/>
    <w:rsid w:val="00E11B87"/>
    <w:rsid w:val="00E34844"/>
    <w:rsid w:val="00E35CDE"/>
    <w:rsid w:val="00E446E2"/>
    <w:rsid w:val="00E507BA"/>
    <w:rsid w:val="00E5429D"/>
    <w:rsid w:val="00E65623"/>
    <w:rsid w:val="00E87C61"/>
    <w:rsid w:val="00EA3241"/>
    <w:rsid w:val="00EA7077"/>
    <w:rsid w:val="00EB596B"/>
    <w:rsid w:val="00EF1F0E"/>
    <w:rsid w:val="00F16D60"/>
    <w:rsid w:val="00F27D03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B3465"/>
    <w:rsid w:val="00FB6AEA"/>
    <w:rsid w:val="00FC0CAF"/>
    <w:rsid w:val="00FC1CBD"/>
    <w:rsid w:val="00FD1A11"/>
    <w:rsid w:val="00FE0DE2"/>
    <w:rsid w:val="00FE50BD"/>
    <w:rsid w:val="00FF497C"/>
    <w:rsid w:val="035C6DF3"/>
    <w:rsid w:val="03A85B56"/>
    <w:rsid w:val="03BC5C45"/>
    <w:rsid w:val="03D335B8"/>
    <w:rsid w:val="07DC0503"/>
    <w:rsid w:val="098E3A7F"/>
    <w:rsid w:val="0CB832EC"/>
    <w:rsid w:val="0D450B8A"/>
    <w:rsid w:val="11F40163"/>
    <w:rsid w:val="156D58E8"/>
    <w:rsid w:val="1A444995"/>
    <w:rsid w:val="1A673727"/>
    <w:rsid w:val="1BA76FD1"/>
    <w:rsid w:val="1BF71070"/>
    <w:rsid w:val="1E2E0CE6"/>
    <w:rsid w:val="1E34479D"/>
    <w:rsid w:val="22AA234E"/>
    <w:rsid w:val="242E1C8E"/>
    <w:rsid w:val="24791129"/>
    <w:rsid w:val="2492140C"/>
    <w:rsid w:val="25AD37B3"/>
    <w:rsid w:val="27953250"/>
    <w:rsid w:val="28C630A2"/>
    <w:rsid w:val="299B2F8E"/>
    <w:rsid w:val="2A656BDD"/>
    <w:rsid w:val="2B3758CC"/>
    <w:rsid w:val="2D8E342B"/>
    <w:rsid w:val="2F7E32A4"/>
    <w:rsid w:val="2FA17EA9"/>
    <w:rsid w:val="2FA94298"/>
    <w:rsid w:val="3038011D"/>
    <w:rsid w:val="33E74334"/>
    <w:rsid w:val="34D53DCC"/>
    <w:rsid w:val="360867E3"/>
    <w:rsid w:val="37901F95"/>
    <w:rsid w:val="389E51DD"/>
    <w:rsid w:val="3C3D6ABB"/>
    <w:rsid w:val="3FA1356F"/>
    <w:rsid w:val="402B2AD3"/>
    <w:rsid w:val="410127AD"/>
    <w:rsid w:val="4151744D"/>
    <w:rsid w:val="41F6287E"/>
    <w:rsid w:val="447C2876"/>
    <w:rsid w:val="4530540F"/>
    <w:rsid w:val="46942B37"/>
    <w:rsid w:val="46E14C12"/>
    <w:rsid w:val="484F4807"/>
    <w:rsid w:val="49C64593"/>
    <w:rsid w:val="4B6C5492"/>
    <w:rsid w:val="4DCE3A17"/>
    <w:rsid w:val="524627CB"/>
    <w:rsid w:val="554051FA"/>
    <w:rsid w:val="58F82833"/>
    <w:rsid w:val="591E690E"/>
    <w:rsid w:val="59684D1F"/>
    <w:rsid w:val="5A0E58C7"/>
    <w:rsid w:val="5A341B8C"/>
    <w:rsid w:val="5A7F0572"/>
    <w:rsid w:val="5C482626"/>
    <w:rsid w:val="5C5F68AD"/>
    <w:rsid w:val="5D7642EB"/>
    <w:rsid w:val="5E2F649B"/>
    <w:rsid w:val="5EB56C59"/>
    <w:rsid w:val="5F1831E1"/>
    <w:rsid w:val="60EF060C"/>
    <w:rsid w:val="62C70400"/>
    <w:rsid w:val="632C5992"/>
    <w:rsid w:val="64213253"/>
    <w:rsid w:val="64FD07FE"/>
    <w:rsid w:val="652C579B"/>
    <w:rsid w:val="65302639"/>
    <w:rsid w:val="657B0B0E"/>
    <w:rsid w:val="666351EC"/>
    <w:rsid w:val="66E4125A"/>
    <w:rsid w:val="6BE54C14"/>
    <w:rsid w:val="6D1D11EE"/>
    <w:rsid w:val="6FE40133"/>
    <w:rsid w:val="70973A51"/>
    <w:rsid w:val="71CC729E"/>
    <w:rsid w:val="72233A82"/>
    <w:rsid w:val="724172C5"/>
    <w:rsid w:val="736F3422"/>
    <w:rsid w:val="75306BE1"/>
    <w:rsid w:val="75CD27F0"/>
    <w:rsid w:val="75DA7B9A"/>
    <w:rsid w:val="76530DD9"/>
    <w:rsid w:val="7D7F3DDE"/>
    <w:rsid w:val="7FD4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2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9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1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8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3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30"/>
    <w:autoRedefine/>
    <w:qFormat/>
    <w:uiPriority w:val="0"/>
    <w:rPr>
      <w:b/>
      <w:bCs/>
    </w:rPr>
  </w:style>
  <w:style w:type="character" w:styleId="13">
    <w:name w:val="FollowedHyperlink"/>
    <w:basedOn w:val="12"/>
    <w:autoRedefine/>
    <w:semiHidden/>
    <w:unhideWhenUsed/>
    <w:qFormat/>
    <w:uiPriority w:val="0"/>
    <w:rPr>
      <w:color w:val="800080"/>
      <w:u w:val="single"/>
    </w:rPr>
  </w:style>
  <w:style w:type="character" w:styleId="14">
    <w:name w:val="Hyperlink"/>
    <w:basedOn w:val="12"/>
    <w:autoRedefine/>
    <w:unhideWhenUsed/>
    <w:qFormat/>
    <w:uiPriority w:val="0"/>
    <w:rPr>
      <w:color w:val="0000FF"/>
      <w:u w:val="single"/>
    </w:rPr>
  </w:style>
  <w:style w:type="character" w:styleId="15">
    <w:name w:val="annotation reference"/>
    <w:basedOn w:val="12"/>
    <w:autoRedefine/>
    <w:qFormat/>
    <w:uiPriority w:val="0"/>
    <w:rPr>
      <w:sz w:val="21"/>
      <w:szCs w:val="21"/>
    </w:rPr>
  </w:style>
  <w:style w:type="character" w:styleId="16">
    <w:name w:val="footnote reference"/>
    <w:basedOn w:val="12"/>
    <w:autoRedefine/>
    <w:semiHidden/>
    <w:unhideWhenUsed/>
    <w:qFormat/>
    <w:uiPriority w:val="0"/>
    <w:rPr>
      <w:vertAlign w:val="superscript"/>
    </w:rPr>
  </w:style>
  <w:style w:type="paragraph" w:customStyle="1" w:styleId="17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8">
    <w:name w:val="正文1"/>
    <w:basedOn w:val="1"/>
    <w:link w:val="19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9">
    <w:name w:val="正文1 Char"/>
    <w:link w:val="18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20">
    <w:name w:val="Pa0"/>
    <w:basedOn w:val="1"/>
    <w:next w:val="1"/>
    <w:link w:val="35"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1">
    <w:name w:val="A0"/>
    <w:qFormat/>
    <w:uiPriority w:val="99"/>
    <w:rPr>
      <w:rFonts w:cs="Lantinghei SC"/>
      <w:color w:val="000000"/>
      <w:sz w:val="36"/>
      <w:szCs w:val="36"/>
    </w:rPr>
  </w:style>
  <w:style w:type="character" w:customStyle="1" w:styleId="22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3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4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5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7">
    <w:name w:val="页眉 字符"/>
    <w:basedOn w:val="12"/>
    <w:link w:val="8"/>
    <w:autoRedefine/>
    <w:qFormat/>
    <w:uiPriority w:val="0"/>
    <w:rPr>
      <w:kern w:val="2"/>
      <w:sz w:val="18"/>
      <w:szCs w:val="18"/>
    </w:rPr>
  </w:style>
  <w:style w:type="character" w:customStyle="1" w:styleId="28">
    <w:name w:val="页脚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9">
    <w:name w:val="批注文字 字符"/>
    <w:basedOn w:val="12"/>
    <w:link w:val="4"/>
    <w:autoRedefine/>
    <w:qFormat/>
    <w:uiPriority w:val="0"/>
    <w:rPr>
      <w:kern w:val="2"/>
      <w:sz w:val="21"/>
      <w:szCs w:val="22"/>
    </w:rPr>
  </w:style>
  <w:style w:type="character" w:customStyle="1" w:styleId="30">
    <w:name w:val="批注主题 字符"/>
    <w:basedOn w:val="29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3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  <w:style w:type="character" w:customStyle="1" w:styleId="32">
    <w:name w:val="标题 2 字符"/>
    <w:basedOn w:val="12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3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4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5">
    <w:name w:val="Pa0 字符"/>
    <w:basedOn w:val="12"/>
    <w:link w:val="20"/>
    <w:autoRedefine/>
    <w:qFormat/>
    <w:uiPriority w:val="99"/>
    <w:rPr>
      <w:rFonts w:ascii="Lantinghei SC" w:eastAsia="Lantinghei SC"/>
      <w:sz w:val="24"/>
      <w:szCs w:val="24"/>
    </w:rPr>
  </w:style>
  <w:style w:type="paragraph" w:customStyle="1" w:styleId="36">
    <w:name w:val="概念"/>
    <w:basedOn w:val="1"/>
    <w:link w:val="37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7">
    <w:name w:val="概念 字符"/>
    <w:basedOn w:val="12"/>
    <w:link w:val="36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8">
    <w:name w:val="标题 1 字符"/>
    <w:basedOn w:val="12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9">
    <w:name w:val="黑框2"/>
    <w:basedOn w:val="1"/>
    <w:link w:val="40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40">
    <w:name w:val="黑框2 字符"/>
    <w:basedOn w:val="12"/>
    <w:link w:val="39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1">
    <w:name w:val="方框"/>
    <w:basedOn w:val="20"/>
    <w:link w:val="42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2">
    <w:name w:val="方框 字符"/>
    <w:basedOn w:val="35"/>
    <w:link w:val="41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3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4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5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6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E07C8D-FD7C-4449-9670-65B12AFEB8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256</Words>
  <Characters>1461</Characters>
  <Lines>12</Lines>
  <Paragraphs>3</Paragraphs>
  <TotalTime>41</TotalTime>
  <ScaleCrop>false</ScaleCrop>
  <LinksUpToDate>false</LinksUpToDate>
  <CharactersWithSpaces>1714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2023-12-23T12:27:00Z</dcterms:created>
  <dc:creator>123</dc:creator>
  <cp:lastModifiedBy>陈国永</cp:lastModifiedBy>
  <cp:lastPrinted>2023-12-28T10:54:00Z</cp:lastPrinted>
  <dcterms:modified xsi:type="dcterms:W3CDTF">2024-01-23T11:05:14Z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37A78E2847714587AB2C4C2BE0EB2C79_13</vt:lpwstr>
  </property>
</Properties>
</file>