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numPr>
          <w:ilvl w:val="-1"/>
          <w:numId w:val="0"/>
        </w:numPr>
        <w:ind w:left="-498" w:firstLine="1928" w:firstLineChars="600"/>
        <w:rPr>
          <w:rStyle w:val="20"/>
          <w:rFonts w:ascii="黑体" w:hAnsi="黑体" w:eastAsia="黑体"/>
          <w:b/>
          <w:kern w:val="2"/>
          <w:sz w:val="32"/>
          <w:szCs w:val="32"/>
        </w:rPr>
      </w:pPr>
      <w:bookmarkStart w:id="1" w:name="_GoBack"/>
      <w:bookmarkEnd w:id="1"/>
      <w:r>
        <w:rPr>
          <w:rStyle w:val="20"/>
          <w:rFonts w:hint="eastAsia" w:ascii="黑体" w:hAnsi="黑体" w:eastAsia="黑体"/>
          <w:b/>
          <w:sz w:val="32"/>
          <w:szCs w:val="32"/>
        </w:rPr>
        <w:t>青光眼患者健康教育处方（202</w:t>
      </w:r>
      <w:r>
        <w:rPr>
          <w:rStyle w:val="20"/>
          <w:rFonts w:ascii="黑体" w:hAnsi="黑体" w:eastAsia="黑体"/>
          <w:b/>
          <w:sz w:val="32"/>
          <w:szCs w:val="32"/>
        </w:rPr>
        <w:t>3</w:t>
      </w:r>
      <w:r>
        <w:rPr>
          <w:rStyle w:val="20"/>
          <w:rFonts w:hint="eastAsia" w:ascii="黑体" w:hAnsi="黑体" w:eastAsia="黑体"/>
          <w:b/>
          <w:sz w:val="32"/>
          <w:szCs w:val="32"/>
        </w:rPr>
        <w:t>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1TdSzSAAAABgEAAA8AAAAAAAAAAQAgAAAAIgAAAGRycy9kb3ducmV2LnhtbFBLAQIUABQA&#10;AAAIAIdO4kCSz2WZ9gEAAPEDAAAOAAAAAAAAAAEAIAAAACEBAABkcnMvZTJvRG9jLnhtbFBLBQYA&#10;AAAABgAGAFkBAACJBQAAAAA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9"/>
        <w:numPr>
          <w:ilvl w:val="-1"/>
          <w:numId w:val="0"/>
        </w:numPr>
        <w:ind w:left="0" w:firstLine="840" w:firstLineChars="300"/>
        <w:rPr>
          <w:rStyle w:val="23"/>
          <w:rFonts w:ascii="仿宋_GB2312" w:eastAsia="仿宋_GB2312" w:cs="华文楷体" w:hAnsiTheme="minorEastAsia"/>
          <w:b/>
          <w:kern w:val="2"/>
          <w:sz w:val="32"/>
          <w:szCs w:val="28"/>
        </w:rPr>
      </w:pPr>
      <w:r>
        <w:rPr>
          <w:rStyle w:val="21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3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2"/>
        <w:snapToGrid w:val="0"/>
        <w:spacing w:after="40" w:line="288" w:lineRule="auto"/>
        <w:ind w:firstLine="480" w:firstLineChars="200"/>
        <w:rPr>
          <w:rStyle w:val="23"/>
          <w:rFonts w:ascii="楷体" w:eastAsia="楷体" w:cs="华文楷体"/>
          <w:bCs/>
          <w:sz w:val="24"/>
          <w:szCs w:val="24"/>
        </w:rPr>
      </w:pPr>
      <w:r>
        <w:rPr>
          <w:rStyle w:val="23"/>
          <w:rFonts w:hint="eastAsia" w:ascii="楷体" w:eastAsia="楷体" w:cs="华文楷体"/>
          <w:bCs/>
          <w:sz w:val="24"/>
          <w:szCs w:val="24"/>
        </w:rPr>
        <w:t xml:space="preserve"> 青光眼</w:t>
      </w:r>
      <w:r>
        <w:rPr>
          <w:rStyle w:val="23"/>
          <w:rFonts w:hint="eastAsia" w:ascii="楷体" w:eastAsia="楷体" w:cs="华文楷体"/>
          <w:bCs/>
          <w:color w:val="auto"/>
          <w:sz w:val="24"/>
          <w:szCs w:val="24"/>
        </w:rPr>
        <w:t>是全球首位不</w:t>
      </w:r>
      <w:r>
        <w:rPr>
          <w:rStyle w:val="23"/>
          <w:rFonts w:hint="eastAsia" w:ascii="楷体" w:eastAsia="楷体" w:cs="华文楷体"/>
          <w:bCs/>
          <w:sz w:val="24"/>
          <w:szCs w:val="24"/>
        </w:rPr>
        <w:t>可逆性致盲眼病，表现为视神经萎缩和视野（视物范围）缺损，随着疾病的进展，视物的范围会越来越小。眼压增高是青光眼最主要的危险因素。青光眼主要发生于4</w:t>
      </w:r>
      <w:r>
        <w:rPr>
          <w:rStyle w:val="23"/>
          <w:rFonts w:ascii="楷体" w:eastAsia="楷体" w:cs="华文楷体"/>
          <w:bCs/>
          <w:sz w:val="24"/>
          <w:szCs w:val="24"/>
        </w:rPr>
        <w:t>0</w:t>
      </w:r>
      <w:r>
        <w:rPr>
          <w:rStyle w:val="23"/>
          <w:rFonts w:hint="eastAsia" w:ascii="楷体" w:eastAsia="楷体" w:cs="华文楷体"/>
          <w:bCs/>
          <w:sz w:val="24"/>
          <w:szCs w:val="24"/>
        </w:rPr>
        <w:t xml:space="preserve">岁以上人群，但从新生儿到老年人的各年龄段均可以患病。 </w:t>
      </w:r>
    </w:p>
    <w:p>
      <w:pPr>
        <w:pStyle w:val="22"/>
        <w:snapToGrid w:val="0"/>
        <w:spacing w:after="40" w:line="288" w:lineRule="auto"/>
        <w:ind w:firstLine="480" w:firstLineChars="200"/>
        <w:rPr>
          <w:rStyle w:val="23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3"/>
          <w:rFonts w:hint="eastAsia" w:ascii="楷体" w:eastAsia="楷体" w:cs="华文楷体"/>
          <w:bCs/>
          <w:sz w:val="24"/>
          <w:szCs w:val="24"/>
        </w:rPr>
        <w:t>原发性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急性闭角型青光眼</w:t>
      </w:r>
      <w:r>
        <w:rPr>
          <w:rStyle w:val="23"/>
          <w:rFonts w:hint="eastAsia" w:ascii="楷体" w:eastAsia="楷体" w:cs="华文楷体"/>
          <w:bCs/>
          <w:sz w:val="24"/>
          <w:szCs w:val="24"/>
        </w:rPr>
        <w:t>由于突然急剧的眼压升高可引起视力下降、眼睛胀痛、鼻根部酸胀、同侧头痛，可伴恶心、呕吐等，如果不及时控制眼压，在较短时间内可以致盲，需通过及时有效的治疗挽救视力。而其余缺乏明显症状的青光眼表现为眼压缓慢升高，或眼压始终处于正常范围，要通过主动的筛查或体检（眼压和眼底照相等）才能及时发现青光眼。</w:t>
      </w:r>
      <w:r>
        <w:rPr>
          <w:rStyle w:val="23"/>
          <w:rFonts w:hint="eastAsia" w:ascii="楷体" w:eastAsia="楷体" w:cs="华文楷体"/>
          <w:bCs/>
          <w:kern w:val="2"/>
          <w:sz w:val="24"/>
          <w:szCs w:val="24"/>
        </w:rPr>
        <w:t>同时，相当比例的青光眼为双眼发病，不可放松对“视力较好眼”的检查。</w:t>
      </w:r>
    </w:p>
    <w:p>
      <w:pPr>
        <w:pStyle w:val="22"/>
        <w:snapToGrid w:val="0"/>
        <w:spacing w:after="40" w:line="288" w:lineRule="auto"/>
        <w:ind w:firstLine="480" w:firstLineChars="200"/>
        <w:jc w:val="both"/>
        <w:rPr>
          <w:rFonts w:ascii="楷体" w:hAnsi="楷体" w:eastAsia="楷体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青光眼可防可治，</w:t>
      </w:r>
      <w:r>
        <w:rPr>
          <w:rStyle w:val="23"/>
          <w:rFonts w:hint="eastAsia" w:ascii="楷体" w:eastAsia="楷体" w:cs="华文楷体"/>
          <w:bCs/>
          <w:sz w:val="24"/>
          <w:szCs w:val="24"/>
        </w:rPr>
        <w:t>早期发现和及时治疗可以有效延缓或阻止疾病进展。</w:t>
      </w:r>
      <w:r>
        <w:rPr>
          <w:rStyle w:val="23"/>
          <w:rFonts w:hint="eastAsia" w:ascii="楷体" w:eastAsia="楷体" w:cs="华文楷体"/>
          <w:bCs/>
          <w:kern w:val="2"/>
          <w:sz w:val="24"/>
          <w:szCs w:val="24"/>
        </w:rPr>
        <w:t>青光眼属于慢性疾病，其治疗是一个连续的、终身的过程。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积极治疗，采取健康生活方式，有助于延缓青光眼的发生和发展，可以长久保持有用的生活视力，改善生活质量。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-1"/>
                                <w:numId w:val="0"/>
                              </w:numPr>
                              <w:spacing w:line="240" w:lineRule="auto"/>
                              <w:ind w:left="-233" w:leftChars="-111" w:firstLine="0" w:firstLineChars="0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K4/jPD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numPr>
                          <w:ilvl w:val="-1"/>
                          <w:numId w:val="0"/>
                        </w:numPr>
                        <w:spacing w:line="240" w:lineRule="auto"/>
                        <w:ind w:left="-233" w:leftChars="-111" w:firstLine="0" w:firstLineChars="0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19"/>
      </w:pPr>
      <w:r>
        <w:rPr>
          <w:rFonts w:hint="eastAsia"/>
        </w:rPr>
        <w:t>急性闭角型青光眼患者，避免在昏暗的环境中持续用眼，如关灯看手机、电脑和电视等电子屏幕，以及暗室下看电影等。</w:t>
      </w:r>
    </w:p>
    <w:p>
      <w:pPr>
        <w:pStyle w:val="19"/>
      </w:pPr>
      <w:r>
        <w:rPr>
          <w:rFonts w:hint="eastAsia"/>
        </w:rPr>
        <w:t>急性闭角型青光眼患者，</w:t>
      </w:r>
      <w:r>
        <w:rPr>
          <w:rStyle w:val="23"/>
          <w:rFonts w:hint="eastAsia" w:ascii="楷体" w:eastAsia="楷体" w:cs="华文楷体"/>
          <w:sz w:val="24"/>
          <w:szCs w:val="24"/>
        </w:rPr>
        <w:t>避免情绪过度激动，保持心情轻松舒畅。</w:t>
      </w:r>
    </w:p>
    <w:p>
      <w:pPr>
        <w:pStyle w:val="19"/>
      </w:pPr>
      <w:r>
        <w:rPr>
          <w:rFonts w:hint="eastAsia"/>
        </w:rPr>
        <w:t>急性闭角型青光眼患者，慎用抗精神疾病药物，需专业医师指导下使用。</w:t>
      </w:r>
    </w:p>
    <w:p>
      <w:pPr>
        <w:pStyle w:val="19"/>
      </w:pPr>
      <w:r>
        <w:rPr>
          <w:rFonts w:hint="eastAsia"/>
        </w:rPr>
        <w:t>避免长时间近距离用眼，如阅读、看手机或电脑、近距离工作等。</w:t>
      </w:r>
    </w:p>
    <w:p>
      <w:pPr>
        <w:pStyle w:val="19"/>
        <w:rPr>
          <w:rStyle w:val="23"/>
          <w:rFonts w:ascii="楷体" w:eastAsia="楷体" w:cs="华文楷体"/>
          <w:sz w:val="24"/>
          <w:szCs w:val="24"/>
        </w:rPr>
      </w:pPr>
      <w:r>
        <w:rPr>
          <w:rStyle w:val="23"/>
          <w:rFonts w:hint="eastAsia" w:ascii="楷体" w:eastAsia="楷体" w:cs="华文楷体"/>
          <w:sz w:val="24"/>
          <w:szCs w:val="24"/>
        </w:rPr>
        <w:t>保证睡眠充足，规律作息，避免过度劳累。</w:t>
      </w:r>
    </w:p>
    <w:p>
      <w:pPr>
        <w:pStyle w:val="19"/>
        <w:rPr>
          <w:rStyle w:val="23"/>
          <w:rFonts w:hint="eastAsia" w:ascii="仿宋" w:hAnsi="仿宋" w:eastAsia="仿宋" w:cs="仿宋"/>
          <w:color w:val="auto"/>
          <w:sz w:val="24"/>
          <w:szCs w:val="24"/>
        </w:rPr>
      </w:pPr>
      <w:r>
        <w:rPr>
          <w:rStyle w:val="23"/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在身体</w:t>
      </w:r>
      <w:r>
        <w:rPr>
          <w:rStyle w:val="23"/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条件</w:t>
      </w:r>
      <w:r>
        <w:rPr>
          <w:rStyle w:val="23"/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允许的情况下，每天进行约20分钟的有氧活动，</w:t>
      </w:r>
      <w:r>
        <w:rPr>
          <w:rStyle w:val="23"/>
          <w:rFonts w:hint="eastAsia" w:ascii="仿宋" w:hAnsi="仿宋" w:eastAsia="仿宋" w:cs="仿宋"/>
          <w:sz w:val="24"/>
          <w:szCs w:val="24"/>
        </w:rPr>
        <w:t>如慢跑、</w:t>
      </w:r>
      <w:r>
        <w:rPr>
          <w:rStyle w:val="23"/>
          <w:rFonts w:hint="eastAsia" w:ascii="仿宋" w:hAnsi="仿宋" w:eastAsia="仿宋" w:cs="仿宋"/>
          <w:sz w:val="24"/>
          <w:szCs w:val="24"/>
          <w:lang w:eastAsia="zh-CN"/>
        </w:rPr>
        <w:t>快</w:t>
      </w:r>
      <w:r>
        <w:rPr>
          <w:rStyle w:val="23"/>
          <w:rFonts w:hint="eastAsia" w:ascii="仿宋" w:hAnsi="仿宋" w:eastAsia="仿宋" w:cs="仿宋"/>
          <w:sz w:val="24"/>
          <w:szCs w:val="24"/>
        </w:rPr>
        <w:t>走</w:t>
      </w:r>
      <w:r>
        <w:rPr>
          <w:rStyle w:val="23"/>
          <w:rFonts w:hint="eastAsia" w:ascii="仿宋" w:hAnsi="仿宋" w:eastAsia="仿宋" w:cs="仿宋"/>
          <w:sz w:val="24"/>
          <w:szCs w:val="24"/>
          <w:lang w:eastAsia="zh-CN"/>
        </w:rPr>
        <w:t>、骑自行车</w:t>
      </w:r>
      <w:r>
        <w:rPr>
          <w:rStyle w:val="23"/>
          <w:rFonts w:hint="eastAsia" w:ascii="仿宋" w:hAnsi="仿宋" w:eastAsia="仿宋" w:cs="仿宋"/>
          <w:sz w:val="24"/>
          <w:szCs w:val="24"/>
        </w:rPr>
        <w:t>等。</w:t>
      </w:r>
    </w:p>
    <w:p>
      <w:pPr>
        <w:pStyle w:val="19"/>
      </w:pPr>
      <w:r>
        <w:rPr>
          <w:rFonts w:hint="eastAsia"/>
        </w:rPr>
        <w:t>避免一次性快速大量饮水，一次饮水量不宜超过3</w:t>
      </w:r>
      <w:r>
        <w:t>00</w:t>
      </w:r>
      <w:r>
        <w:rPr>
          <w:rFonts w:hint="eastAsia"/>
        </w:rPr>
        <w:t>ml。</w:t>
      </w:r>
    </w:p>
    <w:p>
      <w:pPr>
        <w:pStyle w:val="19"/>
      </w:pPr>
      <w:r>
        <w:rPr>
          <w:rFonts w:hint="eastAsia"/>
        </w:rPr>
        <w:t>积极治疗心血管疾病、高血压、糖尿病等。</w:t>
      </w:r>
    </w:p>
    <w:p>
      <w:pPr>
        <w:pStyle w:val="19"/>
      </w:pPr>
      <w:r>
        <w:rPr>
          <w:rFonts w:hint="eastAsia"/>
        </w:rPr>
        <w:t>不饮酒，不吸烟（吸烟者戒烟），避免接触二手烟。</w:t>
      </w:r>
    </w:p>
    <w:p>
      <w:pPr>
        <w:pStyle w:val="19"/>
      </w:pPr>
      <w:r>
        <w:rPr>
          <w:rFonts w:hint="eastAsia"/>
        </w:rPr>
        <w:t>尽量避免饮用浓茶、咖啡，不吃辛辣刺激性食物。</w:t>
      </w:r>
    </w:p>
    <w:p>
      <w:pPr>
        <w:pStyle w:val="19"/>
      </w:pPr>
      <w:r>
        <w:rPr>
          <w:rFonts w:hint="eastAsia"/>
        </w:rPr>
        <w:t>避免配戴颜色过深的太阳镜和墨镜。</w:t>
      </w:r>
    </w:p>
    <w:p>
      <w:pPr>
        <w:pStyle w:val="19"/>
      </w:pPr>
      <w:r>
        <w:rPr>
          <w:rFonts w:hint="eastAsia"/>
        </w:rPr>
        <w:t>清淡低盐低脂饮食，多食用蔬菜、粗粮等富含纤维素的食物，避免大便干结。</w:t>
      </w:r>
    </w:p>
    <w:p>
      <w:pPr>
        <w:pStyle w:val="19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bookmarkStart w:id="0" w:name="_Hlk154152936"/>
      <w:r>
        <w:rPr>
          <w:rFonts w:hint="eastAsia" w:ascii="楷体" w:hAnsi="楷体" w:eastAsia="楷体"/>
          <w:sz w:val="24"/>
          <w:szCs w:val="24"/>
        </w:rPr>
        <w:t>遵医嘱坚持长期使用降眼压药物，了解治疗目标及目标眼压，不要自行停药或调整药物，以免加重病情或引起药物副反应。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遵医嘱按照一定的时间间隔定期复查，监测病情进展，监测药物不良反应。</w:t>
      </w:r>
      <w:bookmarkEnd w:id="0"/>
      <w:r>
        <w:rPr>
          <w:rFonts w:hint="eastAsia" w:ascii="楷体" w:hAnsi="楷体" w:eastAsia="楷体"/>
          <w:sz w:val="24"/>
          <w:szCs w:val="24"/>
        </w:rPr>
        <w:t xml:space="preserve"> 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先天性青光眼治疗需联合视觉康复训练。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继发性青光眼治疗需同时积极治疗原发疾病。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color w:val="00B05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进行青光眼外滤过手术后，如小梁切除术等，需长期维护眼部的滤过泡，遵医嘱进行眼球按摩。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进行Schlemm管相关手术后，若出现高眼压，需在2个月内密切监测眼压变化。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青光眼联合白内障手术的患者，视力有一定比例的提高，容易造成疾病被完全治愈的假象，更需要定期复查。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采用房角分离术治疗的患者，仍需要定期进行眼压和房角的评估。</w:t>
      </w:r>
    </w:p>
    <w:p>
      <w:pPr>
        <w:pStyle w:val="25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合并糖尿病、高血压、高血脂等患者应积极控制血糖、血压、血脂。</w:t>
      </w:r>
    </w:p>
    <w:p>
      <w:pPr>
        <w:pStyle w:val="2"/>
        <w:spacing w:before="156" w:after="156" w:line="288" w:lineRule="auto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●急症处理</w:t>
      </w:r>
    </w:p>
    <w:p>
      <w:pPr>
        <w:pStyle w:val="19"/>
        <w:rPr>
          <w:rStyle w:val="23"/>
          <w:rFonts w:ascii="楷体" w:eastAsia="楷体" w:cs="华文楷体" w:hAnsiTheme="minorHAnsi"/>
          <w:kern w:val="2"/>
          <w:sz w:val="24"/>
          <w:szCs w:val="24"/>
        </w:rPr>
      </w:pPr>
      <w:r>
        <w:rPr>
          <w:rStyle w:val="23"/>
          <w:rFonts w:hint="eastAsia" w:ascii="楷体" w:eastAsia="楷体" w:cs="华文楷体"/>
          <w:sz w:val="24"/>
          <w:szCs w:val="24"/>
        </w:rPr>
        <w:t>如病情加重，尤其出现下列情况，应尽快到医院就诊：</w:t>
      </w:r>
    </w:p>
    <w:p>
      <w:pPr>
        <w:pStyle w:val="38"/>
        <w:numPr>
          <w:ilvl w:val="0"/>
          <w:numId w:val="2"/>
        </w:numPr>
        <w:spacing w:line="288" w:lineRule="auto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有突然发生的眼部胀痛、头痛、视力下降伴或不伴恶心、呕吐等情况，</w:t>
      </w:r>
      <w:r>
        <w:rPr>
          <w:rFonts w:hint="eastAsia" w:ascii="楷体" w:hAnsi="楷体" w:eastAsia="楷体"/>
          <w:szCs w:val="24"/>
        </w:rPr>
        <w:t>特别是在夜间发生的情况下，不要等到天亮才去看病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。 </w:t>
      </w:r>
    </w:p>
    <w:p>
      <w:pPr>
        <w:pStyle w:val="38"/>
        <w:numPr>
          <w:ilvl w:val="0"/>
          <w:numId w:val="2"/>
        </w:numPr>
        <w:spacing w:line="288" w:lineRule="auto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青光眼术后出现明显的眼红眼痛、视力下降、流泪，眼球变软或变硬，可能发生了术后并发症，需尽快就医。</w:t>
      </w:r>
    </w:p>
    <w:p>
      <w:pPr>
        <w:pStyle w:val="38"/>
        <w:numPr>
          <w:ilvl w:val="0"/>
          <w:numId w:val="2"/>
        </w:numPr>
        <w:spacing w:line="288" w:lineRule="auto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看灯时旁边出现彩色的光晕。</w:t>
      </w:r>
    </w:p>
    <w:p>
      <w:pPr>
        <w:pStyle w:val="38"/>
        <w:numPr>
          <w:ilvl w:val="0"/>
          <w:numId w:val="2"/>
        </w:numPr>
        <w:spacing w:line="240" w:lineRule="auto"/>
        <w:ind w:left="420" w:firstLine="0"/>
        <w:rPr>
          <w:szCs w:val="24"/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视物范围明显缩小。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0" b="0"/>
                <wp:docPr id="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numPr>
                                <w:ilvl w:val="-1"/>
                                <w:numId w:val="0"/>
                              </w:numPr>
                              <w:ind w:left="0" w:firstLine="321" w:firstLineChars="100"/>
                              <w:jc w:val="both"/>
                              <w:rPr>
                                <w:rFonts w:cs="华文中宋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4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  <w:lang w:val="en-US" w:eastAsia="zh-CN"/>
                              </w:rPr>
                              <w:t xml:space="preserve">              </w:t>
                            </w:r>
                            <w:r>
                              <w:rPr>
                                <w:rStyle w:val="24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Bf0LTI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numPr>
                          <w:ilvl w:val="-1"/>
                          <w:numId w:val="0"/>
                        </w:numPr>
                        <w:ind w:left="0" w:firstLine="321" w:firstLineChars="100"/>
                        <w:jc w:val="both"/>
                        <w:rPr>
                          <w:rFonts w:cs="华文中宋"/>
                          <w:sz w:val="36"/>
                          <w:szCs w:val="28"/>
                        </w:rPr>
                      </w:pPr>
                      <w:r>
                        <w:rPr>
                          <w:rStyle w:val="24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  <w:lang w:val="en-US" w:eastAsia="zh-CN"/>
                        </w:rPr>
                        <w:t xml:space="preserve">              </w:t>
                      </w:r>
                      <w:r>
                        <w:rPr>
                          <w:rStyle w:val="24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1"/>
          <w:rFonts w:cs="华文楷体" w:asciiTheme="minorEastAsia" w:hAnsiTheme="minorEastAsia"/>
          <w:sz w:val="24"/>
          <w:szCs w:val="24"/>
        </w:rPr>
      </w:pPr>
      <w:r>
        <w:rPr>
          <w:rStyle w:val="21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>
      <w:pPr>
        <w:pStyle w:val="19"/>
        <w:numPr>
          <w:ilvl w:val="-1"/>
          <w:numId w:val="0"/>
        </w:numPr>
        <w:ind w:left="0" w:firstLine="2409" w:firstLineChars="1000"/>
        <w:rPr>
          <w:b/>
          <w:bCs/>
        </w:rPr>
      </w:pPr>
      <w:r>
        <w:rPr>
          <w:rFonts w:hint="eastAsia"/>
          <w:b/>
          <w:bCs/>
        </w:rPr>
        <w:t>青光眼患者健康教育处方使用说明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青光眼患者。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ind w:firstLine="420" w:firstLineChars="2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ind w:firstLine="420" w:firstLineChars="2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antinghei SC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ingFang SC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pStyle w:val="19"/>
      <w:lvlText w:val="□"/>
      <w:lvlJc w:val="left"/>
      <w:pPr>
        <w:ind w:left="420" w:hanging="420"/>
      </w:pPr>
      <w:rPr>
        <w:rFonts w:hint="default" w:ascii="宋体" w:hAnsi="宋体" w:eastAsia="宋体" w:cs="宋体"/>
      </w:rPr>
    </w:lvl>
  </w:abstractNum>
  <w:abstractNum w:abstractNumId="1">
    <w:nsid w:val="7F8C6A1E"/>
    <w:multiLevelType w:val="multilevel"/>
    <w:tmpl w:val="7F8C6A1E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10862"/>
    <w:rsid w:val="00020834"/>
    <w:rsid w:val="000219E9"/>
    <w:rsid w:val="0002290B"/>
    <w:rsid w:val="00033A51"/>
    <w:rsid w:val="00037C12"/>
    <w:rsid w:val="000454EB"/>
    <w:rsid w:val="00050B6C"/>
    <w:rsid w:val="00051CB7"/>
    <w:rsid w:val="0005326A"/>
    <w:rsid w:val="00062731"/>
    <w:rsid w:val="000664DC"/>
    <w:rsid w:val="000767FF"/>
    <w:rsid w:val="00086C09"/>
    <w:rsid w:val="000953F8"/>
    <w:rsid w:val="00096486"/>
    <w:rsid w:val="000968A0"/>
    <w:rsid w:val="000A081C"/>
    <w:rsid w:val="000A3303"/>
    <w:rsid w:val="000B4584"/>
    <w:rsid w:val="000B7BAF"/>
    <w:rsid w:val="000C5E05"/>
    <w:rsid w:val="000D3202"/>
    <w:rsid w:val="000D6DE2"/>
    <w:rsid w:val="000D7999"/>
    <w:rsid w:val="000E48C5"/>
    <w:rsid w:val="00112C87"/>
    <w:rsid w:val="001176CB"/>
    <w:rsid w:val="001228F7"/>
    <w:rsid w:val="001246F7"/>
    <w:rsid w:val="00125A2C"/>
    <w:rsid w:val="00127E32"/>
    <w:rsid w:val="00135FC5"/>
    <w:rsid w:val="00144185"/>
    <w:rsid w:val="00153CFB"/>
    <w:rsid w:val="0015437F"/>
    <w:rsid w:val="001604E9"/>
    <w:rsid w:val="00183492"/>
    <w:rsid w:val="00190DEA"/>
    <w:rsid w:val="0019108F"/>
    <w:rsid w:val="00195440"/>
    <w:rsid w:val="001968C0"/>
    <w:rsid w:val="001A10AB"/>
    <w:rsid w:val="001A45EC"/>
    <w:rsid w:val="001C05EF"/>
    <w:rsid w:val="001C237D"/>
    <w:rsid w:val="001C4112"/>
    <w:rsid w:val="001E77B4"/>
    <w:rsid w:val="001E7B5C"/>
    <w:rsid w:val="001F2F69"/>
    <w:rsid w:val="001F3099"/>
    <w:rsid w:val="001F5579"/>
    <w:rsid w:val="002103B7"/>
    <w:rsid w:val="00226A23"/>
    <w:rsid w:val="0023761D"/>
    <w:rsid w:val="00242583"/>
    <w:rsid w:val="00246902"/>
    <w:rsid w:val="00270856"/>
    <w:rsid w:val="00272FA5"/>
    <w:rsid w:val="0027622D"/>
    <w:rsid w:val="0028168B"/>
    <w:rsid w:val="0028690A"/>
    <w:rsid w:val="002A6E9C"/>
    <w:rsid w:val="002B00C6"/>
    <w:rsid w:val="002B24A8"/>
    <w:rsid w:val="002C1596"/>
    <w:rsid w:val="002D7407"/>
    <w:rsid w:val="002E7B6F"/>
    <w:rsid w:val="002F05DC"/>
    <w:rsid w:val="002F1C6D"/>
    <w:rsid w:val="002F3B8E"/>
    <w:rsid w:val="00313637"/>
    <w:rsid w:val="00322BB2"/>
    <w:rsid w:val="00326B1B"/>
    <w:rsid w:val="00330FBE"/>
    <w:rsid w:val="003328BC"/>
    <w:rsid w:val="00333AB7"/>
    <w:rsid w:val="003345C0"/>
    <w:rsid w:val="00336609"/>
    <w:rsid w:val="0034087D"/>
    <w:rsid w:val="00345A9B"/>
    <w:rsid w:val="00350E88"/>
    <w:rsid w:val="00351318"/>
    <w:rsid w:val="00354584"/>
    <w:rsid w:val="00361499"/>
    <w:rsid w:val="00361BCB"/>
    <w:rsid w:val="00362B4E"/>
    <w:rsid w:val="00362B58"/>
    <w:rsid w:val="003668B4"/>
    <w:rsid w:val="00367313"/>
    <w:rsid w:val="00367D1D"/>
    <w:rsid w:val="003711C9"/>
    <w:rsid w:val="00372596"/>
    <w:rsid w:val="003810A0"/>
    <w:rsid w:val="003856B3"/>
    <w:rsid w:val="003903C7"/>
    <w:rsid w:val="0039412E"/>
    <w:rsid w:val="003A1470"/>
    <w:rsid w:val="003A51B7"/>
    <w:rsid w:val="003A5F28"/>
    <w:rsid w:val="003A7294"/>
    <w:rsid w:val="003A7E1F"/>
    <w:rsid w:val="003B4EC5"/>
    <w:rsid w:val="003C0BEA"/>
    <w:rsid w:val="003C5938"/>
    <w:rsid w:val="003C63CB"/>
    <w:rsid w:val="003C6F58"/>
    <w:rsid w:val="003D255E"/>
    <w:rsid w:val="003E06DE"/>
    <w:rsid w:val="003E2D7E"/>
    <w:rsid w:val="0040169B"/>
    <w:rsid w:val="00403940"/>
    <w:rsid w:val="0040610E"/>
    <w:rsid w:val="004238C3"/>
    <w:rsid w:val="004260F6"/>
    <w:rsid w:val="004406E0"/>
    <w:rsid w:val="004422B7"/>
    <w:rsid w:val="004445E5"/>
    <w:rsid w:val="00447CA1"/>
    <w:rsid w:val="00453574"/>
    <w:rsid w:val="00457275"/>
    <w:rsid w:val="004646E7"/>
    <w:rsid w:val="00475B4A"/>
    <w:rsid w:val="004760B1"/>
    <w:rsid w:val="00477ACB"/>
    <w:rsid w:val="00477AE2"/>
    <w:rsid w:val="0048086C"/>
    <w:rsid w:val="00482311"/>
    <w:rsid w:val="0048735F"/>
    <w:rsid w:val="0049252A"/>
    <w:rsid w:val="004A040C"/>
    <w:rsid w:val="004A2725"/>
    <w:rsid w:val="004A2890"/>
    <w:rsid w:val="004A361A"/>
    <w:rsid w:val="004B6C60"/>
    <w:rsid w:val="004D1C19"/>
    <w:rsid w:val="004D42CA"/>
    <w:rsid w:val="004D6016"/>
    <w:rsid w:val="004E2EAB"/>
    <w:rsid w:val="004E5692"/>
    <w:rsid w:val="00510C74"/>
    <w:rsid w:val="005142E2"/>
    <w:rsid w:val="00517DFB"/>
    <w:rsid w:val="00526679"/>
    <w:rsid w:val="0054387C"/>
    <w:rsid w:val="00544FBE"/>
    <w:rsid w:val="00573A19"/>
    <w:rsid w:val="00576579"/>
    <w:rsid w:val="005836FC"/>
    <w:rsid w:val="005848FC"/>
    <w:rsid w:val="00592C17"/>
    <w:rsid w:val="00597E19"/>
    <w:rsid w:val="005A7C3C"/>
    <w:rsid w:val="005B1E2A"/>
    <w:rsid w:val="005B2DF5"/>
    <w:rsid w:val="005C3D35"/>
    <w:rsid w:val="005C57C4"/>
    <w:rsid w:val="005D464F"/>
    <w:rsid w:val="005D5546"/>
    <w:rsid w:val="005E356A"/>
    <w:rsid w:val="005F2F22"/>
    <w:rsid w:val="006026B5"/>
    <w:rsid w:val="0061067E"/>
    <w:rsid w:val="00616B69"/>
    <w:rsid w:val="00627E1D"/>
    <w:rsid w:val="006377EA"/>
    <w:rsid w:val="00637B3D"/>
    <w:rsid w:val="0064054D"/>
    <w:rsid w:val="006516D7"/>
    <w:rsid w:val="00654886"/>
    <w:rsid w:val="006609A6"/>
    <w:rsid w:val="006675B8"/>
    <w:rsid w:val="006678C1"/>
    <w:rsid w:val="006728C4"/>
    <w:rsid w:val="00673381"/>
    <w:rsid w:val="0067385E"/>
    <w:rsid w:val="00676F6A"/>
    <w:rsid w:val="00681F02"/>
    <w:rsid w:val="00682D1E"/>
    <w:rsid w:val="00686894"/>
    <w:rsid w:val="006A18E6"/>
    <w:rsid w:val="006A2324"/>
    <w:rsid w:val="006A7B12"/>
    <w:rsid w:val="006B0535"/>
    <w:rsid w:val="006B7AD7"/>
    <w:rsid w:val="006D13A7"/>
    <w:rsid w:val="006E5A1C"/>
    <w:rsid w:val="006F1C1B"/>
    <w:rsid w:val="006F1DB9"/>
    <w:rsid w:val="006F7B32"/>
    <w:rsid w:val="00720DC4"/>
    <w:rsid w:val="00721E70"/>
    <w:rsid w:val="00722BE6"/>
    <w:rsid w:val="0073025A"/>
    <w:rsid w:val="00735B6C"/>
    <w:rsid w:val="00735BFE"/>
    <w:rsid w:val="00746622"/>
    <w:rsid w:val="00756A86"/>
    <w:rsid w:val="00757A24"/>
    <w:rsid w:val="00762E6B"/>
    <w:rsid w:val="00775433"/>
    <w:rsid w:val="007775A1"/>
    <w:rsid w:val="007875C3"/>
    <w:rsid w:val="007965C8"/>
    <w:rsid w:val="007A02CE"/>
    <w:rsid w:val="007A608D"/>
    <w:rsid w:val="007A73EB"/>
    <w:rsid w:val="007B12F4"/>
    <w:rsid w:val="007B1C67"/>
    <w:rsid w:val="007B52E7"/>
    <w:rsid w:val="007B6179"/>
    <w:rsid w:val="007B74EB"/>
    <w:rsid w:val="007C1509"/>
    <w:rsid w:val="007C576F"/>
    <w:rsid w:val="007C6F39"/>
    <w:rsid w:val="007D6D9C"/>
    <w:rsid w:val="007E0FF5"/>
    <w:rsid w:val="007F430D"/>
    <w:rsid w:val="0080529D"/>
    <w:rsid w:val="00823E7E"/>
    <w:rsid w:val="00832341"/>
    <w:rsid w:val="008349B5"/>
    <w:rsid w:val="00845ECC"/>
    <w:rsid w:val="00851E26"/>
    <w:rsid w:val="008520DA"/>
    <w:rsid w:val="008609DD"/>
    <w:rsid w:val="00860C9E"/>
    <w:rsid w:val="0086596C"/>
    <w:rsid w:val="00880F50"/>
    <w:rsid w:val="00897805"/>
    <w:rsid w:val="008A1F1E"/>
    <w:rsid w:val="008A22A9"/>
    <w:rsid w:val="008B41F9"/>
    <w:rsid w:val="008B62F9"/>
    <w:rsid w:val="008B645B"/>
    <w:rsid w:val="008D1550"/>
    <w:rsid w:val="008D2898"/>
    <w:rsid w:val="008D3711"/>
    <w:rsid w:val="008D37C4"/>
    <w:rsid w:val="008D4E27"/>
    <w:rsid w:val="008D5365"/>
    <w:rsid w:val="008D70B7"/>
    <w:rsid w:val="008E37FB"/>
    <w:rsid w:val="00902214"/>
    <w:rsid w:val="00910A7D"/>
    <w:rsid w:val="00914879"/>
    <w:rsid w:val="0091635D"/>
    <w:rsid w:val="00942AA4"/>
    <w:rsid w:val="009443A6"/>
    <w:rsid w:val="00944577"/>
    <w:rsid w:val="009453F5"/>
    <w:rsid w:val="00955176"/>
    <w:rsid w:val="00963341"/>
    <w:rsid w:val="00966355"/>
    <w:rsid w:val="00967AB4"/>
    <w:rsid w:val="00971B0B"/>
    <w:rsid w:val="0097251F"/>
    <w:rsid w:val="00974A83"/>
    <w:rsid w:val="00975340"/>
    <w:rsid w:val="00995581"/>
    <w:rsid w:val="00995A4D"/>
    <w:rsid w:val="0099702F"/>
    <w:rsid w:val="009A3D2E"/>
    <w:rsid w:val="009A73EF"/>
    <w:rsid w:val="009B3062"/>
    <w:rsid w:val="009B535F"/>
    <w:rsid w:val="009C4DB8"/>
    <w:rsid w:val="009C7624"/>
    <w:rsid w:val="009E68E7"/>
    <w:rsid w:val="009F269D"/>
    <w:rsid w:val="009F318E"/>
    <w:rsid w:val="009F51EA"/>
    <w:rsid w:val="00A4523A"/>
    <w:rsid w:val="00A46B25"/>
    <w:rsid w:val="00A52553"/>
    <w:rsid w:val="00A63510"/>
    <w:rsid w:val="00A6393D"/>
    <w:rsid w:val="00A65139"/>
    <w:rsid w:val="00A654AC"/>
    <w:rsid w:val="00A80442"/>
    <w:rsid w:val="00A82C20"/>
    <w:rsid w:val="00A83B57"/>
    <w:rsid w:val="00A906DF"/>
    <w:rsid w:val="00A92DAA"/>
    <w:rsid w:val="00A93EBD"/>
    <w:rsid w:val="00AA0979"/>
    <w:rsid w:val="00AB2B42"/>
    <w:rsid w:val="00AB7840"/>
    <w:rsid w:val="00AC6CDB"/>
    <w:rsid w:val="00AD1A3A"/>
    <w:rsid w:val="00AD5D8C"/>
    <w:rsid w:val="00AE0FFE"/>
    <w:rsid w:val="00AE1C6A"/>
    <w:rsid w:val="00AE1DC6"/>
    <w:rsid w:val="00AE1EF7"/>
    <w:rsid w:val="00AE1FFF"/>
    <w:rsid w:val="00AE6071"/>
    <w:rsid w:val="00AF526D"/>
    <w:rsid w:val="00B05F69"/>
    <w:rsid w:val="00B12739"/>
    <w:rsid w:val="00B13D36"/>
    <w:rsid w:val="00B17C92"/>
    <w:rsid w:val="00B2002C"/>
    <w:rsid w:val="00B27F22"/>
    <w:rsid w:val="00B52A44"/>
    <w:rsid w:val="00B553C1"/>
    <w:rsid w:val="00B679D7"/>
    <w:rsid w:val="00B71839"/>
    <w:rsid w:val="00B72640"/>
    <w:rsid w:val="00B83F58"/>
    <w:rsid w:val="00B90506"/>
    <w:rsid w:val="00BA03B4"/>
    <w:rsid w:val="00BA4124"/>
    <w:rsid w:val="00BA6859"/>
    <w:rsid w:val="00BB51D0"/>
    <w:rsid w:val="00BC030B"/>
    <w:rsid w:val="00BC5AB0"/>
    <w:rsid w:val="00BC5B76"/>
    <w:rsid w:val="00BE007E"/>
    <w:rsid w:val="00BE2C0D"/>
    <w:rsid w:val="00BE51EB"/>
    <w:rsid w:val="00BF3192"/>
    <w:rsid w:val="00C023DA"/>
    <w:rsid w:val="00C07558"/>
    <w:rsid w:val="00C07D9A"/>
    <w:rsid w:val="00C11D9E"/>
    <w:rsid w:val="00C178F3"/>
    <w:rsid w:val="00C2552C"/>
    <w:rsid w:val="00C257CC"/>
    <w:rsid w:val="00C3191A"/>
    <w:rsid w:val="00C354D2"/>
    <w:rsid w:val="00C35AB9"/>
    <w:rsid w:val="00C6553A"/>
    <w:rsid w:val="00C71555"/>
    <w:rsid w:val="00C749FC"/>
    <w:rsid w:val="00C76703"/>
    <w:rsid w:val="00C815D5"/>
    <w:rsid w:val="00C85DA7"/>
    <w:rsid w:val="00C87219"/>
    <w:rsid w:val="00C94C53"/>
    <w:rsid w:val="00CA1BAB"/>
    <w:rsid w:val="00CA7CF0"/>
    <w:rsid w:val="00CB6FD4"/>
    <w:rsid w:val="00CB7194"/>
    <w:rsid w:val="00CC6F43"/>
    <w:rsid w:val="00CD0814"/>
    <w:rsid w:val="00CD2F40"/>
    <w:rsid w:val="00CD68B6"/>
    <w:rsid w:val="00CE162D"/>
    <w:rsid w:val="00CE4F20"/>
    <w:rsid w:val="00CE6007"/>
    <w:rsid w:val="00CF34A5"/>
    <w:rsid w:val="00CF3895"/>
    <w:rsid w:val="00CF3B05"/>
    <w:rsid w:val="00CF4AC3"/>
    <w:rsid w:val="00CF5868"/>
    <w:rsid w:val="00CF6F63"/>
    <w:rsid w:val="00D11665"/>
    <w:rsid w:val="00D16C42"/>
    <w:rsid w:val="00D27BF6"/>
    <w:rsid w:val="00D30219"/>
    <w:rsid w:val="00D45579"/>
    <w:rsid w:val="00D46856"/>
    <w:rsid w:val="00D47250"/>
    <w:rsid w:val="00D47343"/>
    <w:rsid w:val="00D62DFA"/>
    <w:rsid w:val="00D80074"/>
    <w:rsid w:val="00D80664"/>
    <w:rsid w:val="00D80722"/>
    <w:rsid w:val="00D878FF"/>
    <w:rsid w:val="00D974AB"/>
    <w:rsid w:val="00DB0A71"/>
    <w:rsid w:val="00DB1DD3"/>
    <w:rsid w:val="00DC09CB"/>
    <w:rsid w:val="00DC45AE"/>
    <w:rsid w:val="00DC5075"/>
    <w:rsid w:val="00DD5562"/>
    <w:rsid w:val="00DE7BD9"/>
    <w:rsid w:val="00E01BEC"/>
    <w:rsid w:val="00E038C8"/>
    <w:rsid w:val="00E058E0"/>
    <w:rsid w:val="00E05E99"/>
    <w:rsid w:val="00E05F03"/>
    <w:rsid w:val="00E27D87"/>
    <w:rsid w:val="00E34844"/>
    <w:rsid w:val="00E35CDE"/>
    <w:rsid w:val="00E446E2"/>
    <w:rsid w:val="00E507BA"/>
    <w:rsid w:val="00E5429D"/>
    <w:rsid w:val="00E6142D"/>
    <w:rsid w:val="00E64D44"/>
    <w:rsid w:val="00E65623"/>
    <w:rsid w:val="00E87C61"/>
    <w:rsid w:val="00EA7077"/>
    <w:rsid w:val="00EB596B"/>
    <w:rsid w:val="00EB704C"/>
    <w:rsid w:val="00ED447D"/>
    <w:rsid w:val="00ED7C1C"/>
    <w:rsid w:val="00EF19A9"/>
    <w:rsid w:val="00EF1F0E"/>
    <w:rsid w:val="00F16D60"/>
    <w:rsid w:val="00F1783C"/>
    <w:rsid w:val="00F27D03"/>
    <w:rsid w:val="00F33C6A"/>
    <w:rsid w:val="00F444A3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876C2"/>
    <w:rsid w:val="00FB3465"/>
    <w:rsid w:val="00FB6AEA"/>
    <w:rsid w:val="00FC0CAF"/>
    <w:rsid w:val="00FC1CBD"/>
    <w:rsid w:val="00FD1A11"/>
    <w:rsid w:val="00FE0DE2"/>
    <w:rsid w:val="00FE50BD"/>
    <w:rsid w:val="00FE77B1"/>
    <w:rsid w:val="00FF497C"/>
    <w:rsid w:val="00FF5BB0"/>
    <w:rsid w:val="021D673F"/>
    <w:rsid w:val="03BC5C45"/>
    <w:rsid w:val="03D335B8"/>
    <w:rsid w:val="092D4D1C"/>
    <w:rsid w:val="097C2FD5"/>
    <w:rsid w:val="10DC1BF3"/>
    <w:rsid w:val="11F40163"/>
    <w:rsid w:val="16B25250"/>
    <w:rsid w:val="1A0F7D57"/>
    <w:rsid w:val="1A673727"/>
    <w:rsid w:val="1BA76FD1"/>
    <w:rsid w:val="1E2E0CE6"/>
    <w:rsid w:val="24527C2C"/>
    <w:rsid w:val="27953250"/>
    <w:rsid w:val="28C630A2"/>
    <w:rsid w:val="299B2F8E"/>
    <w:rsid w:val="2A656BDD"/>
    <w:rsid w:val="2B844FB6"/>
    <w:rsid w:val="2D8E342B"/>
    <w:rsid w:val="2F7E32A4"/>
    <w:rsid w:val="2FA17EA9"/>
    <w:rsid w:val="31B70C10"/>
    <w:rsid w:val="3A4A7B5E"/>
    <w:rsid w:val="42156510"/>
    <w:rsid w:val="43217136"/>
    <w:rsid w:val="438D693D"/>
    <w:rsid w:val="45686605"/>
    <w:rsid w:val="484F4807"/>
    <w:rsid w:val="4B6C5492"/>
    <w:rsid w:val="524627CB"/>
    <w:rsid w:val="52F67C97"/>
    <w:rsid w:val="555E190B"/>
    <w:rsid w:val="5A341B8C"/>
    <w:rsid w:val="5C482626"/>
    <w:rsid w:val="5D7642EB"/>
    <w:rsid w:val="5E2F649B"/>
    <w:rsid w:val="62180D10"/>
    <w:rsid w:val="62C70400"/>
    <w:rsid w:val="632C5992"/>
    <w:rsid w:val="697946D4"/>
    <w:rsid w:val="6D1D11EE"/>
    <w:rsid w:val="6F0551DE"/>
    <w:rsid w:val="6FE40133"/>
    <w:rsid w:val="71877459"/>
    <w:rsid w:val="71CC729E"/>
    <w:rsid w:val="722A3062"/>
    <w:rsid w:val="724172C5"/>
    <w:rsid w:val="7A1008CF"/>
    <w:rsid w:val="7AF5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0"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2"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29"/>
    <w:qFormat/>
    <w:uiPriority w:val="0"/>
    <w:rPr>
      <w:b/>
      <w:bCs/>
    </w:rPr>
  </w:style>
  <w:style w:type="character" w:styleId="13">
    <w:name w:val="Hyperlink"/>
    <w:autoRedefine/>
    <w:qFormat/>
    <w:uiPriority w:val="0"/>
    <w:rPr>
      <w:u w:val="single"/>
    </w:rPr>
  </w:style>
  <w:style w:type="character" w:styleId="14">
    <w:name w:val="annotation reference"/>
    <w:basedOn w:val="12"/>
    <w:autoRedefine/>
    <w:qFormat/>
    <w:uiPriority w:val="0"/>
    <w:rPr>
      <w:sz w:val="21"/>
      <w:szCs w:val="21"/>
    </w:rPr>
  </w:style>
  <w:style w:type="character" w:styleId="15">
    <w:name w:val="footnote reference"/>
    <w:basedOn w:val="12"/>
    <w:autoRedefine/>
    <w:semiHidden/>
    <w:unhideWhenUsed/>
    <w:qFormat/>
    <w:uiPriority w:val="0"/>
    <w:rPr>
      <w:vertAlign w:val="superscript"/>
    </w:rPr>
  </w:style>
  <w:style w:type="paragraph" w:customStyle="1" w:styleId="16">
    <w:name w:val="副标题1"/>
    <w:basedOn w:val="1"/>
    <w:qFormat/>
    <w:uiPriority w:val="0"/>
    <w:rPr>
      <w:sz w:val="22"/>
      <w:lang w:eastAsia="en-US"/>
    </w:rPr>
  </w:style>
  <w:style w:type="paragraph" w:customStyle="1" w:styleId="17">
    <w:name w:val="正文1"/>
    <w:basedOn w:val="1"/>
    <w:link w:val="18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8">
    <w:name w:val="正文1 Char"/>
    <w:link w:val="17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9">
    <w:name w:val="Pa0"/>
    <w:basedOn w:val="1"/>
    <w:next w:val="1"/>
    <w:link w:val="34"/>
    <w:autoRedefine/>
    <w:qFormat/>
    <w:uiPriority w:val="99"/>
    <w:pPr>
      <w:numPr>
        <w:ilvl w:val="0"/>
        <w:numId w:val="1"/>
      </w:numPr>
      <w:autoSpaceDE w:val="0"/>
      <w:autoSpaceDN w:val="0"/>
      <w:adjustRightInd w:val="0"/>
      <w:snapToGrid w:val="0"/>
      <w:spacing w:after="0" w:line="288" w:lineRule="auto"/>
    </w:pPr>
    <w:rPr>
      <w:rFonts w:ascii="楷体" w:hAnsi="楷体" w:eastAsia="楷体" w:cs="仿宋"/>
      <w:kern w:val="0"/>
      <w:sz w:val="24"/>
      <w:szCs w:val="24"/>
    </w:rPr>
  </w:style>
  <w:style w:type="character" w:customStyle="1" w:styleId="20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1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2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3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4">
    <w:name w:val="A2"/>
    <w:qFormat/>
    <w:uiPriority w:val="99"/>
    <w:rPr>
      <w:rFonts w:cs="Lantinghei SC"/>
      <w:color w:val="000000"/>
      <w:sz w:val="30"/>
      <w:szCs w:val="30"/>
    </w:rPr>
  </w:style>
  <w:style w:type="paragraph" w:styleId="2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6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27">
    <w:name w:val="页脚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28">
    <w:name w:val="批注文字 Char"/>
    <w:basedOn w:val="12"/>
    <w:link w:val="4"/>
    <w:qFormat/>
    <w:uiPriority w:val="0"/>
    <w:rPr>
      <w:kern w:val="2"/>
      <w:sz w:val="21"/>
      <w:szCs w:val="22"/>
    </w:rPr>
  </w:style>
  <w:style w:type="character" w:customStyle="1" w:styleId="29">
    <w:name w:val="批注主题 Char"/>
    <w:basedOn w:val="28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30">
    <w:name w:val="批注框文本 Char"/>
    <w:basedOn w:val="12"/>
    <w:link w:val="6"/>
    <w:qFormat/>
    <w:uiPriority w:val="0"/>
    <w:rPr>
      <w:kern w:val="2"/>
      <w:sz w:val="18"/>
      <w:szCs w:val="18"/>
    </w:rPr>
  </w:style>
  <w:style w:type="character" w:customStyle="1" w:styleId="31">
    <w:name w:val="标题 2 Char"/>
    <w:basedOn w:val="12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2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3">
    <w:name w:val="列出段落6"/>
    <w:basedOn w:val="1"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4">
    <w:name w:val="Pa0 字符"/>
    <w:basedOn w:val="12"/>
    <w:link w:val="19"/>
    <w:autoRedefine/>
    <w:qFormat/>
    <w:uiPriority w:val="99"/>
    <w:rPr>
      <w:rFonts w:ascii="楷体" w:hAnsi="楷体" w:eastAsia="楷体" w:cs="仿宋"/>
      <w:sz w:val="24"/>
      <w:szCs w:val="24"/>
    </w:rPr>
  </w:style>
  <w:style w:type="paragraph" w:customStyle="1" w:styleId="35">
    <w:name w:val="概念"/>
    <w:basedOn w:val="1"/>
    <w:link w:val="36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6">
    <w:name w:val="概念 字符"/>
    <w:basedOn w:val="12"/>
    <w:link w:val="35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7">
    <w:name w:val="标题 1 Char"/>
    <w:basedOn w:val="12"/>
    <w:link w:val="2"/>
    <w:autoRedefine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8">
    <w:name w:val="黑框2"/>
    <w:basedOn w:val="1"/>
    <w:link w:val="39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9">
    <w:name w:val="黑框2 字符"/>
    <w:basedOn w:val="12"/>
    <w:link w:val="38"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0">
    <w:name w:val="方框"/>
    <w:basedOn w:val="19"/>
    <w:link w:val="41"/>
    <w:qFormat/>
    <w:uiPriority w:val="0"/>
    <w:pPr>
      <w:spacing w:line="300" w:lineRule="auto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1">
    <w:name w:val="方框 字符"/>
    <w:basedOn w:val="34"/>
    <w:link w:val="40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2">
    <w:name w:val="脚注文本 Char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3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默认"/>
    <w:qFormat/>
    <w:uiPriority w:val="0"/>
    <w:pPr>
      <w:spacing w:before="160" w:line="288" w:lineRule="auto"/>
    </w:pPr>
    <w:rPr>
      <w:rFonts w:ascii="PingFang SC Regular" w:hAnsi="PingFang SC Regular" w:eastAsia="PingFang SC Regular" w:cs="PingFang SC Regular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E9CC43-DCC2-49B7-BCCF-BD5BEEE8B9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277</Words>
  <Characters>1582</Characters>
  <Lines>13</Lines>
  <Paragraphs>3</Paragraphs>
  <TotalTime>2</TotalTime>
  <ScaleCrop>false</ScaleCrop>
  <LinksUpToDate>false</LinksUpToDate>
  <CharactersWithSpaces>1856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2023-12-21T01:05:00Z</dcterms:created>
  <dc:creator>123</dc:creator>
  <cp:lastModifiedBy>陈国永</cp:lastModifiedBy>
  <cp:lastPrinted>2023-12-27T10:30:00Z</cp:lastPrinted>
  <dcterms:modified xsi:type="dcterms:W3CDTF">2024-01-24T02:01:53Z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3161D3ADC46248D690DAD673BE7B5BE1_13</vt:lpwstr>
  </property>
</Properties>
</file>