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spacing w:after="0" w:line="240" w:lineRule="auto"/>
        <w:ind w:left="-498" w:leftChars="-237"/>
        <w:jc w:val="center"/>
        <w:rPr>
          <w:rStyle w:val="20"/>
          <w:rFonts w:ascii="黑体" w:hAnsi="黑体" w:eastAsia="黑体"/>
          <w:b/>
          <w:sz w:val="32"/>
          <w:szCs w:val="32"/>
        </w:rPr>
      </w:pPr>
      <w:r>
        <w:rPr>
          <w:rStyle w:val="20"/>
          <w:rFonts w:hint="eastAsia" w:ascii="黑体" w:hAnsi="黑体" w:eastAsia="黑体"/>
          <w:b/>
          <w:sz w:val="32"/>
          <w:szCs w:val="32"/>
          <w:lang w:val="en-US" w:eastAsia="zh-CN"/>
        </w:rPr>
        <w:t xml:space="preserve">   </w:t>
      </w:r>
      <w:r>
        <w:rPr>
          <w:rStyle w:val="20"/>
          <w:rFonts w:hint="eastAsia" w:ascii="黑体" w:hAnsi="黑体" w:eastAsia="黑体"/>
          <w:b/>
          <w:sz w:val="32"/>
          <w:szCs w:val="32"/>
        </w:rPr>
        <w:t>胃食管反流病患者健康教育处方（2023年版）</w: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71755</wp:posOffset>
                </wp:positionV>
                <wp:extent cx="5218430" cy="0"/>
                <wp:effectExtent l="0" t="9525" r="1270" b="9525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843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0.15pt;margin-top:5.65pt;height:0pt;width:410.9pt;z-index:251660288;mso-width-relative:page;mso-height-relative:page;" filled="f" stroked="t" coordsize="21600,21600" o:gfxdata="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1TdSzSAAAABgEAAA8AAAAAAAAAAQAgAAAAIgAAAGRycy9kb3ducmV2LnhtbFBLAQIUABQA&#10;AAAIAIdO4kCSz2WZ9gEAAPEDAAAOAAAAAAAAAAEAIAAAACEBAABkcnMvZTJvRG9jLnhtbFBLBQYA&#10;AAAABgAGAFkBAACJBQAAAAA=&#10;">
                <v:fill on="f" focussize="0,0"/>
                <v:stroke weight="1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19"/>
        <w:spacing w:line="240" w:lineRule="auto"/>
        <w:ind w:firstLine="560"/>
        <w:rPr>
          <w:rStyle w:val="23"/>
          <w:rFonts w:ascii="仿宋_GB2312" w:eastAsia="仿宋_GB2312" w:cs="华文楷体" w:hAnsiTheme="minorEastAsia"/>
          <w:b/>
          <w:sz w:val="32"/>
          <w:szCs w:val="28"/>
        </w:rPr>
      </w:pPr>
      <w:r>
        <w:rPr>
          <w:rStyle w:val="21"/>
          <w:rFonts w:hint="eastAsia" w:ascii="仿宋_GB2312" w:eastAsia="仿宋_GB2312" w:cs="华文楷体" w:hAnsiTheme="minorEastAsia"/>
          <w:szCs w:val="24"/>
        </w:rPr>
        <w:t>姓名：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  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性别：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>年龄：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  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>诊断：</w:t>
      </w:r>
      <w:r>
        <w:rPr>
          <w:rStyle w:val="23"/>
          <w:rFonts w:hint="eastAsia" w:ascii="仿宋_GB2312" w:eastAsia="仿宋_GB2312" w:cs="华文楷体" w:hAnsiTheme="minorEastAsia"/>
          <w:b/>
          <w:sz w:val="32"/>
          <w:szCs w:val="28"/>
        </w:rPr>
        <w:t xml:space="preserve"> </w:t>
      </w:r>
    </w:p>
    <w:p>
      <w:pPr>
        <w:pStyle w:val="22"/>
        <w:snapToGrid w:val="0"/>
        <w:spacing w:after="0" w:line="288" w:lineRule="auto"/>
        <w:ind w:firstLine="482" w:firstLineChars="200"/>
        <w:jc w:val="both"/>
        <w:rPr>
          <w:rStyle w:val="23"/>
          <w:rFonts w:ascii="楷体" w:hAnsi="楷体" w:eastAsia="楷体" w:cs="华文楷体"/>
          <w:bCs/>
          <w:kern w:val="2"/>
          <w:sz w:val="24"/>
          <w:szCs w:val="24"/>
        </w:rPr>
      </w:pPr>
      <w:r>
        <w:rPr>
          <w:rStyle w:val="23"/>
          <w:rFonts w:hint="eastAsia" w:ascii="楷体" w:hAnsi="楷体" w:eastAsia="楷体" w:cs="华文楷体"/>
          <w:b/>
          <w:kern w:val="2"/>
          <w:sz w:val="24"/>
          <w:szCs w:val="24"/>
        </w:rPr>
        <w:t>胃食管反流病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是一种常见的消化道疾病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  <w:lang w:eastAsia="zh-CN"/>
        </w:rPr>
        <w:t>，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指胃十二指肠内容物反流入食管引起反酸、烧心等症状，反流也可引起口腔、咽喉、气道等食管邻近的组织损害，出现哮喘、慢性咳嗽、特发性肺纤维化、声嘶、咽喉炎和牙蚀症等。</w:t>
      </w:r>
    </w:p>
    <w:p>
      <w:pPr>
        <w:pStyle w:val="22"/>
        <w:snapToGrid w:val="0"/>
        <w:spacing w:after="0" w:line="288" w:lineRule="auto"/>
        <w:ind w:firstLine="480" w:firstLineChars="200"/>
        <w:jc w:val="both"/>
        <w:rPr>
          <w:rStyle w:val="23"/>
          <w:rFonts w:ascii="楷体" w:hAnsi="楷体" w:eastAsia="楷体" w:cs="华文楷体"/>
          <w:bCs/>
          <w:kern w:val="2"/>
          <w:sz w:val="24"/>
          <w:szCs w:val="24"/>
        </w:rPr>
      </w:pP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胃食管反流病与胃酸、胃蛋白酶及胆汁等反流物刺激食管有直接关系，很多因素可导致食管下括约肌功能障碍，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  <w:lang w:val="en-US" w:eastAsia="zh-CN"/>
        </w:rPr>
        <w:t>进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而导致异常反流。如贲门切除术后、食管裂孔疝、腹内压增高（妊娠、肥胖、腹水等）均可导致食管下括约肌结构受损；某些激素（如缩胆囊素、胰高血糖素、血管活性肠肽等）、食物（如高脂肪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  <w:lang w:eastAsia="zh-CN"/>
        </w:rPr>
        <w:t>食物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、巧克力等）、药物（如钙通道阻滞剂、地西泮等）可导致食管下括约肌结构功能异常；某些引起食管蠕动异常或唾液分泌异常的疾病，可导致食管清除反流物功能降低；长期吸烟、饮酒及进食刺激性食物等可使食管黏膜抵御反流物损害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  <w:lang w:eastAsia="zh-CN"/>
        </w:rPr>
        <w:t>的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能力下降。</w:t>
      </w:r>
    </w:p>
    <w:p>
      <w:pPr>
        <w:pStyle w:val="22"/>
        <w:snapToGrid w:val="0"/>
        <w:spacing w:after="0" w:line="288" w:lineRule="auto"/>
        <w:ind w:firstLine="480" w:firstLineChars="200"/>
        <w:jc w:val="both"/>
        <w:rPr>
          <w:rFonts w:ascii="楷体" w:hAnsi="楷体" w:eastAsia="楷体"/>
          <w:highlight w:val="yellow"/>
        </w:rPr>
      </w:pP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改善生活方式是治疗胃食管反流病的基础，应树立治疗信心，控制诱发因素，配合药物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  <w:lang w:eastAsia="zh-CN"/>
        </w:rPr>
        <w:t>、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手术等治疗方式，预防复发和并发症，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  <w:lang w:eastAsia="zh-CN"/>
        </w:rPr>
        <w:t>改善生活质量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。</w:t>
      </w:r>
    </w:p>
    <w:p>
      <w:pPr>
        <w:pStyle w:val="35"/>
        <w:ind w:firstLine="0" w:firstLineChars="0"/>
        <w:rPr>
          <w:rStyle w:val="23"/>
        </w:rPr>
      </w:pPr>
      <w:r>
        <w:rPr>
          <w:rStyle w:val="23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11430" b="9525"/>
                <wp:docPr id="2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19"/>
                              <w:spacing w:line="240" w:lineRule="auto"/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健康指导建议（请关注□中打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“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√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”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条目）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inline>
            </w:drawing>
          </mc:Choice>
          <mc:Fallback>
            <w:pict>
              <v:shape id="文本框 5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to9s/UAAAABAEAAA8AAAAAAAAA&#10;AQAgAAAAIgAAAGRycy9kb3ducmV2LnhtbFBLAQIUABQAAAAIAIdO4kCNHhff3AEAAKoDAAAOAAAA&#10;AAAAAAEAIAAAACMBAABkcnMvZTJvRG9jLnhtbFBLBQYAAAAABgAGAFkBAABx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9"/>
                        <w:spacing w:line="240" w:lineRule="auto"/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健康指导建议（请关注□中打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“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√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”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条目）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2"/>
        <w:spacing w:before="156" w:after="156"/>
      </w:pPr>
      <w:r>
        <w:rPr>
          <w:rStyle w:val="21"/>
          <w:rFonts w:hint="eastAsia" w:cs="华文中宋" w:asciiTheme="minorEastAsia" w:hAnsiTheme="minorEastAsia"/>
        </w:rPr>
        <w:t>●</w:t>
      </w:r>
      <w:r>
        <w:rPr>
          <w:rFonts w:hint="eastAsia"/>
        </w:rPr>
        <w:t>健康生活方式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30"/>
        <w:jc w:val="both"/>
        <w:rPr>
          <w:rFonts w:ascii="楷体" w:hAnsi="楷体" w:eastAsia="楷体"/>
          <w:vertAlign w:val="baseline"/>
        </w:rPr>
      </w:pP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超重或肥胖患者应科学减重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  <w:lang w:eastAsia="zh-CN"/>
        </w:rPr>
        <w:t>。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肥胖会使腹内压增加，诱发胃食管反流。</w:t>
      </w:r>
      <w:r>
        <w:rPr>
          <w:rFonts w:hint="eastAsia" w:ascii="楷体" w:hAnsi="楷体" w:eastAsia="楷体"/>
          <w:sz w:val="24"/>
          <w:szCs w:val="24"/>
          <w:lang w:eastAsia="zh-CN"/>
        </w:rPr>
        <w:t>成年人</w:t>
      </w:r>
      <w:r>
        <w:rPr>
          <w:rFonts w:hint="eastAsia" w:ascii="楷体" w:hAnsi="楷体" w:eastAsia="楷体"/>
          <w:sz w:val="24"/>
          <w:szCs w:val="24"/>
        </w:rPr>
        <w:t>体重指数应控制在18.5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/>
          <w:sz w:val="24"/>
          <w:szCs w:val="24"/>
        </w:rPr>
        <w:t>23.9千克/米</w:t>
      </w:r>
      <w:r>
        <w:rPr>
          <w:rFonts w:ascii="楷体" w:hAnsi="楷体" w:eastAsia="楷体"/>
          <w:sz w:val="24"/>
          <w:szCs w:val="24"/>
          <w:vertAlign w:val="superscript"/>
        </w:rPr>
        <w:t xml:space="preserve"> 2</w:t>
      </w:r>
      <w:r>
        <w:rPr>
          <w:rFonts w:hint="eastAsia" w:ascii="楷体" w:hAnsi="楷体" w:eastAsia="楷体"/>
          <w:sz w:val="24"/>
          <w:szCs w:val="24"/>
        </w:rPr>
        <w:t>［体重指数=体重（千克）/身高（米）</w:t>
      </w:r>
      <w:r>
        <w:rPr>
          <w:rFonts w:ascii="楷体" w:hAnsi="楷体" w:eastAsia="楷体"/>
          <w:sz w:val="24"/>
          <w:szCs w:val="24"/>
          <w:vertAlign w:val="superscript"/>
        </w:rPr>
        <w:t>2</w:t>
      </w:r>
      <w:r>
        <w:rPr>
          <w:rFonts w:hint="eastAsia" w:ascii="楷体" w:hAnsi="楷体" w:eastAsia="楷体"/>
          <w:sz w:val="24"/>
          <w:szCs w:val="24"/>
        </w:rPr>
        <w:t>］</w:t>
      </w:r>
      <w:r>
        <w:rPr>
          <w:rFonts w:hint="eastAsia" w:ascii="楷体" w:hAnsi="楷体" w:eastAsia="楷体"/>
          <w:sz w:val="24"/>
          <w:szCs w:val="24"/>
          <w:lang w:eastAsia="zh-CN"/>
        </w:rPr>
        <w:t>，老年人宜控制在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20.0-26.9</w:t>
      </w:r>
      <w:r>
        <w:rPr>
          <w:rFonts w:hint="eastAsia" w:ascii="楷体" w:hAnsi="楷体" w:eastAsia="楷体"/>
          <w:sz w:val="24"/>
          <w:szCs w:val="24"/>
        </w:rPr>
        <w:t>千克/米</w:t>
      </w:r>
      <w:r>
        <w:rPr>
          <w:rFonts w:ascii="楷体" w:hAnsi="楷体" w:eastAsia="楷体"/>
          <w:sz w:val="24"/>
          <w:szCs w:val="24"/>
          <w:vertAlign w:val="superscript"/>
        </w:rPr>
        <w:t xml:space="preserve"> 2</w:t>
      </w:r>
      <w:r>
        <w:rPr>
          <w:rFonts w:hint="eastAsia" w:ascii="楷体" w:hAnsi="楷体" w:eastAsia="楷体"/>
          <w:sz w:val="24"/>
          <w:szCs w:val="24"/>
          <w:vertAlign w:val="baseline"/>
          <w:lang w:eastAsia="zh-CN"/>
        </w:rPr>
        <w:t>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3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睡眠时抬高床头，一般床头抬高</w:t>
      </w:r>
      <w:r>
        <w:rPr>
          <w:rFonts w:hint="default" w:ascii="Times New Roman" w:hAnsi="Times New Roman" w:eastAsia="楷体" w:cs="Times New Roman"/>
        </w:rPr>
        <w:t>15°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-</w:t>
      </w:r>
      <w:r>
        <w:rPr>
          <w:rFonts w:hint="default" w:ascii="Times New Roman" w:hAnsi="Times New Roman" w:eastAsia="楷体" w:cs="Times New Roman"/>
        </w:rPr>
        <w:t>20°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，以减少反流发生。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3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避免睡前进食，睡前3小时不再进食。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3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避免饮食过多、过快、过饱</w:t>
      </w:r>
      <w:r>
        <w:rPr>
          <w:rFonts w:hint="eastAsia" w:ascii="楷体" w:hAnsi="楷体" w:eastAsia="楷体"/>
          <w:lang w:eastAsia="zh-CN"/>
        </w:rPr>
        <w:t>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3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避免辛辣刺激食物。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3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戒烟、限制饮酒。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3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避免降低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食管下括约肌</w:t>
      </w:r>
      <w:r>
        <w:rPr>
          <w:rFonts w:hint="eastAsia" w:ascii="楷体" w:hAnsi="楷体" w:eastAsia="楷体"/>
        </w:rPr>
        <w:t>压力的食物，如浓茶、咖啡、可乐、巧克力等。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3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避免</w:t>
      </w:r>
      <w:r>
        <w:rPr>
          <w:rFonts w:hint="eastAsia" w:ascii="楷体" w:hAnsi="楷体" w:eastAsia="楷体"/>
          <w:lang w:eastAsia="zh-CN"/>
        </w:rPr>
        <w:t>使用</w:t>
      </w:r>
      <w:r>
        <w:rPr>
          <w:rFonts w:hint="eastAsia" w:ascii="楷体" w:hAnsi="楷体" w:eastAsia="楷体"/>
        </w:rPr>
        <w:t>降低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食管下括约肌</w:t>
      </w:r>
      <w:r>
        <w:rPr>
          <w:rFonts w:hint="eastAsia" w:ascii="楷体" w:hAnsi="楷体" w:eastAsia="楷体"/>
        </w:rPr>
        <w:t>压力和影响胃排空的药物，如硝酸甘油、抗胆碱能药物、茶碱、钙通道阻滞剂等。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3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减少引起腹压增高</w:t>
      </w:r>
      <w:r>
        <w:rPr>
          <w:rFonts w:hint="eastAsia" w:ascii="楷体" w:hAnsi="楷体" w:eastAsia="楷体"/>
          <w:lang w:val="en-US" w:eastAsia="zh-CN"/>
        </w:rPr>
        <w:t>的</w:t>
      </w:r>
      <w:r>
        <w:rPr>
          <w:rFonts w:hint="eastAsia" w:ascii="楷体" w:hAnsi="楷体" w:eastAsia="楷体"/>
        </w:rPr>
        <w:t>因素，如肥胖、便秘</w:t>
      </w:r>
      <w:r>
        <w:rPr>
          <w:rFonts w:hint="eastAsia" w:ascii="楷体" w:hAnsi="楷体" w:eastAsia="楷体"/>
          <w:lang w:eastAsia="zh-CN"/>
        </w:rPr>
        <w:t>，</w:t>
      </w:r>
      <w:r>
        <w:rPr>
          <w:rFonts w:hint="eastAsia" w:ascii="楷体" w:hAnsi="楷体" w:eastAsia="楷体"/>
        </w:rPr>
        <w:t>避免穿紧身衣、长时间弯腰劳作等。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30"/>
        <w:jc w:val="both"/>
        <w:rPr>
          <w:rFonts w:ascii="楷体" w:hAnsi="楷体" w:eastAsia="楷体"/>
        </w:rPr>
      </w:pP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积极治疗便秘、慢性咳嗽等可诱发腹压增加的疾病。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3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  <w:sz w:val="24"/>
          <w:szCs w:val="24"/>
        </w:rPr>
        <w:t>在医生指导下进行适量运动，以不引</w:t>
      </w:r>
      <w:bookmarkStart w:id="0" w:name="_GoBack"/>
      <w:bookmarkEnd w:id="0"/>
      <w:r>
        <w:rPr>
          <w:rFonts w:hint="eastAsia" w:ascii="楷体" w:hAnsi="楷体" w:eastAsia="楷体"/>
          <w:sz w:val="24"/>
          <w:szCs w:val="24"/>
        </w:rPr>
        <w:t>起不适为宜。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3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胃食管反流病病情容易出现慢性迁延反复，应建立战胜疾病的信心，</w:t>
      </w:r>
      <w:r>
        <w:rPr>
          <w:rStyle w:val="23"/>
          <w:rFonts w:hint="eastAsia" w:ascii="楷体" w:hAnsi="楷体" w:eastAsia="楷体" w:cs="华文楷体"/>
          <w:sz w:val="24"/>
          <w:szCs w:val="24"/>
        </w:rPr>
        <w:t>保持心情舒畅，情绪稳定，</w:t>
      </w:r>
      <w:r>
        <w:rPr>
          <w:rFonts w:hint="eastAsia" w:ascii="楷体" w:hAnsi="楷体" w:eastAsia="楷体" w:cs="宋体"/>
        </w:rPr>
        <w:t>减轻精神压力。</w:t>
      </w:r>
    </w:p>
    <w:p>
      <w:pPr>
        <w:pStyle w:val="2"/>
        <w:spacing w:before="156" w:after="156" w:line="288" w:lineRule="auto"/>
        <w:rPr>
          <w:rStyle w:val="21"/>
          <w:rFonts w:ascii="Times New Roman" w:eastAsiaTheme="minorEastAsia" w:cstheme="minorBidi"/>
          <w:color w:val="auto"/>
          <w:szCs w:val="44"/>
        </w:rPr>
      </w:pPr>
      <w:r>
        <w:rPr>
          <w:rStyle w:val="21"/>
          <w:rFonts w:hint="eastAsia" w:ascii="Times New Roman" w:eastAsiaTheme="minorEastAsia" w:cstheme="minorBidi"/>
          <w:color w:val="auto"/>
          <w:szCs w:val="44"/>
        </w:rPr>
        <w:t>●治疗与康复</w:t>
      </w:r>
    </w:p>
    <w:p>
      <w:pPr>
        <w:pStyle w:val="25"/>
        <w:numPr>
          <w:ilvl w:val="0"/>
          <w:numId w:val="1"/>
        </w:numPr>
        <w:spacing w:after="0" w:line="288" w:lineRule="auto"/>
        <w:ind w:left="630"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遵医嘱足量足疗程治疗，不能自行随意减药、停药或调整药物。</w:t>
      </w:r>
    </w:p>
    <w:p>
      <w:pPr>
        <w:pStyle w:val="25"/>
        <w:numPr>
          <w:ilvl w:val="0"/>
          <w:numId w:val="1"/>
        </w:numPr>
        <w:spacing w:after="0" w:line="288" w:lineRule="auto"/>
        <w:ind w:left="630"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需要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坚持</w:t>
      </w:r>
      <w:r>
        <w:rPr>
          <w:rFonts w:hint="eastAsia" w:ascii="楷体" w:hAnsi="楷体" w:eastAsia="楷体"/>
          <w:sz w:val="24"/>
          <w:szCs w:val="24"/>
        </w:rPr>
        <w:t>长期治疗。</w:t>
      </w:r>
    </w:p>
    <w:p>
      <w:pPr>
        <w:pStyle w:val="25"/>
        <w:numPr>
          <w:ilvl w:val="0"/>
          <w:numId w:val="1"/>
        </w:numPr>
        <w:spacing w:after="0" w:line="288" w:lineRule="auto"/>
        <w:ind w:left="630"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在医生指导下定期复查，评估症状复发情况、对抑酸药物治疗反应、生活方式改善情况；</w:t>
      </w:r>
      <w:r>
        <w:rPr>
          <w:rFonts w:ascii="楷体" w:hAnsi="楷体" w:eastAsia="楷体"/>
          <w:sz w:val="24"/>
          <w:szCs w:val="24"/>
        </w:rPr>
        <w:t>体格检查如血压、心率、心律、身高、体重、腰围等。</w:t>
      </w:r>
    </w:p>
    <w:p>
      <w:pPr>
        <w:pStyle w:val="25"/>
        <w:numPr>
          <w:ilvl w:val="0"/>
          <w:numId w:val="1"/>
        </w:numPr>
        <w:spacing w:after="0" w:line="288" w:lineRule="auto"/>
        <w:ind w:left="630"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进行</w:t>
      </w:r>
      <w:r>
        <w:rPr>
          <w:rFonts w:ascii="楷体" w:hAnsi="楷体" w:eastAsia="楷体"/>
          <w:sz w:val="24"/>
          <w:szCs w:val="24"/>
        </w:rPr>
        <w:t>内镜检查</w:t>
      </w:r>
      <w:r>
        <w:rPr>
          <w:rFonts w:hint="eastAsia" w:ascii="楷体" w:hAnsi="楷体" w:eastAsia="楷体"/>
          <w:sz w:val="24"/>
          <w:szCs w:val="24"/>
        </w:rPr>
        <w:t>作为</w:t>
      </w:r>
      <w:r>
        <w:rPr>
          <w:rFonts w:ascii="楷体" w:hAnsi="楷体" w:eastAsia="楷体"/>
          <w:sz w:val="24"/>
          <w:szCs w:val="24"/>
        </w:rPr>
        <w:t>辅助检查。</w:t>
      </w:r>
    </w:p>
    <w:p>
      <w:pPr>
        <w:pStyle w:val="2"/>
        <w:spacing w:before="156" w:after="156" w:line="288" w:lineRule="auto"/>
        <w:rPr>
          <w:rStyle w:val="21"/>
          <w:rFonts w:ascii="Times New Roman" w:eastAsiaTheme="minorEastAsia" w:cstheme="minorBidi"/>
          <w:color w:val="auto"/>
          <w:szCs w:val="44"/>
        </w:rPr>
      </w:pPr>
      <w:r>
        <w:rPr>
          <w:rStyle w:val="21"/>
          <w:rFonts w:hint="eastAsia" w:ascii="Times New Roman" w:eastAsiaTheme="minorEastAsia" w:cstheme="minorBidi"/>
          <w:color w:val="auto"/>
          <w:szCs w:val="44"/>
        </w:rPr>
        <w:t>●急症处理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30"/>
        <w:jc w:val="both"/>
        <w:rPr>
          <w:rStyle w:val="23"/>
          <w:rFonts w:ascii="楷体" w:hAnsi="楷体" w:eastAsia="楷体" w:cs="华文楷体"/>
          <w:kern w:val="2"/>
          <w:sz w:val="24"/>
          <w:szCs w:val="24"/>
        </w:rPr>
      </w:pPr>
      <w:r>
        <w:rPr>
          <w:rStyle w:val="23"/>
          <w:rFonts w:hint="eastAsia" w:ascii="楷体" w:hAnsi="楷体" w:eastAsia="楷体" w:cs="华文楷体"/>
          <w:sz w:val="24"/>
          <w:szCs w:val="24"/>
        </w:rPr>
        <w:t>如病情加重，尤其出现下列情况，应尽快到医院就诊：</w:t>
      </w:r>
    </w:p>
    <w:p>
      <w:pPr>
        <w:pStyle w:val="38"/>
        <w:spacing w:line="288" w:lineRule="auto"/>
        <w:ind w:left="660" w:leftChars="200" w:hanging="240" w:hangingChars="100"/>
        <w:rPr>
          <w:rStyle w:val="23"/>
          <w:rFonts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进行性吞咽困难、吞咽疼痛、体重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明显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减轻、贫血、呕血或黑便等。</w:t>
      </w:r>
    </w:p>
    <w:p>
      <w:pPr>
        <w:pStyle w:val="38"/>
        <w:spacing w:line="288" w:lineRule="auto"/>
        <w:ind w:left="660" w:leftChars="200" w:hanging="240" w:hangingChars="100"/>
        <w:rPr>
          <w:rStyle w:val="23"/>
          <w:rFonts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其他严重情况。</w:t>
      </w:r>
    </w:p>
    <w:p>
      <w:pPr>
        <w:tabs>
          <w:tab w:val="left" w:pos="567"/>
        </w:tabs>
        <w:adjustRightInd w:val="0"/>
        <w:snapToGrid w:val="0"/>
        <w:spacing w:after="0" w:line="240" w:lineRule="auto"/>
        <w:ind w:left="785"/>
        <w:rPr>
          <w:sz w:val="24"/>
          <w:szCs w:val="24"/>
        </w:rPr>
      </w:pPr>
      <w:r>
        <w:rPr>
          <w:rStyle w:val="23"/>
          <w:rFonts w:hint="eastAsia" w:ascii="楷体_GB2312" w:eastAsia="楷体_GB2312" w:cs="华文楷体" w:hAnsiTheme="minorEastAsia"/>
          <w:sz w:val="24"/>
          <w:szCs w:val="24"/>
        </w:rPr>
        <w:t xml:space="preserve"> </w:t>
      </w:r>
    </w:p>
    <w:p>
      <w:pPr>
        <w:pStyle w:val="35"/>
        <w:ind w:firstLine="0" w:firstLineChars="0"/>
        <w:rPr>
          <w:rStyle w:val="23"/>
        </w:rPr>
      </w:pPr>
      <w:r>
        <w:rPr>
          <w:rStyle w:val="23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11430" b="9525"/>
                <wp:docPr id="1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9"/>
                              <w:spacing w:line="240" w:lineRule="auto"/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rStyle w:val="24"/>
                                <w:rFonts w:hint="eastAsia" w:ascii="黑体" w:hAnsi="黑体" w:eastAsia="黑体"/>
                                <w:b/>
                                <w:sz w:val="32"/>
                                <w:shd w:val="clear" w:color="FFFFFF" w:fill="D9D9D9"/>
                              </w:rPr>
                              <w:t>其他指导建议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9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y2j2z9QAAAAEAQAADwAAAAAAAAABACAAAAAiAAAAZHJzL2Rvd25yZXYueG1sUEsB&#10;AhQAFAAAAAgAh07iQLyb50LAAQAAdwMAAA4AAAAAAAAAAQAgAAAAIwEAAGRycy9lMm9Eb2MueG1s&#10;UEsFBgAAAAAGAAYAWQEAAFU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9"/>
                        <w:spacing w:line="240" w:lineRule="auto"/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6"/>
                          <w:szCs w:val="28"/>
                        </w:rPr>
                      </w:pPr>
                      <w:r>
                        <w:rPr>
                          <w:rStyle w:val="24"/>
                          <w:rFonts w:hint="eastAsia" w:ascii="黑体" w:hAnsi="黑体" w:eastAsia="黑体"/>
                          <w:b/>
                          <w:sz w:val="32"/>
                          <w:shd w:val="clear" w:color="FFFFFF" w:fill="D9D9D9"/>
                        </w:rPr>
                        <w:t>其他指导建议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thick"/>
        </w:rPr>
        <w:t xml:space="preserve">                                                                                           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</w:t>
      </w:r>
    </w:p>
    <w:p>
      <w:pPr>
        <w:spacing w:after="0" w:line="240" w:lineRule="auto"/>
        <w:rPr>
          <w:rStyle w:val="21"/>
          <w:rFonts w:cs="华文楷体" w:asciiTheme="minorEastAsia" w:hAnsiTheme="minorEastAsia"/>
          <w:sz w:val="24"/>
          <w:szCs w:val="24"/>
        </w:rPr>
      </w:pPr>
      <w:r>
        <w:rPr>
          <w:rStyle w:val="21"/>
          <w:rFonts w:hint="eastAsia" w:cs="华文楷体" w:asciiTheme="minorEastAsia" w:hAnsiTheme="minorEastAsia"/>
          <w:sz w:val="24"/>
          <w:szCs w:val="24"/>
        </w:rPr>
        <w:t>医生/指导人员签名：</w:t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>咨询电话：</w:t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>日期：</w:t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>年   月   日</w:t>
      </w:r>
    </w:p>
    <w:p>
      <w:pPr>
        <w:spacing w:after="0" w:line="240" w:lineRule="auto"/>
        <w:rPr>
          <w:rFonts w:asciiTheme="minorEastAsia" w:hAnsiTheme="minorEastAsia"/>
          <w:sz w:val="24"/>
          <w:szCs w:val="24"/>
          <w:u w:val="dotted"/>
        </w:rPr>
      </w:pPr>
    </w:p>
    <w:p>
      <w:pPr>
        <w:spacing w:after="0" w:line="240" w:lineRule="auto"/>
        <w:rPr>
          <w:rFonts w:asciiTheme="minorEastAsia" w:hAnsiTheme="minorEastAsia"/>
          <w:sz w:val="24"/>
          <w:szCs w:val="24"/>
          <w:u w:val="dotted"/>
        </w:rPr>
      </w:pPr>
      <w:r>
        <w:rPr>
          <w:rFonts w:asciiTheme="minorEastAsia" w:hAnsiTheme="minorEastAsia"/>
          <w:sz w:val="24"/>
          <w:szCs w:val="24"/>
          <w:u w:val="dotted"/>
        </w:rPr>
        <w:t xml:space="preserve">                                                                                      </w:t>
      </w:r>
    </w:p>
    <w:p/>
    <w:p>
      <w:pPr>
        <w:pStyle w:val="19"/>
        <w:spacing w:after="0" w:line="240" w:lineRule="auto"/>
        <w:jc w:val="center"/>
        <w:rPr>
          <w:rFonts w:ascii="仿宋_GB2312" w:eastAsia="仿宋_GB2312" w:hAnsiTheme="minorEastAsia"/>
          <w:b/>
          <w:kern w:val="2"/>
          <w:szCs w:val="28"/>
        </w:rPr>
      </w:pPr>
      <w:r>
        <w:rPr>
          <w:rFonts w:hint="eastAsia" w:ascii="仿宋_GB2312" w:eastAsia="仿宋_GB2312" w:hAnsiTheme="minorEastAsia"/>
          <w:b/>
          <w:kern w:val="2"/>
          <w:szCs w:val="28"/>
        </w:rPr>
        <w:t>胃食管反流病患者健康教育处方使用说明</w:t>
      </w:r>
    </w:p>
    <w:p>
      <w:pPr>
        <w:snapToGrid w:val="0"/>
        <w:spacing w:after="0" w:line="276" w:lineRule="auto"/>
        <w:rPr>
          <w:rFonts w:ascii="仿宋_GB2312" w:hAnsi="仿宋" w:eastAsia="仿宋_GB2312"/>
          <w:b/>
          <w:szCs w:val="21"/>
        </w:rPr>
      </w:pPr>
    </w:p>
    <w:p>
      <w:pPr>
        <w:snapToGrid w:val="0"/>
        <w:spacing w:after="0" w:line="276" w:lineRule="auto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★使用对象：</w:t>
      </w:r>
      <w:r>
        <w:rPr>
          <w:rFonts w:hint="eastAsia" w:ascii="仿宋_GB2312" w:eastAsia="仿宋_GB2312" w:hAnsiTheme="minorEastAsia"/>
          <w:szCs w:val="21"/>
        </w:rPr>
        <w:t>胃食管反流病患者。</w:t>
      </w:r>
    </w:p>
    <w:p>
      <w:pPr>
        <w:snapToGrid w:val="0"/>
        <w:spacing w:after="0" w:line="276" w:lineRule="auto"/>
        <w:rPr>
          <w:rFonts w:ascii="仿宋_GB2312" w:hAnsi="仿宋" w:eastAsia="仿宋_GB2312"/>
          <w:b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★使用方法：</w:t>
      </w:r>
    </w:p>
    <w:p>
      <w:pPr>
        <w:snapToGrid w:val="0"/>
        <w:spacing w:after="0" w:line="276" w:lineRule="auto"/>
        <w:ind w:firstLine="210" w:firstLineChars="100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1.本处方不能替代医务人员开具的医疗处方，主要用于患者健康生活方式指导。</w:t>
      </w:r>
    </w:p>
    <w:p>
      <w:pPr>
        <w:snapToGrid w:val="0"/>
        <w:spacing w:after="0" w:line="276" w:lineRule="auto"/>
        <w:ind w:firstLine="210" w:firstLineChars="100"/>
        <w:rPr>
          <w:rFonts w:ascii="楷体_GB2312" w:hAnsi="楷体_GB2312" w:eastAsia="楷体_GB2312" w:cs="楷体_GB2312"/>
          <w:szCs w:val="21"/>
        </w:rPr>
      </w:pPr>
      <w:r>
        <w:rPr>
          <w:rFonts w:hint="eastAsia" w:ascii="仿宋_GB2312" w:hAnsi="仿宋" w:eastAsia="仿宋_GB2312"/>
          <w:szCs w:val="21"/>
        </w:rPr>
        <w:t>2.医务人员应结合患者的病情、健康危险因素等，提供有针对性的健康指导。</w:t>
      </w:r>
    </w:p>
    <w:sectPr>
      <w:footnotePr>
        <w:numFmt w:val="chicago"/>
      </w:footnote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Lantinghei SC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DSBXP+STKaiti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87CB29"/>
    <w:multiLevelType w:val="singleLevel"/>
    <w:tmpl w:val="FA87CB29"/>
    <w:lvl w:ilvl="0" w:tentative="0">
      <w:start w:val="1"/>
      <w:numFmt w:val="bullet"/>
      <w:lvlText w:val="□"/>
      <w:lvlJc w:val="left"/>
      <w:pPr>
        <w:ind w:left="630" w:hanging="420"/>
      </w:pPr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Fmt w:val="chicago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iMzYyMDk3YmU5MTUwY2IwMDEzMmRhYmIxYzI4MDAifQ=="/>
  </w:docVars>
  <w:rsids>
    <w:rsidRoot w:val="1BA76FD1"/>
    <w:rsid w:val="00001D5D"/>
    <w:rsid w:val="0000307F"/>
    <w:rsid w:val="000050EC"/>
    <w:rsid w:val="00010862"/>
    <w:rsid w:val="00020834"/>
    <w:rsid w:val="000219E9"/>
    <w:rsid w:val="0002290B"/>
    <w:rsid w:val="00033A51"/>
    <w:rsid w:val="00037C12"/>
    <w:rsid w:val="00051CB7"/>
    <w:rsid w:val="000767FF"/>
    <w:rsid w:val="00096486"/>
    <w:rsid w:val="000968A0"/>
    <w:rsid w:val="000A081C"/>
    <w:rsid w:val="000B4584"/>
    <w:rsid w:val="000D3202"/>
    <w:rsid w:val="000D6DE2"/>
    <w:rsid w:val="000D7999"/>
    <w:rsid w:val="000E48C5"/>
    <w:rsid w:val="000F4D62"/>
    <w:rsid w:val="00112C87"/>
    <w:rsid w:val="001176CB"/>
    <w:rsid w:val="001246F7"/>
    <w:rsid w:val="00127E32"/>
    <w:rsid w:val="00144185"/>
    <w:rsid w:val="0015437F"/>
    <w:rsid w:val="00183492"/>
    <w:rsid w:val="0019108F"/>
    <w:rsid w:val="00195440"/>
    <w:rsid w:val="001968C0"/>
    <w:rsid w:val="001A45EC"/>
    <w:rsid w:val="001C4112"/>
    <w:rsid w:val="001E77B4"/>
    <w:rsid w:val="001F2F69"/>
    <w:rsid w:val="001F5579"/>
    <w:rsid w:val="002103B7"/>
    <w:rsid w:val="00226A23"/>
    <w:rsid w:val="00242583"/>
    <w:rsid w:val="00246902"/>
    <w:rsid w:val="00272FA5"/>
    <w:rsid w:val="0027622D"/>
    <w:rsid w:val="0028168B"/>
    <w:rsid w:val="002860A3"/>
    <w:rsid w:val="0028690A"/>
    <w:rsid w:val="002A6E9C"/>
    <w:rsid w:val="002B00C6"/>
    <w:rsid w:val="002D7407"/>
    <w:rsid w:val="002E7B6F"/>
    <w:rsid w:val="002F05DC"/>
    <w:rsid w:val="002F1C6D"/>
    <w:rsid w:val="002F4C2D"/>
    <w:rsid w:val="00313637"/>
    <w:rsid w:val="00322BB2"/>
    <w:rsid w:val="00330FBE"/>
    <w:rsid w:val="00333AB7"/>
    <w:rsid w:val="003345C0"/>
    <w:rsid w:val="00336609"/>
    <w:rsid w:val="0034087D"/>
    <w:rsid w:val="00350E88"/>
    <w:rsid w:val="00354584"/>
    <w:rsid w:val="00361499"/>
    <w:rsid w:val="00361BCB"/>
    <w:rsid w:val="00362B4E"/>
    <w:rsid w:val="00362B58"/>
    <w:rsid w:val="003668B4"/>
    <w:rsid w:val="00367313"/>
    <w:rsid w:val="00367D1D"/>
    <w:rsid w:val="00372596"/>
    <w:rsid w:val="003903C7"/>
    <w:rsid w:val="0039412E"/>
    <w:rsid w:val="003A1470"/>
    <w:rsid w:val="003A5F28"/>
    <w:rsid w:val="003A7294"/>
    <w:rsid w:val="003A7E1F"/>
    <w:rsid w:val="003C0BEA"/>
    <w:rsid w:val="003C5938"/>
    <w:rsid w:val="003C63CB"/>
    <w:rsid w:val="003C6F58"/>
    <w:rsid w:val="003D255E"/>
    <w:rsid w:val="003E2D7E"/>
    <w:rsid w:val="0040169B"/>
    <w:rsid w:val="00403940"/>
    <w:rsid w:val="0040610E"/>
    <w:rsid w:val="004238C3"/>
    <w:rsid w:val="004260F6"/>
    <w:rsid w:val="00433752"/>
    <w:rsid w:val="004406E0"/>
    <w:rsid w:val="004445E5"/>
    <w:rsid w:val="00447CA1"/>
    <w:rsid w:val="00453574"/>
    <w:rsid w:val="00457275"/>
    <w:rsid w:val="00475B4A"/>
    <w:rsid w:val="004760B1"/>
    <w:rsid w:val="0049252A"/>
    <w:rsid w:val="004B6C60"/>
    <w:rsid w:val="004D1C19"/>
    <w:rsid w:val="004D6016"/>
    <w:rsid w:val="004E2EAB"/>
    <w:rsid w:val="004E5692"/>
    <w:rsid w:val="005142E2"/>
    <w:rsid w:val="00517DFB"/>
    <w:rsid w:val="00526679"/>
    <w:rsid w:val="0054387C"/>
    <w:rsid w:val="00544FBE"/>
    <w:rsid w:val="005836FC"/>
    <w:rsid w:val="005848FC"/>
    <w:rsid w:val="00592C17"/>
    <w:rsid w:val="005B1E2A"/>
    <w:rsid w:val="005B2DF5"/>
    <w:rsid w:val="005C57C4"/>
    <w:rsid w:val="005D464F"/>
    <w:rsid w:val="005D5546"/>
    <w:rsid w:val="006026B5"/>
    <w:rsid w:val="0061067E"/>
    <w:rsid w:val="00627E1D"/>
    <w:rsid w:val="006377EA"/>
    <w:rsid w:val="0064054D"/>
    <w:rsid w:val="006516D7"/>
    <w:rsid w:val="00654886"/>
    <w:rsid w:val="006609A6"/>
    <w:rsid w:val="006675B8"/>
    <w:rsid w:val="006678C1"/>
    <w:rsid w:val="00676F6A"/>
    <w:rsid w:val="00682D1E"/>
    <w:rsid w:val="006A18E6"/>
    <w:rsid w:val="006A7B12"/>
    <w:rsid w:val="006B0535"/>
    <w:rsid w:val="006D13A7"/>
    <w:rsid w:val="006F1C1B"/>
    <w:rsid w:val="006F1DB9"/>
    <w:rsid w:val="006F7B32"/>
    <w:rsid w:val="00720DC4"/>
    <w:rsid w:val="00721E70"/>
    <w:rsid w:val="0073025A"/>
    <w:rsid w:val="00735B6C"/>
    <w:rsid w:val="00735BFE"/>
    <w:rsid w:val="00746622"/>
    <w:rsid w:val="00756A86"/>
    <w:rsid w:val="00762E6B"/>
    <w:rsid w:val="007875C3"/>
    <w:rsid w:val="007965C8"/>
    <w:rsid w:val="007B1C67"/>
    <w:rsid w:val="007B52E7"/>
    <w:rsid w:val="007B6179"/>
    <w:rsid w:val="007B74EB"/>
    <w:rsid w:val="007C576F"/>
    <w:rsid w:val="007C6F39"/>
    <w:rsid w:val="007E0FF5"/>
    <w:rsid w:val="007F430D"/>
    <w:rsid w:val="0080529D"/>
    <w:rsid w:val="00823E7E"/>
    <w:rsid w:val="00832341"/>
    <w:rsid w:val="008349B5"/>
    <w:rsid w:val="00851E26"/>
    <w:rsid w:val="008520DA"/>
    <w:rsid w:val="008609DD"/>
    <w:rsid w:val="00880F50"/>
    <w:rsid w:val="008A1F1E"/>
    <w:rsid w:val="008A22A9"/>
    <w:rsid w:val="008B0058"/>
    <w:rsid w:val="008B41F9"/>
    <w:rsid w:val="008B62F9"/>
    <w:rsid w:val="008B645B"/>
    <w:rsid w:val="008D1550"/>
    <w:rsid w:val="008D2898"/>
    <w:rsid w:val="008D3711"/>
    <w:rsid w:val="008D37C4"/>
    <w:rsid w:val="008D4E27"/>
    <w:rsid w:val="008D5365"/>
    <w:rsid w:val="00910A7D"/>
    <w:rsid w:val="0091635D"/>
    <w:rsid w:val="009453F5"/>
    <w:rsid w:val="00955176"/>
    <w:rsid w:val="00966355"/>
    <w:rsid w:val="00971B0B"/>
    <w:rsid w:val="00974A83"/>
    <w:rsid w:val="00986A7A"/>
    <w:rsid w:val="00995581"/>
    <w:rsid w:val="00995A4D"/>
    <w:rsid w:val="009A3D2E"/>
    <w:rsid w:val="009A73EF"/>
    <w:rsid w:val="009B3062"/>
    <w:rsid w:val="009E68E7"/>
    <w:rsid w:val="009F269D"/>
    <w:rsid w:val="009F318E"/>
    <w:rsid w:val="009F51EA"/>
    <w:rsid w:val="00A46B25"/>
    <w:rsid w:val="00A52553"/>
    <w:rsid w:val="00A63510"/>
    <w:rsid w:val="00A6393D"/>
    <w:rsid w:val="00A65139"/>
    <w:rsid w:val="00A80442"/>
    <w:rsid w:val="00A82C20"/>
    <w:rsid w:val="00A83B57"/>
    <w:rsid w:val="00A906DF"/>
    <w:rsid w:val="00A92DAA"/>
    <w:rsid w:val="00AB7840"/>
    <w:rsid w:val="00AC6CDB"/>
    <w:rsid w:val="00AD1A3A"/>
    <w:rsid w:val="00AD5D8C"/>
    <w:rsid w:val="00AE0FFE"/>
    <w:rsid w:val="00AE1C6A"/>
    <w:rsid w:val="00AE1DC6"/>
    <w:rsid w:val="00AE1EF7"/>
    <w:rsid w:val="00AE1FFF"/>
    <w:rsid w:val="00AE6071"/>
    <w:rsid w:val="00AF526D"/>
    <w:rsid w:val="00B05F69"/>
    <w:rsid w:val="00B12739"/>
    <w:rsid w:val="00B13D36"/>
    <w:rsid w:val="00B2002C"/>
    <w:rsid w:val="00B27F22"/>
    <w:rsid w:val="00B52A44"/>
    <w:rsid w:val="00B57E04"/>
    <w:rsid w:val="00B71839"/>
    <w:rsid w:val="00B72640"/>
    <w:rsid w:val="00B83F58"/>
    <w:rsid w:val="00B90506"/>
    <w:rsid w:val="00BA6859"/>
    <w:rsid w:val="00BB51D0"/>
    <w:rsid w:val="00BC030B"/>
    <w:rsid w:val="00BC5AB0"/>
    <w:rsid w:val="00BC5B76"/>
    <w:rsid w:val="00BE007E"/>
    <w:rsid w:val="00C023DA"/>
    <w:rsid w:val="00C07558"/>
    <w:rsid w:val="00C2552C"/>
    <w:rsid w:val="00C3191A"/>
    <w:rsid w:val="00C354D2"/>
    <w:rsid w:val="00C71555"/>
    <w:rsid w:val="00C749FC"/>
    <w:rsid w:val="00C76703"/>
    <w:rsid w:val="00C815D5"/>
    <w:rsid w:val="00C85DA7"/>
    <w:rsid w:val="00C87219"/>
    <w:rsid w:val="00CA1BAB"/>
    <w:rsid w:val="00CA7CF0"/>
    <w:rsid w:val="00CB7194"/>
    <w:rsid w:val="00CC24F2"/>
    <w:rsid w:val="00CC6F43"/>
    <w:rsid w:val="00CD0814"/>
    <w:rsid w:val="00CD68B6"/>
    <w:rsid w:val="00CE162D"/>
    <w:rsid w:val="00CF34A5"/>
    <w:rsid w:val="00CF3B05"/>
    <w:rsid w:val="00CF4AC3"/>
    <w:rsid w:val="00CF5868"/>
    <w:rsid w:val="00CF6F63"/>
    <w:rsid w:val="00D11665"/>
    <w:rsid w:val="00D16C42"/>
    <w:rsid w:val="00D30219"/>
    <w:rsid w:val="00D47250"/>
    <w:rsid w:val="00D47343"/>
    <w:rsid w:val="00D62DFA"/>
    <w:rsid w:val="00D80664"/>
    <w:rsid w:val="00D974AB"/>
    <w:rsid w:val="00DB1DD3"/>
    <w:rsid w:val="00DC09CB"/>
    <w:rsid w:val="00DC45AE"/>
    <w:rsid w:val="00DC5075"/>
    <w:rsid w:val="00DE7BD9"/>
    <w:rsid w:val="00E01BEC"/>
    <w:rsid w:val="00E058E0"/>
    <w:rsid w:val="00E05E99"/>
    <w:rsid w:val="00E05F03"/>
    <w:rsid w:val="00E34844"/>
    <w:rsid w:val="00E35CDE"/>
    <w:rsid w:val="00E446E2"/>
    <w:rsid w:val="00E507BA"/>
    <w:rsid w:val="00E5429D"/>
    <w:rsid w:val="00E65623"/>
    <w:rsid w:val="00E87C61"/>
    <w:rsid w:val="00EA7077"/>
    <w:rsid w:val="00EB596B"/>
    <w:rsid w:val="00EF1F0E"/>
    <w:rsid w:val="00F16D60"/>
    <w:rsid w:val="00F27D03"/>
    <w:rsid w:val="00F444A3"/>
    <w:rsid w:val="00F52369"/>
    <w:rsid w:val="00F5660C"/>
    <w:rsid w:val="00F56DE9"/>
    <w:rsid w:val="00F65393"/>
    <w:rsid w:val="00F67B3C"/>
    <w:rsid w:val="00F725B6"/>
    <w:rsid w:val="00F73B5D"/>
    <w:rsid w:val="00F7693E"/>
    <w:rsid w:val="00F82376"/>
    <w:rsid w:val="00F835F9"/>
    <w:rsid w:val="00F9151E"/>
    <w:rsid w:val="00FB3465"/>
    <w:rsid w:val="00FB6AEA"/>
    <w:rsid w:val="00FC0CAF"/>
    <w:rsid w:val="00FC1CBD"/>
    <w:rsid w:val="00FD1A11"/>
    <w:rsid w:val="00FE0DE2"/>
    <w:rsid w:val="00FE50BD"/>
    <w:rsid w:val="00FF07FF"/>
    <w:rsid w:val="00FF497C"/>
    <w:rsid w:val="02D37A5A"/>
    <w:rsid w:val="0301396B"/>
    <w:rsid w:val="03BC5C45"/>
    <w:rsid w:val="03D335B8"/>
    <w:rsid w:val="080261BB"/>
    <w:rsid w:val="08750957"/>
    <w:rsid w:val="0B666A61"/>
    <w:rsid w:val="0FDD28C2"/>
    <w:rsid w:val="117B0D8C"/>
    <w:rsid w:val="11F40163"/>
    <w:rsid w:val="12303B24"/>
    <w:rsid w:val="1833766A"/>
    <w:rsid w:val="18697B91"/>
    <w:rsid w:val="19E53451"/>
    <w:rsid w:val="1A673727"/>
    <w:rsid w:val="1B5831FD"/>
    <w:rsid w:val="1BA76FD1"/>
    <w:rsid w:val="1E2E0CE6"/>
    <w:rsid w:val="20216FA3"/>
    <w:rsid w:val="27953250"/>
    <w:rsid w:val="27BE7DD2"/>
    <w:rsid w:val="287D726E"/>
    <w:rsid w:val="28C630A2"/>
    <w:rsid w:val="299B2F8E"/>
    <w:rsid w:val="2A656BDD"/>
    <w:rsid w:val="2D396707"/>
    <w:rsid w:val="2D8E342B"/>
    <w:rsid w:val="2DA77776"/>
    <w:rsid w:val="2E3F6D94"/>
    <w:rsid w:val="2F7E32A4"/>
    <w:rsid w:val="2FA17EA9"/>
    <w:rsid w:val="35531AB5"/>
    <w:rsid w:val="403326AF"/>
    <w:rsid w:val="484F4807"/>
    <w:rsid w:val="49D270DB"/>
    <w:rsid w:val="4B052E99"/>
    <w:rsid w:val="4B412124"/>
    <w:rsid w:val="4B6C5492"/>
    <w:rsid w:val="4F5A163C"/>
    <w:rsid w:val="4F60402F"/>
    <w:rsid w:val="4FB656B0"/>
    <w:rsid w:val="524627CB"/>
    <w:rsid w:val="55320D2F"/>
    <w:rsid w:val="57A1352B"/>
    <w:rsid w:val="583E3F8A"/>
    <w:rsid w:val="58537839"/>
    <w:rsid w:val="59603E17"/>
    <w:rsid w:val="5A341B8C"/>
    <w:rsid w:val="5B3A27CC"/>
    <w:rsid w:val="5C482626"/>
    <w:rsid w:val="5D7642EB"/>
    <w:rsid w:val="5D8E030D"/>
    <w:rsid w:val="5DAD348E"/>
    <w:rsid w:val="5E2F649B"/>
    <w:rsid w:val="5E435D5B"/>
    <w:rsid w:val="5E9465B6"/>
    <w:rsid w:val="62C70400"/>
    <w:rsid w:val="632C5992"/>
    <w:rsid w:val="67E85689"/>
    <w:rsid w:val="6B596262"/>
    <w:rsid w:val="6D1D11EE"/>
    <w:rsid w:val="6FE40133"/>
    <w:rsid w:val="71B44B4E"/>
    <w:rsid w:val="71CC729E"/>
    <w:rsid w:val="724172C5"/>
    <w:rsid w:val="7CC6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7"/>
    <w:autoRedefine/>
    <w:qFormat/>
    <w:uiPriority w:val="9"/>
    <w:pPr>
      <w:keepNext/>
      <w:spacing w:beforeLines="50" w:afterLines="50" w:line="240" w:lineRule="auto"/>
      <w:jc w:val="left"/>
      <w:outlineLvl w:val="0"/>
    </w:pPr>
    <w:rPr>
      <w:rFonts w:ascii="Times New Roman" w:hAnsi="Times New Roman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3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8"/>
    <w:autoRedefine/>
    <w:qFormat/>
    <w:uiPriority w:val="0"/>
    <w:pPr>
      <w:jc w:val="left"/>
    </w:pPr>
  </w:style>
  <w:style w:type="paragraph" w:styleId="5">
    <w:name w:val="Body Text"/>
    <w:basedOn w:val="1"/>
    <w:autoRedefine/>
    <w:qFormat/>
    <w:uiPriority w:val="1"/>
    <w:rPr>
      <w:sz w:val="32"/>
      <w:szCs w:val="32"/>
    </w:rPr>
  </w:style>
  <w:style w:type="paragraph" w:styleId="6">
    <w:name w:val="Balloon Text"/>
    <w:basedOn w:val="1"/>
    <w:link w:val="30"/>
    <w:autoRedefine/>
    <w:qFormat/>
    <w:uiPriority w:val="0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link w:val="27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8">
    <w:name w:val="header"/>
    <w:basedOn w:val="1"/>
    <w:link w:val="2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footnote text"/>
    <w:basedOn w:val="1"/>
    <w:link w:val="42"/>
    <w:autoRedefine/>
    <w:semiHidden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Normal (Web)"/>
    <w:basedOn w:val="1"/>
    <w:autoRedefine/>
    <w:semiHidden/>
    <w:unhideWhenUsed/>
    <w:qFormat/>
    <w:uiPriority w:val="0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11">
    <w:name w:val="annotation subject"/>
    <w:basedOn w:val="4"/>
    <w:next w:val="4"/>
    <w:link w:val="29"/>
    <w:autoRedefine/>
    <w:qFormat/>
    <w:uiPriority w:val="0"/>
    <w:rPr>
      <w:b/>
      <w:bCs/>
    </w:r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character" w:styleId="15">
    <w:name w:val="footnote reference"/>
    <w:basedOn w:val="13"/>
    <w:autoRedefine/>
    <w:semiHidden/>
    <w:unhideWhenUsed/>
    <w:qFormat/>
    <w:uiPriority w:val="0"/>
    <w:rPr>
      <w:vertAlign w:val="superscript"/>
    </w:rPr>
  </w:style>
  <w:style w:type="paragraph" w:customStyle="1" w:styleId="16">
    <w:name w:val="副标题1"/>
    <w:basedOn w:val="1"/>
    <w:autoRedefine/>
    <w:qFormat/>
    <w:uiPriority w:val="0"/>
    <w:rPr>
      <w:sz w:val="22"/>
      <w:lang w:eastAsia="en-US"/>
    </w:rPr>
  </w:style>
  <w:style w:type="paragraph" w:customStyle="1" w:styleId="17">
    <w:name w:val="正文1"/>
    <w:basedOn w:val="1"/>
    <w:link w:val="18"/>
    <w:autoRedefine/>
    <w:qFormat/>
    <w:uiPriority w:val="0"/>
    <w:pPr>
      <w:spacing w:line="440" w:lineRule="exact"/>
    </w:pPr>
    <w:rPr>
      <w:rFonts w:ascii="Times New Roman" w:hAnsi="Times New Roman" w:eastAsia="宋体" w:cs="Times New Roman"/>
      <w:szCs w:val="20"/>
    </w:rPr>
  </w:style>
  <w:style w:type="character" w:customStyle="1" w:styleId="18">
    <w:name w:val="正文1 Char"/>
    <w:link w:val="17"/>
    <w:autoRedefine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19">
    <w:name w:val="Pa0"/>
    <w:basedOn w:val="1"/>
    <w:next w:val="1"/>
    <w:link w:val="34"/>
    <w:autoRedefine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0">
    <w:name w:val="A0"/>
    <w:autoRedefine/>
    <w:qFormat/>
    <w:uiPriority w:val="99"/>
    <w:rPr>
      <w:rFonts w:cs="Lantinghei SC"/>
      <w:color w:val="000000"/>
      <w:sz w:val="36"/>
      <w:szCs w:val="36"/>
    </w:rPr>
  </w:style>
  <w:style w:type="character" w:customStyle="1" w:styleId="21">
    <w:name w:val="A7"/>
    <w:autoRedefine/>
    <w:qFormat/>
    <w:uiPriority w:val="99"/>
    <w:rPr>
      <w:rFonts w:ascii="仿宋" w:eastAsia="仿宋" w:cs="仿宋"/>
      <w:color w:val="000000"/>
      <w:sz w:val="28"/>
      <w:szCs w:val="28"/>
    </w:rPr>
  </w:style>
  <w:style w:type="paragraph" w:customStyle="1" w:styleId="22">
    <w:name w:val="Pa1"/>
    <w:basedOn w:val="1"/>
    <w:next w:val="1"/>
    <w:autoRedefine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3">
    <w:name w:val="A1"/>
    <w:autoRedefine/>
    <w:qFormat/>
    <w:uiPriority w:val="99"/>
    <w:rPr>
      <w:rFonts w:ascii="GDSBXP+STKaiti" w:eastAsia="GDSBXP+STKaiti" w:cs="GDSBXP+STKaiti"/>
      <w:color w:val="000000"/>
      <w:sz w:val="26"/>
      <w:szCs w:val="26"/>
    </w:rPr>
  </w:style>
  <w:style w:type="character" w:customStyle="1" w:styleId="24">
    <w:name w:val="A2"/>
    <w:autoRedefine/>
    <w:qFormat/>
    <w:uiPriority w:val="99"/>
    <w:rPr>
      <w:rFonts w:cs="Lantinghei SC"/>
      <w:color w:val="000000"/>
      <w:sz w:val="30"/>
      <w:szCs w:val="30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页眉 Char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27">
    <w:name w:val="页脚 Char"/>
    <w:basedOn w:val="13"/>
    <w:link w:val="7"/>
    <w:autoRedefine/>
    <w:qFormat/>
    <w:uiPriority w:val="0"/>
    <w:rPr>
      <w:kern w:val="2"/>
      <w:sz w:val="18"/>
      <w:szCs w:val="18"/>
    </w:rPr>
  </w:style>
  <w:style w:type="character" w:customStyle="1" w:styleId="28">
    <w:name w:val="批注文字 Char"/>
    <w:basedOn w:val="13"/>
    <w:link w:val="4"/>
    <w:qFormat/>
    <w:uiPriority w:val="0"/>
    <w:rPr>
      <w:kern w:val="2"/>
      <w:sz w:val="21"/>
      <w:szCs w:val="22"/>
    </w:rPr>
  </w:style>
  <w:style w:type="character" w:customStyle="1" w:styleId="29">
    <w:name w:val="批注主题 Char"/>
    <w:basedOn w:val="28"/>
    <w:link w:val="11"/>
    <w:autoRedefine/>
    <w:qFormat/>
    <w:uiPriority w:val="0"/>
    <w:rPr>
      <w:b/>
      <w:bCs/>
      <w:kern w:val="2"/>
      <w:sz w:val="21"/>
      <w:szCs w:val="22"/>
    </w:rPr>
  </w:style>
  <w:style w:type="character" w:customStyle="1" w:styleId="30">
    <w:name w:val="批注框文本 Char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31">
    <w:name w:val="标题 2 Char"/>
    <w:basedOn w:val="13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32">
    <w:name w:val="列出段落4"/>
    <w:basedOn w:val="1"/>
    <w:autoRedefine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paragraph" w:customStyle="1" w:styleId="33">
    <w:name w:val="列出段落6"/>
    <w:basedOn w:val="1"/>
    <w:autoRedefine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character" w:customStyle="1" w:styleId="34">
    <w:name w:val="Pa0 字符"/>
    <w:basedOn w:val="13"/>
    <w:link w:val="19"/>
    <w:qFormat/>
    <w:uiPriority w:val="99"/>
    <w:rPr>
      <w:rFonts w:ascii="Lantinghei SC" w:eastAsia="Lantinghei SC"/>
      <w:sz w:val="24"/>
      <w:szCs w:val="24"/>
    </w:rPr>
  </w:style>
  <w:style w:type="paragraph" w:customStyle="1" w:styleId="35">
    <w:name w:val="概念"/>
    <w:basedOn w:val="1"/>
    <w:link w:val="36"/>
    <w:autoRedefine/>
    <w:qFormat/>
    <w:uiPriority w:val="0"/>
    <w:pPr>
      <w:spacing w:after="0" w:line="300" w:lineRule="auto"/>
      <w:ind w:firstLine="200" w:firstLineChars="200"/>
      <w:jc w:val="left"/>
    </w:pPr>
    <w:rPr>
      <w:rFonts w:eastAsia="楷体_GB2312" w:cs="华文楷体" w:asciiTheme="minorEastAsia" w:hAnsiTheme="minorEastAsia"/>
      <w:bCs/>
      <w:sz w:val="24"/>
      <w:szCs w:val="28"/>
    </w:rPr>
  </w:style>
  <w:style w:type="character" w:customStyle="1" w:styleId="36">
    <w:name w:val="概念 字符"/>
    <w:basedOn w:val="13"/>
    <w:link w:val="35"/>
    <w:autoRedefine/>
    <w:qFormat/>
    <w:uiPriority w:val="0"/>
    <w:rPr>
      <w:rFonts w:eastAsia="楷体_GB2312" w:cs="华文楷体" w:asciiTheme="minorEastAsia" w:hAnsiTheme="minorEastAsia"/>
      <w:bCs/>
      <w:kern w:val="2"/>
      <w:sz w:val="24"/>
      <w:szCs w:val="28"/>
    </w:rPr>
  </w:style>
  <w:style w:type="character" w:customStyle="1" w:styleId="37">
    <w:name w:val="标题 1 Char"/>
    <w:basedOn w:val="13"/>
    <w:link w:val="2"/>
    <w:qFormat/>
    <w:uiPriority w:val="9"/>
    <w:rPr>
      <w:rFonts w:ascii="Times New Roman" w:hAnsi="Times New Roman"/>
      <w:b/>
      <w:bCs/>
      <w:kern w:val="44"/>
      <w:sz w:val="28"/>
      <w:szCs w:val="44"/>
    </w:rPr>
  </w:style>
  <w:style w:type="paragraph" w:customStyle="1" w:styleId="38">
    <w:name w:val="黑框2"/>
    <w:basedOn w:val="1"/>
    <w:link w:val="39"/>
    <w:autoRedefine/>
    <w:qFormat/>
    <w:uiPriority w:val="0"/>
    <w:pPr>
      <w:autoSpaceDE w:val="0"/>
      <w:autoSpaceDN w:val="0"/>
      <w:adjustRightInd w:val="0"/>
      <w:snapToGrid w:val="0"/>
      <w:spacing w:after="0" w:line="300" w:lineRule="auto"/>
      <w:jc w:val="left"/>
    </w:pPr>
    <w:rPr>
      <w:rFonts w:eastAsia="楷体_GB2312" w:cs="华文楷体" w:asciiTheme="minorEastAsia" w:hAnsiTheme="minorEastAsia"/>
      <w:color w:val="000000" w:themeColor="text1"/>
      <w:kern w:val="0"/>
      <w:sz w:val="24"/>
      <w:szCs w:val="28"/>
      <w14:textFill>
        <w14:solidFill>
          <w14:schemeClr w14:val="tx1"/>
        </w14:solidFill>
      </w14:textFill>
    </w:rPr>
  </w:style>
  <w:style w:type="character" w:customStyle="1" w:styleId="39">
    <w:name w:val="黑框2 字符"/>
    <w:basedOn w:val="13"/>
    <w:link w:val="38"/>
    <w:autoRedefine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paragraph" w:customStyle="1" w:styleId="40">
    <w:name w:val="方框"/>
    <w:basedOn w:val="19"/>
    <w:link w:val="41"/>
    <w:autoRedefine/>
    <w:qFormat/>
    <w:uiPriority w:val="0"/>
    <w:pPr>
      <w:snapToGrid w:val="0"/>
      <w:spacing w:after="0" w:line="300" w:lineRule="auto"/>
      <w:ind w:left="420" w:hanging="420"/>
    </w:pPr>
    <w:rPr>
      <w:rFonts w:eastAsia="楷体_GB2312" w:cs="华文楷体" w:asciiTheme="minorEastAsia" w:hAnsiTheme="minorEastAsia"/>
      <w:color w:val="000000" w:themeColor="text1"/>
      <w:szCs w:val="28"/>
      <w14:textFill>
        <w14:solidFill>
          <w14:schemeClr w14:val="tx1"/>
        </w14:solidFill>
      </w14:textFill>
    </w:rPr>
  </w:style>
  <w:style w:type="character" w:customStyle="1" w:styleId="41">
    <w:name w:val="方框 字符"/>
    <w:basedOn w:val="34"/>
    <w:link w:val="40"/>
    <w:autoRedefine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character" w:customStyle="1" w:styleId="42">
    <w:name w:val="脚注文本 Char"/>
    <w:basedOn w:val="13"/>
    <w:link w:val="9"/>
    <w:autoRedefine/>
    <w:semiHidden/>
    <w:qFormat/>
    <w:uiPriority w:val="0"/>
    <w:rPr>
      <w:kern w:val="2"/>
      <w:sz w:val="18"/>
      <w:szCs w:val="18"/>
    </w:rPr>
  </w:style>
  <w:style w:type="paragraph" w:customStyle="1" w:styleId="43">
    <w:name w:val="修订1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A31F16-89E1-4780-9E78-CCAB555887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287</Words>
  <Characters>1637</Characters>
  <Lines>13</Lines>
  <Paragraphs>3</Paragraphs>
  <TotalTime>23</TotalTime>
  <ScaleCrop>false</ScaleCrop>
  <LinksUpToDate>false</LinksUpToDate>
  <CharactersWithSpaces>1921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2023-11-27T00:43:00Z</dcterms:created>
  <dc:creator>123</dc:creator>
  <cp:lastModifiedBy>陈国永</cp:lastModifiedBy>
  <cp:lastPrinted>2023-12-28T11:05:00Z</cp:lastPrinted>
  <dcterms:modified xsi:type="dcterms:W3CDTF">2024-01-24T01:26:49Z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2DA6D87411D841EEA272CEB5BACC9936_13</vt:lpwstr>
  </property>
</Properties>
</file>