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spacing w:after="0" w:line="240" w:lineRule="auto"/>
        <w:ind w:left="-498" w:leftChars="-237"/>
        <w:jc w:val="center"/>
        <w:rPr>
          <w:rStyle w:val="19"/>
          <w:rFonts w:ascii="Times New Roman" w:hAnsi="Times New Roman"/>
          <w:sz w:val="32"/>
          <w:szCs w:val="32"/>
        </w:rPr>
      </w:pPr>
      <w:bookmarkStart w:id="0" w:name="_GoBack"/>
      <w:bookmarkEnd w:id="0"/>
      <w:r>
        <w:rPr>
          <w:rStyle w:val="19"/>
          <w:rFonts w:hint="eastAsia" w:ascii="Times New Roman" w:hAnsi="黑体" w:eastAsia="黑体"/>
          <w:b/>
          <w:sz w:val="32"/>
          <w:szCs w:val="32"/>
        </w:rPr>
        <w:t>儿童矮小症患者健康教育处方</w:t>
      </w:r>
      <w:r>
        <w:rPr>
          <w:rStyle w:val="19"/>
          <w:rFonts w:hint="eastAsia" w:ascii="Times New Roman" w:hAnsi="Times New Roman" w:eastAsia="黑体"/>
          <w:b/>
          <w:sz w:val="32"/>
          <w:szCs w:val="32"/>
        </w:rPr>
        <w:t>（2023年版）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71755</wp:posOffset>
                </wp:positionV>
                <wp:extent cx="5218430" cy="0"/>
                <wp:effectExtent l="0" t="9525" r="1270" b="9525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1843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0.15pt;margin-top:5.65pt;height:0pt;width:410.9pt;z-index:251660288;mso-width-relative:page;mso-height-relative:page;" filled="f" stroked="t" coordsize="21600,21600" o:gfxdata="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lHBtW9EAAAAG&#10;AQAADwAAAAAAAAABACAAAAAiAAAAZHJzL2Rvd25yZXYueG1sUEsBAhQAFAAAAAgAh07iQLejCYnq&#10;AQAAuQMAAA4AAAAAAAAAAQAgAAAAIAEAAGRycy9lMm9Eb2MueG1sUEsFBgAAAAAGAAYAWQEAAHwF&#10;AAAAAA=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276" w:lineRule="auto"/>
        <w:ind w:firstLine="232" w:firstLineChars="83"/>
        <w:rPr>
          <w:rFonts w:ascii="Times New Roman" w:hAnsi="Times New Roman" w:eastAsia="楷体_GB2312" w:cs="华文楷体"/>
          <w:b/>
          <w:sz w:val="24"/>
          <w:szCs w:val="28"/>
        </w:rPr>
      </w:pPr>
      <w:r>
        <w:rPr>
          <w:rFonts w:hint="eastAsia" w:ascii="Times New Roman" w:hAnsi="Times New Roman" w:eastAsia="仿宋_GB2312" w:cs="华文楷体"/>
          <w:color w:val="000000"/>
          <w:sz w:val="28"/>
        </w:rPr>
        <w:t xml:space="preserve">  姓名：</w:t>
      </w:r>
      <w:r>
        <w:rPr>
          <w:rFonts w:hint="eastAsia" w:ascii="Times New Roman" w:hAnsi="Times New Roman" w:eastAsia="仿宋_GB2312" w:cs="华文楷体"/>
          <w:color w:val="000000"/>
          <w:sz w:val="28"/>
        </w:rPr>
        <w:tab/>
      </w:r>
      <w:r>
        <w:rPr>
          <w:rFonts w:hint="eastAsia" w:ascii="Times New Roman" w:hAnsi="Times New Roman" w:eastAsia="仿宋_GB2312" w:cs="华文楷体"/>
          <w:color w:val="000000"/>
          <w:sz w:val="28"/>
        </w:rPr>
        <w:t xml:space="preserve">   </w:t>
      </w:r>
      <w:r>
        <w:rPr>
          <w:rFonts w:hint="eastAsia" w:ascii="Times New Roman" w:hAnsi="Times New Roman" w:eastAsia="仿宋_GB2312" w:cs="华文楷体"/>
          <w:color w:val="000000"/>
          <w:sz w:val="28"/>
        </w:rPr>
        <w:tab/>
      </w:r>
      <w:r>
        <w:rPr>
          <w:rFonts w:hint="eastAsia" w:ascii="Times New Roman" w:hAnsi="Times New Roman" w:eastAsia="仿宋_GB2312" w:cs="华文楷体"/>
          <w:color w:val="000000"/>
          <w:sz w:val="28"/>
        </w:rPr>
        <w:t>性别：</w:t>
      </w:r>
      <w:r>
        <w:rPr>
          <w:rFonts w:hint="eastAsia" w:ascii="Times New Roman" w:hAnsi="Times New Roman" w:eastAsia="仿宋_GB2312" w:cs="华文楷体"/>
          <w:color w:val="000000"/>
          <w:sz w:val="28"/>
        </w:rPr>
        <w:tab/>
      </w:r>
      <w:r>
        <w:rPr>
          <w:rFonts w:hint="eastAsia" w:ascii="Times New Roman" w:hAnsi="Times New Roman" w:eastAsia="仿宋_GB2312" w:cs="华文楷体"/>
          <w:color w:val="000000"/>
          <w:sz w:val="28"/>
        </w:rPr>
        <w:t xml:space="preserve">   </w:t>
      </w:r>
      <w:r>
        <w:rPr>
          <w:rFonts w:hint="eastAsia" w:ascii="Times New Roman" w:hAnsi="Times New Roman" w:eastAsia="仿宋_GB2312" w:cs="华文楷体"/>
          <w:color w:val="000000"/>
          <w:sz w:val="28"/>
        </w:rPr>
        <w:tab/>
      </w:r>
      <w:r>
        <w:rPr>
          <w:rFonts w:hint="eastAsia" w:ascii="Times New Roman" w:hAnsi="Times New Roman" w:eastAsia="仿宋_GB2312" w:cs="华文楷体"/>
          <w:color w:val="000000"/>
          <w:sz w:val="28"/>
        </w:rPr>
        <w:t>年龄：</w:t>
      </w:r>
      <w:r>
        <w:rPr>
          <w:rFonts w:hint="eastAsia" w:ascii="Times New Roman" w:hAnsi="Times New Roman" w:eastAsia="仿宋_GB2312" w:cs="华文楷体"/>
          <w:color w:val="000000"/>
          <w:sz w:val="28"/>
        </w:rPr>
        <w:tab/>
      </w:r>
      <w:r>
        <w:rPr>
          <w:rFonts w:hint="eastAsia" w:ascii="Times New Roman" w:hAnsi="Times New Roman" w:eastAsia="仿宋_GB2312" w:cs="华文楷体"/>
          <w:color w:val="000000"/>
          <w:sz w:val="28"/>
        </w:rPr>
        <w:t xml:space="preserve">   </w:t>
      </w:r>
      <w:r>
        <w:rPr>
          <w:rFonts w:hint="eastAsia" w:ascii="Times New Roman" w:hAnsi="Times New Roman" w:eastAsia="仿宋_GB2312" w:cs="华文楷体"/>
          <w:color w:val="000000"/>
          <w:sz w:val="28"/>
        </w:rPr>
        <w:tab/>
      </w:r>
      <w:r>
        <w:rPr>
          <w:rFonts w:hint="eastAsia" w:ascii="Times New Roman" w:hAnsi="Times New Roman" w:eastAsia="仿宋_GB2312" w:cs="华文楷体"/>
          <w:color w:val="000000"/>
          <w:sz w:val="28"/>
        </w:rPr>
        <w:t>诊断：</w:t>
      </w:r>
    </w:p>
    <w:p>
      <w:pPr>
        <w:pStyle w:val="20"/>
        <w:snapToGrid w:val="0"/>
        <w:spacing w:after="40" w:line="288" w:lineRule="auto"/>
        <w:ind w:firstLine="480" w:firstLineChars="200"/>
        <w:jc w:val="both"/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</w:pPr>
      <w:r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  <w:t>儿童</w:t>
      </w:r>
      <w:r>
        <w:rPr>
          <w:rStyle w:val="13"/>
          <w:rFonts w:hint="eastAsia" w:ascii="Times New Roman" w:hAnsi="Times New Roman" w:eastAsia="楷体" w:cs="华文楷体"/>
          <w:bCs/>
          <w:kern w:val="2"/>
          <w:sz w:val="24"/>
          <w:szCs w:val="24"/>
        </w:rPr>
        <w:t>矮小症</w:t>
      </w:r>
      <w:r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  <w:t>是指在相似生活环境下，同种族、同性别</w:t>
      </w:r>
      <w:r>
        <w:rPr>
          <w:rStyle w:val="13"/>
          <w:rFonts w:hint="eastAsia" w:ascii="Times New Roman" w:hAnsi="Times New Roman" w:eastAsia="楷体" w:cs="华文楷体"/>
          <w:bCs/>
          <w:kern w:val="2"/>
          <w:sz w:val="24"/>
          <w:szCs w:val="24"/>
        </w:rPr>
        <w:t>、</w:t>
      </w:r>
      <w:r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  <w:t>同年龄</w:t>
      </w:r>
      <w:r>
        <w:rPr>
          <w:rStyle w:val="13"/>
          <w:rFonts w:hint="eastAsia" w:ascii="Times New Roman" w:hAnsi="Times New Roman" w:eastAsia="楷体" w:cs="华文楷体"/>
          <w:bCs/>
          <w:kern w:val="2"/>
          <w:sz w:val="24"/>
          <w:szCs w:val="24"/>
        </w:rPr>
        <w:t>的个体</w:t>
      </w:r>
      <w:r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  <w:t>身高低于正常人群平均身高2个标准差</w:t>
      </w:r>
      <w:r>
        <w:rPr>
          <w:rStyle w:val="13"/>
          <w:rFonts w:hint="eastAsia" w:ascii="Times New Roman" w:hAnsi="Times New Roman" w:eastAsia="楷体" w:cs="华文楷体"/>
          <w:bCs/>
          <w:kern w:val="2"/>
          <w:sz w:val="24"/>
          <w:szCs w:val="24"/>
        </w:rPr>
        <w:t>，</w:t>
      </w:r>
      <w:r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  <w:t>或低于第3百分位者</w:t>
      </w:r>
      <w:r>
        <w:rPr>
          <w:rStyle w:val="13"/>
          <w:rFonts w:hint="eastAsia" w:ascii="Times New Roman" w:hAnsi="Times New Roman" w:eastAsia="楷体" w:cs="华文楷体"/>
          <w:bCs/>
          <w:kern w:val="2"/>
          <w:sz w:val="24"/>
          <w:szCs w:val="24"/>
        </w:rPr>
        <w:t>，也就是如果把100个同种族、同性别、同年龄的孩子从矮到高排队，排在前三名的就是</w:t>
      </w:r>
      <w:r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  <w:t>儿童</w:t>
      </w:r>
      <w:r>
        <w:rPr>
          <w:rStyle w:val="13"/>
          <w:rFonts w:hint="eastAsia" w:ascii="Times New Roman" w:hAnsi="Times New Roman" w:eastAsia="楷体" w:cs="华文楷体"/>
          <w:bCs/>
          <w:kern w:val="2"/>
          <w:sz w:val="24"/>
          <w:szCs w:val="24"/>
        </w:rPr>
        <w:t>矮小症患者。其中，部分</w:t>
      </w:r>
      <w:r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  <w:t>儿童</w:t>
      </w:r>
      <w:r>
        <w:rPr>
          <w:rStyle w:val="13"/>
          <w:rFonts w:hint="eastAsia" w:ascii="Times New Roman" w:hAnsi="Times New Roman" w:eastAsia="楷体" w:cs="华文楷体"/>
          <w:bCs/>
          <w:kern w:val="2"/>
          <w:sz w:val="24"/>
          <w:szCs w:val="24"/>
        </w:rPr>
        <w:t>矮小症患者属于正常生理变异。</w:t>
      </w:r>
    </w:p>
    <w:p>
      <w:pPr>
        <w:pStyle w:val="20"/>
        <w:snapToGrid w:val="0"/>
        <w:spacing w:after="40" w:line="288" w:lineRule="auto"/>
        <w:ind w:firstLine="480" w:firstLineChars="200"/>
        <w:jc w:val="both"/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</w:pPr>
      <w:r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  <w:t>儿童</w:t>
      </w:r>
      <w:r>
        <w:rPr>
          <w:rStyle w:val="13"/>
          <w:rFonts w:hint="eastAsia" w:ascii="Times New Roman" w:hAnsi="Times New Roman" w:eastAsia="楷体" w:cs="华文楷体"/>
          <w:bCs/>
          <w:kern w:val="2"/>
          <w:sz w:val="24"/>
          <w:szCs w:val="24"/>
        </w:rPr>
        <w:t>矮小症可表现为</w:t>
      </w:r>
      <w:r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  <w:t>一系列生长发育迟缓症状，如年身高增长</w:t>
      </w:r>
      <w:r>
        <w:rPr>
          <w:rStyle w:val="13"/>
          <w:rFonts w:hint="eastAsia" w:ascii="Times New Roman" w:hAnsi="Times New Roman" w:eastAsia="楷体" w:cs="华文楷体"/>
          <w:bCs/>
          <w:kern w:val="2"/>
          <w:sz w:val="24"/>
          <w:szCs w:val="24"/>
        </w:rPr>
        <w:t>缓慢，2岁以下的儿童每年身高增长少于7厘米，2</w:t>
      </w:r>
      <w:r>
        <w:rPr>
          <w:rStyle w:val="13"/>
          <w:rFonts w:hint="eastAsia" w:ascii="Times New Roman" w:hAnsi="Times New Roman" w:eastAsia="楷体" w:cs="华文楷体"/>
          <w:bCs/>
          <w:kern w:val="2"/>
          <w:sz w:val="24"/>
          <w:szCs w:val="24"/>
          <w:lang w:val="en-US" w:eastAsia="zh-CN"/>
        </w:rPr>
        <w:t>-</w:t>
      </w:r>
      <w:r>
        <w:rPr>
          <w:rStyle w:val="13"/>
          <w:rFonts w:hint="eastAsia" w:ascii="Times New Roman" w:hAnsi="Times New Roman" w:eastAsia="楷体" w:cs="Times New Roman"/>
          <w:bCs/>
          <w:kern w:val="2"/>
          <w:sz w:val="24"/>
          <w:szCs w:val="24"/>
        </w:rPr>
        <w:t>4岁的儿童每年身高增长少于5.5厘米，4</w:t>
      </w:r>
      <w:r>
        <w:rPr>
          <w:rStyle w:val="13"/>
          <w:rFonts w:hint="eastAsia" w:ascii="Times New Roman" w:hAnsi="Times New Roman" w:eastAsia="楷体" w:cs="Times New Roman"/>
          <w:bCs/>
          <w:kern w:val="2"/>
          <w:sz w:val="24"/>
          <w:szCs w:val="24"/>
          <w:lang w:val="en-US" w:eastAsia="zh-CN"/>
        </w:rPr>
        <w:t>-</w:t>
      </w:r>
      <w:r>
        <w:rPr>
          <w:rStyle w:val="13"/>
          <w:rFonts w:hint="eastAsia" w:ascii="Times New Roman" w:hAnsi="Times New Roman" w:eastAsia="楷体" w:cs="Times New Roman"/>
          <w:bCs/>
          <w:kern w:val="2"/>
          <w:sz w:val="24"/>
          <w:szCs w:val="24"/>
        </w:rPr>
        <w:t>6岁的儿童每年身高增长少于5厘米，6岁至</w:t>
      </w:r>
      <w:r>
        <w:rPr>
          <w:rStyle w:val="13"/>
          <w:rFonts w:hint="eastAsia" w:ascii="Times New Roman" w:hAnsi="Times New Roman" w:eastAsia="楷体" w:cs="华文楷体"/>
          <w:bCs/>
          <w:kern w:val="2"/>
          <w:sz w:val="24"/>
          <w:szCs w:val="24"/>
        </w:rPr>
        <w:t>青春期前的儿童每年身高增长少于4厘米，青春期儿童每年身高增长少于6厘米。</w:t>
      </w:r>
      <w:r>
        <w:rPr>
          <w:rStyle w:val="13"/>
          <w:rFonts w:hint="eastAsia" w:ascii="Times New Roman" w:hAnsi="楷体" w:eastAsia="楷体" w:cs="华文楷体"/>
          <w:bCs/>
          <w:kern w:val="2"/>
          <w:sz w:val="24"/>
          <w:szCs w:val="24"/>
        </w:rPr>
        <w:t>还</w:t>
      </w:r>
      <w:r>
        <w:rPr>
          <w:rStyle w:val="13"/>
          <w:rFonts w:ascii="Times New Roman" w:hAnsi="楷体" w:eastAsia="楷体" w:cs="华文楷体"/>
          <w:bCs/>
          <w:kern w:val="2"/>
          <w:sz w:val="24"/>
          <w:szCs w:val="24"/>
        </w:rPr>
        <w:t>可能伴有其他</w:t>
      </w:r>
      <w:r>
        <w:rPr>
          <w:rStyle w:val="13"/>
          <w:rFonts w:hint="eastAsia" w:ascii="Times New Roman" w:hAnsi="楷体" w:eastAsia="楷体" w:cs="华文楷体"/>
          <w:bCs/>
          <w:kern w:val="2"/>
          <w:sz w:val="24"/>
          <w:szCs w:val="24"/>
        </w:rPr>
        <w:t>表现，如多饮、多尿，小阴茎，骨骼发育异常，性发育迟缓等。</w:t>
      </w:r>
    </w:p>
    <w:p>
      <w:pPr>
        <w:pStyle w:val="20"/>
        <w:snapToGrid w:val="0"/>
        <w:spacing w:after="40" w:line="288" w:lineRule="auto"/>
        <w:ind w:firstLine="480" w:firstLineChars="200"/>
        <w:jc w:val="both"/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</w:pPr>
      <w:r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  <w:t>导致儿童</w:t>
      </w:r>
      <w:r>
        <w:rPr>
          <w:rStyle w:val="13"/>
          <w:rFonts w:hint="eastAsia" w:ascii="Times New Roman" w:hAnsi="Times New Roman" w:eastAsia="楷体" w:cs="华文楷体"/>
          <w:bCs/>
          <w:kern w:val="2"/>
          <w:sz w:val="24"/>
          <w:szCs w:val="24"/>
        </w:rPr>
        <w:t>矮小症</w:t>
      </w:r>
      <w:r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  <w:t>的原因较</w:t>
      </w:r>
      <w:r>
        <w:rPr>
          <w:rStyle w:val="13"/>
          <w:rFonts w:hint="eastAsia" w:ascii="Times New Roman" w:hAnsi="Times New Roman" w:eastAsia="楷体" w:cs="华文楷体"/>
          <w:bCs/>
          <w:kern w:val="2"/>
          <w:sz w:val="24"/>
          <w:szCs w:val="24"/>
        </w:rPr>
        <w:t>复杂</w:t>
      </w:r>
      <w:r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  <w:t>，主要包括两类，一类为生理性</w:t>
      </w:r>
      <w:r>
        <w:rPr>
          <w:rStyle w:val="13"/>
          <w:rFonts w:hint="eastAsia" w:ascii="Times New Roman" w:hAnsi="Times New Roman" w:eastAsia="楷体" w:cs="华文楷体"/>
          <w:bCs/>
          <w:kern w:val="2"/>
          <w:sz w:val="24"/>
          <w:szCs w:val="24"/>
        </w:rPr>
        <w:t>原因</w:t>
      </w:r>
      <w:r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  <w:t>，例如体质性青春期发育延迟</w:t>
      </w:r>
      <w:r>
        <w:rPr>
          <w:rStyle w:val="13"/>
          <w:rFonts w:hint="eastAsia" w:ascii="Times New Roman" w:hAnsi="Times New Roman" w:eastAsia="楷体" w:cs="华文楷体"/>
          <w:bCs/>
          <w:kern w:val="2"/>
          <w:sz w:val="24"/>
          <w:szCs w:val="24"/>
        </w:rPr>
        <w:t>等</w:t>
      </w:r>
      <w:r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  <w:t>; 另一类是病理性</w:t>
      </w:r>
      <w:r>
        <w:rPr>
          <w:rStyle w:val="13"/>
          <w:rFonts w:hint="eastAsia" w:ascii="Times New Roman" w:hAnsi="Times New Roman" w:eastAsia="楷体" w:cs="华文楷体"/>
          <w:bCs/>
          <w:kern w:val="2"/>
          <w:sz w:val="24"/>
          <w:szCs w:val="24"/>
        </w:rPr>
        <w:t>原因</w:t>
      </w:r>
      <w:r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  <w:t>，例如特发性矮小、生长激素缺乏、甲状腺功能减退、遗传性骨病、</w:t>
      </w:r>
      <w:r>
        <w:rPr>
          <w:rStyle w:val="13"/>
          <w:rFonts w:ascii="Times New Roman" w:hAnsi="楷体" w:eastAsia="楷体" w:cs="华文楷体"/>
          <w:bCs/>
          <w:kern w:val="2"/>
          <w:sz w:val="24"/>
          <w:szCs w:val="24"/>
        </w:rPr>
        <w:t>染色体疾病</w:t>
      </w:r>
      <w:r>
        <w:rPr>
          <w:rStyle w:val="13"/>
          <w:rFonts w:hint="eastAsia" w:ascii="Times New Roman" w:hAnsi="楷体" w:eastAsia="楷体" w:cs="华文楷体"/>
          <w:bCs/>
          <w:kern w:val="2"/>
          <w:sz w:val="24"/>
          <w:szCs w:val="24"/>
        </w:rPr>
        <w:t>（如特纳综合征）</w:t>
      </w:r>
      <w:r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  <w:t>等。</w:t>
      </w:r>
    </w:p>
    <w:p>
      <w:pPr>
        <w:pStyle w:val="20"/>
        <w:snapToGrid w:val="0"/>
        <w:spacing w:after="40" w:line="288" w:lineRule="auto"/>
        <w:jc w:val="both"/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</w:pPr>
      <w:r>
        <w:rPr>
          <w:rStyle w:val="13"/>
          <w:rFonts w:hint="eastAsia" w:ascii="Times New Roman" w:hAnsi="Times New Roman" w:eastAsia="楷体" w:cs="华文楷体"/>
          <w:bCs/>
          <w:kern w:val="2"/>
          <w:sz w:val="24"/>
          <w:szCs w:val="24"/>
        </w:rPr>
        <w:t xml:space="preserve">    </w:t>
      </w:r>
      <w:r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  <w:t>防治儿童</w:t>
      </w:r>
      <w:r>
        <w:rPr>
          <w:rStyle w:val="13"/>
          <w:rFonts w:hint="eastAsia" w:ascii="Times New Roman" w:hAnsi="Times New Roman" w:eastAsia="楷体" w:cs="华文楷体"/>
          <w:bCs/>
          <w:kern w:val="2"/>
          <w:sz w:val="24"/>
          <w:szCs w:val="24"/>
        </w:rPr>
        <w:t>矮小症</w:t>
      </w:r>
      <w:r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  <w:t>的关键在于早发现</w:t>
      </w:r>
      <w:r>
        <w:rPr>
          <w:rStyle w:val="13"/>
          <w:rFonts w:hint="eastAsia" w:ascii="Times New Roman" w:hAnsi="Times New Roman" w:eastAsia="楷体" w:cs="华文楷体"/>
          <w:bCs/>
          <w:kern w:val="2"/>
          <w:sz w:val="24"/>
          <w:szCs w:val="24"/>
        </w:rPr>
        <w:t>、</w:t>
      </w:r>
      <w:r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  <w:t>早诊断</w:t>
      </w:r>
      <w:r>
        <w:rPr>
          <w:rStyle w:val="13"/>
          <w:rFonts w:hint="eastAsia" w:ascii="Times New Roman" w:hAnsi="Times New Roman" w:eastAsia="楷体" w:cs="华文楷体"/>
          <w:bCs/>
          <w:kern w:val="2"/>
          <w:sz w:val="24"/>
          <w:szCs w:val="24"/>
        </w:rPr>
        <w:t>，明确病因，根据病因</w:t>
      </w:r>
      <w:r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  <w:t>进行积极</w:t>
      </w:r>
      <w:r>
        <w:rPr>
          <w:rStyle w:val="13"/>
          <w:rFonts w:hint="eastAsia" w:ascii="Times New Roman" w:hAnsi="Times New Roman" w:eastAsia="楷体" w:cs="华文楷体"/>
          <w:bCs/>
          <w:kern w:val="2"/>
          <w:sz w:val="24"/>
          <w:szCs w:val="24"/>
        </w:rPr>
        <w:t>管理和科学</w:t>
      </w:r>
      <w:r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  <w:t>治疗</w:t>
      </w:r>
      <w:r>
        <w:rPr>
          <w:rStyle w:val="13"/>
          <w:rFonts w:hint="eastAsia" w:ascii="Times New Roman" w:hAnsi="Times New Roman" w:eastAsia="楷体" w:cs="华文楷体"/>
          <w:bCs/>
          <w:kern w:val="2"/>
          <w:sz w:val="24"/>
          <w:szCs w:val="24"/>
        </w:rPr>
        <w:t>。因</w:t>
      </w:r>
      <w:r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  <w:t>儿童</w:t>
      </w:r>
      <w:r>
        <w:rPr>
          <w:rStyle w:val="13"/>
          <w:rFonts w:hint="eastAsia" w:ascii="Times New Roman" w:hAnsi="Times New Roman" w:eastAsia="楷体" w:cs="华文楷体"/>
          <w:bCs/>
          <w:kern w:val="2"/>
          <w:sz w:val="24"/>
          <w:szCs w:val="24"/>
        </w:rPr>
        <w:t>矮小症</w:t>
      </w:r>
      <w:r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  <w:t>早期无明显表现，建议在婴儿出生后定期</w:t>
      </w:r>
      <w:r>
        <w:rPr>
          <w:rStyle w:val="13"/>
          <w:rFonts w:hint="eastAsia" w:ascii="Times New Roman" w:hAnsi="Times New Roman" w:eastAsia="楷体" w:cs="华文楷体"/>
          <w:bCs/>
          <w:kern w:val="2"/>
          <w:sz w:val="24"/>
          <w:szCs w:val="24"/>
        </w:rPr>
        <w:t>体检</w:t>
      </w:r>
      <w:r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  <w:t>，</w:t>
      </w:r>
      <w:r>
        <w:rPr>
          <w:rStyle w:val="13"/>
          <w:rFonts w:hint="eastAsia" w:ascii="Times New Roman" w:hAnsi="Times New Roman" w:eastAsia="楷体" w:cs="华文楷体"/>
          <w:bCs/>
          <w:kern w:val="2"/>
          <w:sz w:val="24"/>
          <w:szCs w:val="24"/>
        </w:rPr>
        <w:t>监测</w:t>
      </w:r>
      <w:r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  <w:t>身高</w:t>
      </w:r>
      <w:r>
        <w:rPr>
          <w:rStyle w:val="13"/>
          <w:rFonts w:hint="eastAsia" w:ascii="Times New Roman" w:hAnsi="Times New Roman" w:eastAsia="楷体" w:cs="华文楷体"/>
          <w:bCs/>
          <w:kern w:val="2"/>
          <w:sz w:val="24"/>
          <w:szCs w:val="24"/>
        </w:rPr>
        <w:t>、</w:t>
      </w:r>
      <w:r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  <w:t>体重等指标</w:t>
      </w:r>
      <w:r>
        <w:rPr>
          <w:rStyle w:val="13"/>
          <w:rFonts w:hint="eastAsia" w:ascii="Times New Roman" w:hAnsi="Times New Roman" w:eastAsia="楷体" w:cs="华文楷体"/>
          <w:bCs/>
          <w:kern w:val="2"/>
          <w:sz w:val="24"/>
          <w:szCs w:val="24"/>
        </w:rPr>
        <w:t>，</w:t>
      </w:r>
      <w:r>
        <w:rPr>
          <w:rStyle w:val="13"/>
          <w:rFonts w:ascii="Times New Roman" w:hAnsi="Times New Roman" w:eastAsia="楷体" w:cs="华文楷体"/>
          <w:bCs/>
          <w:kern w:val="2"/>
          <w:sz w:val="24"/>
          <w:szCs w:val="24"/>
        </w:rPr>
        <w:t>以便早期发现</w:t>
      </w:r>
      <w:r>
        <w:rPr>
          <w:rStyle w:val="13"/>
          <w:rFonts w:hint="eastAsia" w:ascii="Times New Roman" w:hAnsi="Times New Roman" w:eastAsia="楷体" w:cs="华文楷体"/>
          <w:bCs/>
          <w:kern w:val="2"/>
          <w:sz w:val="24"/>
          <w:szCs w:val="24"/>
        </w:rPr>
        <w:t>，明确原因，给予规范治疗和管理。另外，也需要避免过度追求高身材，滥用保健品和药物。</w:t>
      </w:r>
    </w:p>
    <w:p>
      <w:pPr>
        <w:rPr>
          <w:rFonts w:ascii="Times New Roman" w:hAnsi="Times New Roman" w:cs="Lantinghei SC"/>
          <w:b/>
          <w:sz w:val="30"/>
          <w:szCs w:val="30"/>
          <w:shd w:val="clear" w:color="FFFFFF" w:fill="D9D9D9"/>
        </w:rPr>
      </w:pPr>
      <w:r>
        <w:rPr>
          <w:rFonts w:ascii="Times New Roman" w:hAnsi="Times New Roman"/>
        </w:rPr>
        <mc:AlternateContent>
          <mc:Choice Requires="wps">
            <w:drawing>
              <wp:inline distT="0" distB="0" distL="114300" distR="114300">
                <wp:extent cx="5284470" cy="422910"/>
                <wp:effectExtent l="0" t="0" r="11430" b="15240"/>
                <wp:docPr id="1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4470" cy="42291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Chars="-67" w:hanging="141" w:hangingChars="44"/>
                              <w:jc w:val="center"/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健康指导建议（请关注□中打</w:t>
                            </w:r>
                            <w:r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“</w:t>
                            </w: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√</w:t>
                            </w:r>
                            <w:r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”</w:t>
                            </w: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条目）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shape id="Text Box 5" o:spid="_x0000_s1026" o:spt="202" type="#_x0000_t202" style="height:33.3pt;width:416.1pt;" fillcolor="#D8D8D8" filled="t" stroked="f" coordsize="21600,21600" o:gfxdata="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3R3lj9MA&#10;AAAEAQAADwAAAAAAAAABACAAAAAiAAAAZHJzL2Rvd25yZXYueG1sUEsBAhQAFAAAAAgAh07iQCm/&#10;n0GyAQAAdgMAAA4AAAAAAAAAAQAgAAAAIgEAAGRycy9lMm9Eb2MueG1sUEsFBgAAAAAGAAYAWQEA&#10;AEY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leftChars="-67" w:hanging="141" w:hangingChars="44"/>
                        <w:jc w:val="center"/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健康指导建议（请关注□中打</w:t>
                      </w:r>
                      <w:r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“</w:t>
                      </w: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√</w:t>
                      </w:r>
                      <w:r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”</w:t>
                      </w: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条目）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spacing w:line="312" w:lineRule="auto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●健康生活方式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pacing w:after="0" w:line="288" w:lineRule="auto"/>
        <w:ind w:left="782" w:leftChars="0" w:hanging="363" w:firstLineChars="0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 xml:space="preserve">养成良好的饮食习惯，不挑食、不偏食，荤素搭配，保证食物摄入充足和各种营养素均衡，注重优质蛋白质及钙量丰富的奶类等食物的摄入。 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pacing w:after="0" w:line="288" w:lineRule="auto"/>
        <w:ind w:left="782" w:leftChars="0" w:hanging="363" w:firstLineChars="0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合理选择零食。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pacing w:after="0" w:line="288" w:lineRule="auto"/>
        <w:ind w:left="782" w:leftChars="0" w:hanging="363" w:firstLineChars="0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少喝或不喝含糖饮料。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pacing w:after="0" w:line="288" w:lineRule="auto"/>
        <w:ind w:left="782" w:leftChars="0" w:hanging="363" w:firstLineChars="0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不要滥用保健品。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pacing w:after="0" w:line="288" w:lineRule="auto"/>
        <w:ind w:left="782" w:leftChars="0" w:hanging="363" w:firstLineChars="0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出生后半个月的婴儿可以开始训练抬头、4个月训练翻身、7个月训练爬行等。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pacing w:after="0" w:line="288" w:lineRule="auto"/>
        <w:ind w:left="782" w:leftChars="0" w:hanging="363" w:firstLineChars="0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1岁以内的婴儿可以做一些被动操、按摩抚触。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pacing w:after="0" w:line="288" w:lineRule="auto"/>
        <w:ind w:left="782" w:leftChars="0" w:hanging="363" w:firstLineChars="0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1</w:t>
      </w:r>
      <w:r>
        <w:rPr>
          <w:rFonts w:hint="eastAsia" w:ascii="楷体" w:hAnsi="楷体" w:eastAsia="楷体"/>
          <w:kern w:val="0"/>
          <w:sz w:val="24"/>
          <w:szCs w:val="24"/>
          <w:lang w:val="en-US" w:eastAsia="zh-CN"/>
        </w:rPr>
        <w:t>-</w:t>
      </w:r>
      <w:r>
        <w:rPr>
          <w:rFonts w:hint="eastAsia" w:ascii="楷体" w:hAnsi="楷体" w:eastAsia="楷体"/>
          <w:kern w:val="0"/>
          <w:sz w:val="24"/>
          <w:szCs w:val="24"/>
        </w:rPr>
        <w:t>3岁的幼儿可以练习行走、跑、跳等。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pacing w:after="0" w:line="288" w:lineRule="auto"/>
        <w:ind w:left="782" w:leftChars="0" w:hanging="363" w:firstLineChars="0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3岁以上的儿童可以根据年龄选择拍球、跳绳、游泳、骑车、舞蹈、室外综合游戏、排球、篮球等运动。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pacing w:after="0" w:line="288" w:lineRule="auto"/>
        <w:ind w:left="782" w:leftChars="0" w:hanging="363" w:firstLineChars="0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每天保证足够的户外活动时间。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pacing w:after="0" w:line="288" w:lineRule="auto"/>
        <w:ind w:left="782" w:leftChars="0" w:hanging="363" w:firstLineChars="0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早睡早起，规律作息。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pacing w:after="0" w:line="288" w:lineRule="auto"/>
        <w:ind w:left="782" w:leftChars="0" w:hanging="363" w:firstLineChars="0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睡前不要进食过饱，避免喝过多的水，不宜进行剧烈的运动。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pacing w:after="0" w:line="288" w:lineRule="auto"/>
        <w:ind w:left="782" w:leftChars="0" w:hanging="363" w:firstLineChars="0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睡眠时环境要安静，室温适宜，关闭灯光，选择硬度合适的床。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pacing w:after="0" w:line="288" w:lineRule="auto"/>
        <w:ind w:left="782" w:leftChars="0" w:hanging="363" w:firstLineChars="0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 xml:space="preserve">关注孩子的情绪变化和心理状况，给孩子营造一个温馨安全、充满关爱的家庭环境。  </w:t>
      </w:r>
    </w:p>
    <w:p>
      <w:pPr>
        <w:spacing w:line="312" w:lineRule="auto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●治疗与康复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pacing w:after="0" w:line="288" w:lineRule="auto"/>
        <w:ind w:left="782" w:leftChars="0" w:hanging="363" w:firstLineChars="0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针对病因采取个性化管理和治疗。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pacing w:after="0" w:line="288" w:lineRule="auto"/>
        <w:ind w:left="782" w:leftChars="0" w:hanging="363" w:firstLineChars="0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营养不良者应合理喂养，全面均衡饮食，培养良好的饮食习惯。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pacing w:after="0" w:line="288" w:lineRule="auto"/>
        <w:ind w:left="782" w:leftChars="0" w:hanging="363" w:firstLineChars="0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由疾病引起的身材矮小者，应积极治疗原发病。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pacing w:after="0" w:line="288" w:lineRule="auto"/>
        <w:ind w:left="782" w:leftChars="0" w:hanging="363" w:firstLineChars="0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体质性生长发育迟缓与遗传因素有较大关系，不需要马上进行药物治疗，但应定期监测身高增长和身体发育情况。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pacing w:after="0" w:line="288" w:lineRule="auto"/>
        <w:ind w:left="782" w:leftChars="0" w:hanging="363" w:firstLineChars="0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由精神因素导致身材矮小者，应改善环境，使儿童得到精神上的抚慰和生活上的照顾。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pacing w:after="0" w:line="288" w:lineRule="auto"/>
        <w:ind w:left="782" w:leftChars="0" w:hanging="363" w:firstLineChars="0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由生长激素分泌不足导致身材矮小者，需在医生的指导下合理用药。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pacing w:after="0" w:line="288" w:lineRule="auto"/>
        <w:ind w:left="782" w:leftChars="0" w:hanging="363" w:firstLineChars="0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特发性矮小及其他原因导致的矮小，需要尽可能明确病因，再给予规范合理的治疗。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pacing w:after="0" w:line="288" w:lineRule="auto"/>
        <w:ind w:left="782" w:leftChars="0" w:hanging="363" w:firstLineChars="0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定期监测身高、体重和体重指数的变化，发现身高增长过慢，应及时到儿童内分泌专科就诊。</w:t>
      </w:r>
    </w:p>
    <w:p>
      <w:pPr>
        <w:spacing w:line="312" w:lineRule="auto"/>
        <w:rPr>
          <w:rFonts w:ascii="Times New Roman" w:hAnsi="Times New Roman" w:eastAsia="宋体" w:cs="Times New Roman"/>
          <w:sz w:val="24"/>
          <w:szCs w:val="24"/>
          <w:u w:val="single"/>
        </w:rPr>
      </w:pPr>
    </w:p>
    <w:p>
      <w:pPr>
        <w:autoSpaceDE w:val="0"/>
        <w:autoSpaceDN w:val="0"/>
        <w:adjustRightInd w:val="0"/>
        <w:spacing w:after="160"/>
        <w:ind w:left="-27" w:leftChars="-67" w:hanging="114" w:hangingChars="44"/>
        <w:jc w:val="center"/>
        <w:rPr>
          <w:rFonts w:ascii="黑体" w:hAnsi="黑体" w:eastAsia="黑体" w:cs="华文中宋"/>
          <w:b/>
          <w:color w:val="000000"/>
          <w:kern w:val="0"/>
          <w:sz w:val="36"/>
          <w:szCs w:val="28"/>
        </w:rPr>
      </w:pPr>
      <w:r>
        <w:rPr>
          <w:rStyle w:val="13"/>
        </w:rPr>
        <mc:AlternateContent>
          <mc:Choice Requires="wps">
            <w:drawing>
              <wp:inline distT="0" distB="0" distL="114300" distR="114300">
                <wp:extent cx="5284470" cy="504825"/>
                <wp:effectExtent l="0" t="0" r="11430" b="9525"/>
                <wp:docPr id="2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4470" cy="50482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8"/>
                              <w:spacing w:line="240" w:lineRule="auto"/>
                              <w:ind w:leftChars="-67" w:hanging="141" w:hangingChars="44"/>
                              <w:jc w:val="center"/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6"/>
                                <w:szCs w:val="28"/>
                              </w:rPr>
                            </w:pPr>
                            <w:r>
                              <w:rPr>
                                <w:rStyle w:val="21"/>
                                <w:rFonts w:hint="eastAsia" w:ascii="黑体" w:hAnsi="黑体" w:eastAsia="黑体"/>
                                <w:b/>
                                <w:sz w:val="32"/>
                                <w:shd w:val="clear" w:color="FFFFFF" w:fill="D9D9D9"/>
                              </w:rPr>
                              <w:t>其他指导建议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shape id="文本框 9" o:spid="_x0000_s1026" o:spt="202" type="#_x0000_t202" style="height:39.75pt;width:416.1pt;" fillcolor="#D8D8D8" filled="t" stroked="f" coordsize="21600,21600" o:gfxdata="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to9s/UAAAABAEAAA8AAAAAAAAAAQAgAAAAIgAAAGRycy9kb3ducmV2LnhtbFBL&#10;AQIUABQAAAAIAIdO4kBf0LTIwQEAAHcDAAAOAAAAAAAAAAEAIAAAACMBAABkcnMvZTJvRG9jLnht&#10;bFBLBQYAAAAABgAGAFkBAABW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18"/>
                        <w:spacing w:line="240" w:lineRule="auto"/>
                        <w:ind w:leftChars="-67" w:hanging="141" w:hangingChars="44"/>
                        <w:jc w:val="center"/>
                        <w:rPr>
                          <w:rFonts w:ascii="黑体" w:hAnsi="黑体" w:eastAsia="黑体" w:cs="华文中宋"/>
                          <w:b/>
                          <w:color w:val="000000"/>
                          <w:sz w:val="36"/>
                          <w:szCs w:val="28"/>
                        </w:rPr>
                      </w:pPr>
                      <w:r>
                        <w:rPr>
                          <w:rStyle w:val="21"/>
                          <w:rFonts w:hint="eastAsia" w:ascii="黑体" w:hAnsi="黑体" w:eastAsia="黑体"/>
                          <w:b/>
                          <w:sz w:val="32"/>
                          <w:shd w:val="clear" w:color="FFFFFF" w:fill="D9D9D9"/>
                        </w:rPr>
                        <w:t>其他指导建议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rFonts w:ascii="黑体" w:hAnsi="黑体" w:eastAsia="黑体" w:cs="华文中宋"/>
          <w:b/>
          <w:color w:val="000000"/>
          <w:kern w:val="0"/>
          <w:sz w:val="36"/>
          <w:szCs w:val="28"/>
        </w:rPr>
        <w:t xml:space="preserve"> </w:t>
      </w:r>
    </w:p>
    <w:p>
      <w:pPr>
        <w:spacing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                                                </w:t>
      </w:r>
    </w:p>
    <w:p>
      <w:pPr>
        <w:spacing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thick"/>
        </w:rPr>
        <w:t xml:space="preserve">                                                                                            </w:t>
      </w:r>
      <w:r>
        <w:rPr>
          <w:rFonts w:asciiTheme="minorEastAsia" w:hAnsiTheme="minorEastAsia"/>
          <w:sz w:val="24"/>
          <w:szCs w:val="24"/>
          <w:u w:val="single"/>
        </w:rPr>
        <w:t xml:space="preserve">        </w:t>
      </w:r>
    </w:p>
    <w:p>
      <w:pPr>
        <w:rPr>
          <w:rStyle w:val="23"/>
          <w:rFonts w:cs="华文楷体" w:asciiTheme="minorEastAsia" w:hAnsiTheme="minorEastAsia"/>
          <w:sz w:val="24"/>
          <w:szCs w:val="24"/>
        </w:rPr>
      </w:pPr>
      <w:r>
        <w:rPr>
          <w:rStyle w:val="23"/>
          <w:rFonts w:hint="eastAsia" w:cs="华文楷体" w:asciiTheme="minorEastAsia" w:hAnsiTheme="minorEastAsia"/>
          <w:sz w:val="24"/>
          <w:szCs w:val="24"/>
        </w:rPr>
        <w:t>医生/指导人员签名：</w:t>
      </w:r>
      <w:r>
        <w:rPr>
          <w:rStyle w:val="23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3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3"/>
          <w:rFonts w:hint="eastAsia" w:cs="华文楷体" w:asciiTheme="minorEastAsia" w:hAnsiTheme="minorEastAsia"/>
          <w:sz w:val="24"/>
          <w:szCs w:val="24"/>
        </w:rPr>
        <w:t xml:space="preserve"> 咨询电话：</w:t>
      </w:r>
      <w:r>
        <w:rPr>
          <w:rStyle w:val="23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3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3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3"/>
          <w:rFonts w:hint="eastAsia" w:cs="华文楷体" w:asciiTheme="minorEastAsia" w:hAnsiTheme="minorEastAsia"/>
          <w:sz w:val="24"/>
          <w:szCs w:val="24"/>
        </w:rPr>
        <w:t>日期：</w:t>
      </w:r>
      <w:r>
        <w:rPr>
          <w:rStyle w:val="23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3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3"/>
          <w:rFonts w:hint="eastAsia" w:cs="华文楷体" w:asciiTheme="minorEastAsia" w:hAnsiTheme="minorEastAsia"/>
          <w:sz w:val="24"/>
          <w:szCs w:val="24"/>
        </w:rPr>
        <w:t>年   月   日</w:t>
      </w:r>
    </w:p>
    <w:p>
      <w:pPr>
        <w:spacing w:after="40"/>
        <w:rPr>
          <w:rFonts w:ascii="Times New Roman" w:hAnsi="Times New Roman" w:eastAsia="宋体" w:cs="Times New Roman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dotted"/>
        </w:rPr>
        <w:t xml:space="preserve">                                                                                     </w:t>
      </w:r>
    </w:p>
    <w:p>
      <w:pPr>
        <w:snapToGrid w:val="0"/>
        <w:jc w:val="center"/>
        <w:rPr>
          <w:rFonts w:ascii="Times New Roman" w:hAnsi="Times New Roman" w:eastAsia="仿宋_GB2312"/>
          <w:b/>
          <w:sz w:val="24"/>
          <w:szCs w:val="21"/>
        </w:rPr>
      </w:pPr>
    </w:p>
    <w:p>
      <w:pPr>
        <w:snapToGrid w:val="0"/>
        <w:jc w:val="center"/>
        <w:rPr>
          <w:rFonts w:ascii="Times New Roman" w:hAnsi="Times New Roman" w:eastAsia="仿宋_GB2312"/>
          <w:b/>
          <w:sz w:val="24"/>
          <w:szCs w:val="21"/>
        </w:rPr>
      </w:pPr>
      <w:r>
        <w:rPr>
          <w:rFonts w:hint="eastAsia" w:ascii="Times New Roman" w:hAnsi="Times New Roman" w:eastAsia="仿宋_GB2312"/>
          <w:b/>
          <w:sz w:val="24"/>
          <w:szCs w:val="21"/>
        </w:rPr>
        <w:t>儿童矮小症患者健康教育处方使用说明</w:t>
      </w:r>
    </w:p>
    <w:p>
      <w:pPr>
        <w:snapToGrid w:val="0"/>
        <w:ind w:firstLine="210" w:firstLineChars="100"/>
        <w:rPr>
          <w:rFonts w:ascii="Times New Roman" w:hAnsi="Times New Roman" w:eastAsia="仿宋_GB2312"/>
          <w:szCs w:val="21"/>
        </w:rPr>
      </w:pPr>
    </w:p>
    <w:p>
      <w:pPr>
        <w:snapToGrid w:val="0"/>
        <w:ind w:firstLine="211" w:firstLineChars="100"/>
        <w:rPr>
          <w:rFonts w:ascii="Times New Roman" w:hAnsi="Times New Roman" w:eastAsia="仿宋_GB2312"/>
          <w:szCs w:val="21"/>
        </w:rPr>
      </w:pPr>
      <w:r>
        <w:rPr>
          <w:rFonts w:hint="eastAsia" w:ascii="Times New Roman" w:hAnsi="Times New Roman" w:eastAsia="仿宋_GB2312"/>
          <w:b/>
          <w:szCs w:val="21"/>
        </w:rPr>
        <w:t>★使用对象:</w:t>
      </w:r>
      <w:r>
        <w:rPr>
          <w:rFonts w:hint="eastAsia" w:ascii="Times New Roman" w:hAnsi="Times New Roman" w:eastAsia="仿宋_GB2312"/>
          <w:szCs w:val="21"/>
        </w:rPr>
        <w:t>儿童矮小症患者和父母或看护人。</w:t>
      </w:r>
    </w:p>
    <w:p>
      <w:pPr>
        <w:snapToGrid w:val="0"/>
        <w:ind w:firstLine="211" w:firstLineChars="100"/>
        <w:rPr>
          <w:rFonts w:ascii="Times New Roman" w:hAnsi="Times New Roman" w:eastAsia="仿宋_GB2312"/>
          <w:b/>
          <w:szCs w:val="21"/>
        </w:rPr>
      </w:pPr>
      <w:r>
        <w:rPr>
          <w:rFonts w:hint="eastAsia" w:ascii="Times New Roman" w:hAnsi="Times New Roman" w:eastAsia="仿宋_GB2312"/>
          <w:b/>
          <w:szCs w:val="21"/>
        </w:rPr>
        <w:t>★使用方法：</w:t>
      </w:r>
    </w:p>
    <w:p>
      <w:pPr>
        <w:snapToGrid w:val="0"/>
        <w:spacing w:line="276" w:lineRule="auto"/>
        <w:rPr>
          <w:rFonts w:ascii="仿宋_GB2312" w:hAnsi="仿宋" w:eastAsia="仿宋_GB2312" w:cs="Times New Roman"/>
          <w:szCs w:val="21"/>
        </w:rPr>
      </w:pPr>
      <w:r>
        <w:rPr>
          <w:rFonts w:hint="eastAsia" w:ascii="仿宋_GB2312" w:hAnsi="仿宋" w:eastAsia="仿宋_GB2312" w:cs="Times New Roman"/>
          <w:szCs w:val="21"/>
        </w:rPr>
        <w:t xml:space="preserve">  1.本处方不能替代医务人员开具的医疗处方，主要用于患者健康生活方式指导。</w:t>
      </w:r>
    </w:p>
    <w:p>
      <w:pPr>
        <w:snapToGrid w:val="0"/>
        <w:spacing w:line="276" w:lineRule="auto"/>
        <w:rPr>
          <w:rFonts w:ascii="Times New Roman" w:hAnsi="Times New Roman" w:eastAsia="仿宋_GB2312"/>
          <w:sz w:val="24"/>
          <w:szCs w:val="24"/>
        </w:rPr>
      </w:pPr>
      <w:r>
        <w:rPr>
          <w:rFonts w:hint="eastAsia" w:ascii="仿宋_GB2312" w:hAnsi="仿宋" w:eastAsia="仿宋_GB2312" w:cs="Times New Roman"/>
          <w:szCs w:val="21"/>
        </w:rPr>
        <w:t xml:space="preserve">  2.医务人员应结合患者的病情、健康危险因素等，提供有针对性的健康指导。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DSBXP+STKaiti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antinghei SC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87CB29"/>
    <w:multiLevelType w:val="multilevel"/>
    <w:tmpl w:val="FA87CB29"/>
    <w:lvl w:ilvl="0" w:tentative="0">
      <w:start w:val="1"/>
      <w:numFmt w:val="bullet"/>
      <w:lvlText w:val="□"/>
      <w:lvlJc w:val="left"/>
      <w:pPr>
        <w:ind w:left="780" w:hanging="360"/>
      </w:pPr>
      <w:rPr>
        <w:rFonts w:hint="default" w:ascii="宋体" w:hAnsi="宋体" w:eastAsia="宋体" w:cs="宋体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126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68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210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52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94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336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78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4200" w:leftChars="0" w:hanging="420" w:firstLineChars="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iMzYyMDk3YmU5MTUwY2IwMDEzMmRhYmIxYzI4MDAifQ=="/>
  </w:docVars>
  <w:rsids>
    <w:rsidRoot w:val="00790C61"/>
    <w:rsid w:val="00001236"/>
    <w:rsid w:val="0001327B"/>
    <w:rsid w:val="000265A3"/>
    <w:rsid w:val="00026801"/>
    <w:rsid w:val="000378D0"/>
    <w:rsid w:val="00040DDC"/>
    <w:rsid w:val="0004385E"/>
    <w:rsid w:val="000458E2"/>
    <w:rsid w:val="00045B9B"/>
    <w:rsid w:val="000627E2"/>
    <w:rsid w:val="000652E9"/>
    <w:rsid w:val="000716A2"/>
    <w:rsid w:val="000901D5"/>
    <w:rsid w:val="00096948"/>
    <w:rsid w:val="000A1D4A"/>
    <w:rsid w:val="000E0FC2"/>
    <w:rsid w:val="000E45AD"/>
    <w:rsid w:val="00106983"/>
    <w:rsid w:val="00117CBA"/>
    <w:rsid w:val="001222DE"/>
    <w:rsid w:val="001252B7"/>
    <w:rsid w:val="00126328"/>
    <w:rsid w:val="0013428F"/>
    <w:rsid w:val="00143018"/>
    <w:rsid w:val="0015373B"/>
    <w:rsid w:val="0016269D"/>
    <w:rsid w:val="0016538F"/>
    <w:rsid w:val="0016625D"/>
    <w:rsid w:val="0017440F"/>
    <w:rsid w:val="00175E11"/>
    <w:rsid w:val="001767B7"/>
    <w:rsid w:val="00181BBA"/>
    <w:rsid w:val="0018462A"/>
    <w:rsid w:val="00197E27"/>
    <w:rsid w:val="001A6EFA"/>
    <w:rsid w:val="001B2E41"/>
    <w:rsid w:val="001D2423"/>
    <w:rsid w:val="001D40FE"/>
    <w:rsid w:val="001E4CC6"/>
    <w:rsid w:val="001E745D"/>
    <w:rsid w:val="001F4CCC"/>
    <w:rsid w:val="00216957"/>
    <w:rsid w:val="00222059"/>
    <w:rsid w:val="00255DA8"/>
    <w:rsid w:val="00261B51"/>
    <w:rsid w:val="00271B07"/>
    <w:rsid w:val="00274128"/>
    <w:rsid w:val="00277DBD"/>
    <w:rsid w:val="002830C0"/>
    <w:rsid w:val="00291ADB"/>
    <w:rsid w:val="00296BD6"/>
    <w:rsid w:val="002A21B2"/>
    <w:rsid w:val="002B3E67"/>
    <w:rsid w:val="002B5A08"/>
    <w:rsid w:val="002B680C"/>
    <w:rsid w:val="002D1AD4"/>
    <w:rsid w:val="002E4D74"/>
    <w:rsid w:val="002F5262"/>
    <w:rsid w:val="00300488"/>
    <w:rsid w:val="003074EB"/>
    <w:rsid w:val="00317916"/>
    <w:rsid w:val="0032484C"/>
    <w:rsid w:val="00334F76"/>
    <w:rsid w:val="003373D3"/>
    <w:rsid w:val="003524B9"/>
    <w:rsid w:val="00360A69"/>
    <w:rsid w:val="00372125"/>
    <w:rsid w:val="00381BD1"/>
    <w:rsid w:val="00390B06"/>
    <w:rsid w:val="003955CB"/>
    <w:rsid w:val="003B65C5"/>
    <w:rsid w:val="003D068B"/>
    <w:rsid w:val="003D2121"/>
    <w:rsid w:val="003D4519"/>
    <w:rsid w:val="003D57D5"/>
    <w:rsid w:val="003E6388"/>
    <w:rsid w:val="003E79EA"/>
    <w:rsid w:val="003F1B83"/>
    <w:rsid w:val="0040657D"/>
    <w:rsid w:val="00407EB9"/>
    <w:rsid w:val="0041052A"/>
    <w:rsid w:val="00412CCF"/>
    <w:rsid w:val="00423C3A"/>
    <w:rsid w:val="0042455E"/>
    <w:rsid w:val="004369EE"/>
    <w:rsid w:val="00437C84"/>
    <w:rsid w:val="0045722C"/>
    <w:rsid w:val="00461A37"/>
    <w:rsid w:val="004626EE"/>
    <w:rsid w:val="00464CC4"/>
    <w:rsid w:val="00467118"/>
    <w:rsid w:val="00467C5F"/>
    <w:rsid w:val="00467E61"/>
    <w:rsid w:val="00471F43"/>
    <w:rsid w:val="00481889"/>
    <w:rsid w:val="0048334A"/>
    <w:rsid w:val="00487E11"/>
    <w:rsid w:val="0049134F"/>
    <w:rsid w:val="00491A3E"/>
    <w:rsid w:val="00492632"/>
    <w:rsid w:val="004944DA"/>
    <w:rsid w:val="004A0F19"/>
    <w:rsid w:val="004A3EB7"/>
    <w:rsid w:val="004A6687"/>
    <w:rsid w:val="004B0C04"/>
    <w:rsid w:val="004B62C9"/>
    <w:rsid w:val="004C1AE6"/>
    <w:rsid w:val="004C272C"/>
    <w:rsid w:val="004C42F8"/>
    <w:rsid w:val="004E41BF"/>
    <w:rsid w:val="004E6ABD"/>
    <w:rsid w:val="00507AB7"/>
    <w:rsid w:val="00510E2E"/>
    <w:rsid w:val="0051546D"/>
    <w:rsid w:val="00520CAD"/>
    <w:rsid w:val="00523D31"/>
    <w:rsid w:val="005267ED"/>
    <w:rsid w:val="00527C58"/>
    <w:rsid w:val="00531A43"/>
    <w:rsid w:val="005360E3"/>
    <w:rsid w:val="0053739C"/>
    <w:rsid w:val="005653F7"/>
    <w:rsid w:val="00567FB0"/>
    <w:rsid w:val="00574777"/>
    <w:rsid w:val="00592E7D"/>
    <w:rsid w:val="005963D7"/>
    <w:rsid w:val="005A09B6"/>
    <w:rsid w:val="005B1F5D"/>
    <w:rsid w:val="005D4903"/>
    <w:rsid w:val="005E120B"/>
    <w:rsid w:val="005E350D"/>
    <w:rsid w:val="006014E7"/>
    <w:rsid w:val="00610BBA"/>
    <w:rsid w:val="00612995"/>
    <w:rsid w:val="00621820"/>
    <w:rsid w:val="00645CCA"/>
    <w:rsid w:val="00660CA9"/>
    <w:rsid w:val="006632B4"/>
    <w:rsid w:val="006727A8"/>
    <w:rsid w:val="006A4A08"/>
    <w:rsid w:val="006C2067"/>
    <w:rsid w:val="006D69A2"/>
    <w:rsid w:val="006E414E"/>
    <w:rsid w:val="006E72ED"/>
    <w:rsid w:val="006F0119"/>
    <w:rsid w:val="006F5314"/>
    <w:rsid w:val="00702016"/>
    <w:rsid w:val="00703E09"/>
    <w:rsid w:val="00706F3C"/>
    <w:rsid w:val="00714F16"/>
    <w:rsid w:val="00717A63"/>
    <w:rsid w:val="00722E11"/>
    <w:rsid w:val="00736E04"/>
    <w:rsid w:val="007455BE"/>
    <w:rsid w:val="00763011"/>
    <w:rsid w:val="007832AE"/>
    <w:rsid w:val="0078674B"/>
    <w:rsid w:val="00790C61"/>
    <w:rsid w:val="00791D46"/>
    <w:rsid w:val="00794C75"/>
    <w:rsid w:val="00797AF8"/>
    <w:rsid w:val="007A2667"/>
    <w:rsid w:val="007A3192"/>
    <w:rsid w:val="007B33EA"/>
    <w:rsid w:val="007C658E"/>
    <w:rsid w:val="007D1207"/>
    <w:rsid w:val="007D736C"/>
    <w:rsid w:val="007E2AE1"/>
    <w:rsid w:val="007E6A4F"/>
    <w:rsid w:val="007E76A9"/>
    <w:rsid w:val="007F3CF7"/>
    <w:rsid w:val="007F7A12"/>
    <w:rsid w:val="0081432A"/>
    <w:rsid w:val="00825354"/>
    <w:rsid w:val="00835892"/>
    <w:rsid w:val="00845B94"/>
    <w:rsid w:val="00850E0C"/>
    <w:rsid w:val="008668F4"/>
    <w:rsid w:val="00867C86"/>
    <w:rsid w:val="0088245F"/>
    <w:rsid w:val="00887D06"/>
    <w:rsid w:val="00896F39"/>
    <w:rsid w:val="008A25B2"/>
    <w:rsid w:val="008A465F"/>
    <w:rsid w:val="008A4E43"/>
    <w:rsid w:val="008B1C03"/>
    <w:rsid w:val="008B3139"/>
    <w:rsid w:val="008B3C6B"/>
    <w:rsid w:val="008C087B"/>
    <w:rsid w:val="008C5718"/>
    <w:rsid w:val="008D6446"/>
    <w:rsid w:val="008E47D9"/>
    <w:rsid w:val="008F6363"/>
    <w:rsid w:val="008F74CA"/>
    <w:rsid w:val="009203E0"/>
    <w:rsid w:val="009226D1"/>
    <w:rsid w:val="00927B02"/>
    <w:rsid w:val="00965251"/>
    <w:rsid w:val="00971A46"/>
    <w:rsid w:val="00993966"/>
    <w:rsid w:val="0099399C"/>
    <w:rsid w:val="009B079E"/>
    <w:rsid w:val="009B17E8"/>
    <w:rsid w:val="009B2BDD"/>
    <w:rsid w:val="009B5FAC"/>
    <w:rsid w:val="009B67EC"/>
    <w:rsid w:val="009C66BB"/>
    <w:rsid w:val="009E25AF"/>
    <w:rsid w:val="009E5A4C"/>
    <w:rsid w:val="00A0271B"/>
    <w:rsid w:val="00A030F2"/>
    <w:rsid w:val="00A150BC"/>
    <w:rsid w:val="00A23146"/>
    <w:rsid w:val="00A26173"/>
    <w:rsid w:val="00A339DC"/>
    <w:rsid w:val="00A44DEF"/>
    <w:rsid w:val="00A54919"/>
    <w:rsid w:val="00A635EC"/>
    <w:rsid w:val="00A63687"/>
    <w:rsid w:val="00A7342B"/>
    <w:rsid w:val="00A843A6"/>
    <w:rsid w:val="00A8599E"/>
    <w:rsid w:val="00A90C5D"/>
    <w:rsid w:val="00AB5D58"/>
    <w:rsid w:val="00AB6E60"/>
    <w:rsid w:val="00AC59D3"/>
    <w:rsid w:val="00AD107F"/>
    <w:rsid w:val="00AD2F83"/>
    <w:rsid w:val="00AD5D2A"/>
    <w:rsid w:val="00AE27CA"/>
    <w:rsid w:val="00AE725B"/>
    <w:rsid w:val="00AE778B"/>
    <w:rsid w:val="00AF657B"/>
    <w:rsid w:val="00B12438"/>
    <w:rsid w:val="00B37693"/>
    <w:rsid w:val="00B7273C"/>
    <w:rsid w:val="00B736E3"/>
    <w:rsid w:val="00B75E68"/>
    <w:rsid w:val="00B911CD"/>
    <w:rsid w:val="00BA08EC"/>
    <w:rsid w:val="00BA343A"/>
    <w:rsid w:val="00BD1EB6"/>
    <w:rsid w:val="00BD33AB"/>
    <w:rsid w:val="00BD598F"/>
    <w:rsid w:val="00BE57DB"/>
    <w:rsid w:val="00BF7C8D"/>
    <w:rsid w:val="00C04204"/>
    <w:rsid w:val="00C106D4"/>
    <w:rsid w:val="00C16AF0"/>
    <w:rsid w:val="00C20BEF"/>
    <w:rsid w:val="00C270B3"/>
    <w:rsid w:val="00C37B7A"/>
    <w:rsid w:val="00C57812"/>
    <w:rsid w:val="00C607A1"/>
    <w:rsid w:val="00C8647D"/>
    <w:rsid w:val="00C9127C"/>
    <w:rsid w:val="00CB1BAD"/>
    <w:rsid w:val="00CC67DF"/>
    <w:rsid w:val="00CF34FE"/>
    <w:rsid w:val="00D1087B"/>
    <w:rsid w:val="00D1190B"/>
    <w:rsid w:val="00D1778B"/>
    <w:rsid w:val="00D25A94"/>
    <w:rsid w:val="00D27FFD"/>
    <w:rsid w:val="00D43F77"/>
    <w:rsid w:val="00D477B1"/>
    <w:rsid w:val="00D47986"/>
    <w:rsid w:val="00D47D2C"/>
    <w:rsid w:val="00D51904"/>
    <w:rsid w:val="00D55481"/>
    <w:rsid w:val="00D55D30"/>
    <w:rsid w:val="00D628EC"/>
    <w:rsid w:val="00D748B4"/>
    <w:rsid w:val="00D75F52"/>
    <w:rsid w:val="00D87519"/>
    <w:rsid w:val="00D962AF"/>
    <w:rsid w:val="00D96DEF"/>
    <w:rsid w:val="00DB0426"/>
    <w:rsid w:val="00DB37FD"/>
    <w:rsid w:val="00DC7C4F"/>
    <w:rsid w:val="00DD2F1E"/>
    <w:rsid w:val="00DD6BA7"/>
    <w:rsid w:val="00DE6042"/>
    <w:rsid w:val="00E01460"/>
    <w:rsid w:val="00E12B2E"/>
    <w:rsid w:val="00E24188"/>
    <w:rsid w:val="00E242C3"/>
    <w:rsid w:val="00E25FAA"/>
    <w:rsid w:val="00E3134E"/>
    <w:rsid w:val="00E6342F"/>
    <w:rsid w:val="00E66FDA"/>
    <w:rsid w:val="00E86CD3"/>
    <w:rsid w:val="00E93F52"/>
    <w:rsid w:val="00EA78C9"/>
    <w:rsid w:val="00EB588A"/>
    <w:rsid w:val="00EC1689"/>
    <w:rsid w:val="00EC56C7"/>
    <w:rsid w:val="00ED14DD"/>
    <w:rsid w:val="00ED1630"/>
    <w:rsid w:val="00ED25CD"/>
    <w:rsid w:val="00ED32C3"/>
    <w:rsid w:val="00ED7A77"/>
    <w:rsid w:val="00EE091F"/>
    <w:rsid w:val="00EF069B"/>
    <w:rsid w:val="00EF6460"/>
    <w:rsid w:val="00F1739E"/>
    <w:rsid w:val="00F23790"/>
    <w:rsid w:val="00F26F1F"/>
    <w:rsid w:val="00F31A78"/>
    <w:rsid w:val="00F350FC"/>
    <w:rsid w:val="00F44493"/>
    <w:rsid w:val="00F51265"/>
    <w:rsid w:val="00F673AD"/>
    <w:rsid w:val="00F72951"/>
    <w:rsid w:val="00F815AC"/>
    <w:rsid w:val="00F85D61"/>
    <w:rsid w:val="00F87BE0"/>
    <w:rsid w:val="00F87BE4"/>
    <w:rsid w:val="00F92FDF"/>
    <w:rsid w:val="00F95175"/>
    <w:rsid w:val="00FA0818"/>
    <w:rsid w:val="00FA7244"/>
    <w:rsid w:val="00FB231B"/>
    <w:rsid w:val="00FB2D7A"/>
    <w:rsid w:val="00FB3A3C"/>
    <w:rsid w:val="00FB3BA3"/>
    <w:rsid w:val="00FC49B9"/>
    <w:rsid w:val="00FD3AE0"/>
    <w:rsid w:val="00FE0606"/>
    <w:rsid w:val="00FE454B"/>
    <w:rsid w:val="00FE54DE"/>
    <w:rsid w:val="00FF2287"/>
    <w:rsid w:val="01341994"/>
    <w:rsid w:val="029F0106"/>
    <w:rsid w:val="03157F7F"/>
    <w:rsid w:val="03392E5D"/>
    <w:rsid w:val="036D00B1"/>
    <w:rsid w:val="04E76C46"/>
    <w:rsid w:val="06D62C3C"/>
    <w:rsid w:val="0C703361"/>
    <w:rsid w:val="0C9073C2"/>
    <w:rsid w:val="0CC6352C"/>
    <w:rsid w:val="0F2905D1"/>
    <w:rsid w:val="105B638A"/>
    <w:rsid w:val="12AE5049"/>
    <w:rsid w:val="14805C3E"/>
    <w:rsid w:val="197D4F7E"/>
    <w:rsid w:val="19D723FA"/>
    <w:rsid w:val="1A93014C"/>
    <w:rsid w:val="1B3F7A42"/>
    <w:rsid w:val="1C1F2477"/>
    <w:rsid w:val="1DFA4EAD"/>
    <w:rsid w:val="20303BCE"/>
    <w:rsid w:val="20EA63B3"/>
    <w:rsid w:val="22173B40"/>
    <w:rsid w:val="229100F4"/>
    <w:rsid w:val="248F2032"/>
    <w:rsid w:val="25D71C82"/>
    <w:rsid w:val="275E3A94"/>
    <w:rsid w:val="28615D84"/>
    <w:rsid w:val="28793942"/>
    <w:rsid w:val="295D291F"/>
    <w:rsid w:val="29A55C25"/>
    <w:rsid w:val="2ADB3A6D"/>
    <w:rsid w:val="2AEB7EEA"/>
    <w:rsid w:val="2B046BFE"/>
    <w:rsid w:val="2BED18C1"/>
    <w:rsid w:val="2EA87BC3"/>
    <w:rsid w:val="2EB85B12"/>
    <w:rsid w:val="34F771B8"/>
    <w:rsid w:val="35D32AB5"/>
    <w:rsid w:val="36391222"/>
    <w:rsid w:val="37140193"/>
    <w:rsid w:val="372F22C9"/>
    <w:rsid w:val="3866081A"/>
    <w:rsid w:val="38E53156"/>
    <w:rsid w:val="396A13D6"/>
    <w:rsid w:val="39C55500"/>
    <w:rsid w:val="3AFF0264"/>
    <w:rsid w:val="3B9F2676"/>
    <w:rsid w:val="3C3A48AD"/>
    <w:rsid w:val="3E0834E1"/>
    <w:rsid w:val="3E584928"/>
    <w:rsid w:val="3E634607"/>
    <w:rsid w:val="40C379BD"/>
    <w:rsid w:val="413E02FD"/>
    <w:rsid w:val="41D13DEB"/>
    <w:rsid w:val="434D4027"/>
    <w:rsid w:val="44F67B1D"/>
    <w:rsid w:val="4AD265F1"/>
    <w:rsid w:val="4C665607"/>
    <w:rsid w:val="4CB94DD4"/>
    <w:rsid w:val="4ED25E47"/>
    <w:rsid w:val="4EDD0CF5"/>
    <w:rsid w:val="4F6A5520"/>
    <w:rsid w:val="4F6D555F"/>
    <w:rsid w:val="50685468"/>
    <w:rsid w:val="514E5D39"/>
    <w:rsid w:val="515D2341"/>
    <w:rsid w:val="52CA7410"/>
    <w:rsid w:val="53497250"/>
    <w:rsid w:val="53C876E2"/>
    <w:rsid w:val="55F2185B"/>
    <w:rsid w:val="56DD7915"/>
    <w:rsid w:val="56E343EA"/>
    <w:rsid w:val="59176883"/>
    <w:rsid w:val="5B8C46E9"/>
    <w:rsid w:val="5BF85179"/>
    <w:rsid w:val="5C452A22"/>
    <w:rsid w:val="5D706515"/>
    <w:rsid w:val="5DD07D8F"/>
    <w:rsid w:val="5EBF28B7"/>
    <w:rsid w:val="60B33C83"/>
    <w:rsid w:val="60C37EFB"/>
    <w:rsid w:val="63A03107"/>
    <w:rsid w:val="664A27CB"/>
    <w:rsid w:val="68E40243"/>
    <w:rsid w:val="69210A1E"/>
    <w:rsid w:val="694F4CEA"/>
    <w:rsid w:val="6BE23F75"/>
    <w:rsid w:val="6DC81A4B"/>
    <w:rsid w:val="6F8F2A01"/>
    <w:rsid w:val="6FED70E6"/>
    <w:rsid w:val="71D9478C"/>
    <w:rsid w:val="72090C37"/>
    <w:rsid w:val="72B83FF6"/>
    <w:rsid w:val="76087376"/>
    <w:rsid w:val="78294F7D"/>
    <w:rsid w:val="782D565A"/>
    <w:rsid w:val="78345E13"/>
    <w:rsid w:val="79134572"/>
    <w:rsid w:val="79781BED"/>
    <w:rsid w:val="7A883041"/>
    <w:rsid w:val="7B1C1171"/>
    <w:rsid w:val="7B1E2494"/>
    <w:rsid w:val="7C53145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7"/>
    <w:autoRedefine/>
    <w:semiHidden/>
    <w:unhideWhenUsed/>
    <w:qFormat/>
    <w:uiPriority w:val="99"/>
    <w:rPr>
      <w:b/>
      <w:bCs/>
    </w:rPr>
  </w:style>
  <w:style w:type="character" w:styleId="9">
    <w:name w:val="Strong"/>
    <w:basedOn w:val="8"/>
    <w:autoRedefine/>
    <w:qFormat/>
    <w:uiPriority w:val="22"/>
    <w:rPr>
      <w:b/>
      <w:bCs/>
    </w:rPr>
  </w:style>
  <w:style w:type="character" w:styleId="10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1">
    <w:name w:val="页眉 Char"/>
    <w:basedOn w:val="8"/>
    <w:link w:val="5"/>
    <w:autoRedefine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3">
    <w:name w:val="A1"/>
    <w:qFormat/>
    <w:uiPriority w:val="99"/>
    <w:rPr>
      <w:rFonts w:ascii="GDSBXP+STKaiti" w:eastAsia="GDSBXP+STKaiti" w:cs="GDSBXP+STKaiti"/>
      <w:color w:val="000000"/>
      <w:sz w:val="26"/>
      <w:szCs w:val="26"/>
    </w:rPr>
  </w:style>
  <w:style w:type="paragraph" w:customStyle="1" w:styleId="14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5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6">
    <w:name w:val="批注文字 Char"/>
    <w:basedOn w:val="8"/>
    <w:link w:val="2"/>
    <w:autoRedefine/>
    <w:semiHidden/>
    <w:qFormat/>
    <w:uiPriority w:val="99"/>
  </w:style>
  <w:style w:type="character" w:customStyle="1" w:styleId="17">
    <w:name w:val="批注主题 Char"/>
    <w:basedOn w:val="16"/>
    <w:link w:val="6"/>
    <w:autoRedefine/>
    <w:semiHidden/>
    <w:qFormat/>
    <w:uiPriority w:val="99"/>
    <w:rPr>
      <w:b/>
      <w:bCs/>
    </w:rPr>
  </w:style>
  <w:style w:type="paragraph" w:customStyle="1" w:styleId="18">
    <w:name w:val="Pa0"/>
    <w:basedOn w:val="1"/>
    <w:next w:val="1"/>
    <w:link w:val="22"/>
    <w:autoRedefine/>
    <w:qFormat/>
    <w:uiPriority w:val="99"/>
    <w:pPr>
      <w:autoSpaceDE w:val="0"/>
      <w:autoSpaceDN w:val="0"/>
      <w:adjustRightInd w:val="0"/>
      <w:spacing w:after="160" w:line="241" w:lineRule="atLeast"/>
      <w:jc w:val="left"/>
    </w:pPr>
    <w:rPr>
      <w:rFonts w:ascii="Lantinghei SC" w:eastAsia="Lantinghei SC"/>
      <w:kern w:val="0"/>
      <w:sz w:val="24"/>
      <w:szCs w:val="24"/>
    </w:rPr>
  </w:style>
  <w:style w:type="character" w:customStyle="1" w:styleId="19">
    <w:name w:val="A0"/>
    <w:autoRedefine/>
    <w:qFormat/>
    <w:uiPriority w:val="99"/>
    <w:rPr>
      <w:rFonts w:cs="Lantinghei SC"/>
      <w:color w:val="000000"/>
      <w:sz w:val="36"/>
      <w:szCs w:val="36"/>
    </w:rPr>
  </w:style>
  <w:style w:type="paragraph" w:customStyle="1" w:styleId="20">
    <w:name w:val="Pa1"/>
    <w:basedOn w:val="1"/>
    <w:next w:val="1"/>
    <w:qFormat/>
    <w:uiPriority w:val="99"/>
    <w:pPr>
      <w:autoSpaceDE w:val="0"/>
      <w:autoSpaceDN w:val="0"/>
      <w:adjustRightInd w:val="0"/>
      <w:spacing w:after="160" w:line="241" w:lineRule="atLeast"/>
      <w:jc w:val="left"/>
    </w:pPr>
    <w:rPr>
      <w:rFonts w:ascii="Lantinghei SC" w:eastAsia="Lantinghei SC"/>
      <w:kern w:val="0"/>
      <w:sz w:val="24"/>
      <w:szCs w:val="24"/>
    </w:rPr>
  </w:style>
  <w:style w:type="character" w:customStyle="1" w:styleId="21">
    <w:name w:val="A2"/>
    <w:autoRedefine/>
    <w:qFormat/>
    <w:uiPriority w:val="99"/>
    <w:rPr>
      <w:rFonts w:cs="Lantinghei SC"/>
      <w:color w:val="000000"/>
      <w:sz w:val="30"/>
      <w:szCs w:val="30"/>
    </w:rPr>
  </w:style>
  <w:style w:type="character" w:customStyle="1" w:styleId="22">
    <w:name w:val="Pa0 字符"/>
    <w:basedOn w:val="8"/>
    <w:link w:val="18"/>
    <w:qFormat/>
    <w:uiPriority w:val="99"/>
    <w:rPr>
      <w:rFonts w:ascii="Lantinghei SC" w:eastAsia="Lantinghei SC"/>
      <w:kern w:val="0"/>
      <w:sz w:val="24"/>
      <w:szCs w:val="24"/>
    </w:rPr>
  </w:style>
  <w:style w:type="character" w:customStyle="1" w:styleId="23">
    <w:name w:val="A7"/>
    <w:autoRedefine/>
    <w:qFormat/>
    <w:uiPriority w:val="99"/>
    <w:rPr>
      <w:rFonts w:ascii="仿宋" w:eastAsia="仿宋" w:cs="仿宋"/>
      <w:color w:val="000000"/>
      <w:sz w:val="28"/>
      <w:szCs w:val="28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275</Words>
  <Characters>1573</Characters>
  <Lines>13</Lines>
  <Paragraphs>3</Paragraphs>
  <TotalTime>37</TotalTime>
  <ScaleCrop>false</ScaleCrop>
  <LinksUpToDate>false</LinksUpToDate>
  <CharactersWithSpaces>1845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2023-12-25T14:03:00Z</dcterms:created>
  <dc:creator>admin</dc:creator>
  <cp:lastModifiedBy>陈国永</cp:lastModifiedBy>
  <cp:lastPrinted>2023-12-28T11:18:00Z</cp:lastPrinted>
  <dcterms:modified xsi:type="dcterms:W3CDTF">2024-01-24T01:58:45Z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DA86FE7F0F0642F58572D3E1BAFDEC76_13</vt:lpwstr>
  </property>
</Properties>
</file>