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pacing w:after="0" w:line="240" w:lineRule="auto"/>
        <w:ind w:left="-498" w:leftChars="-237"/>
        <w:jc w:val="center"/>
        <w:rPr>
          <w:rStyle w:val="20"/>
          <w:rFonts w:hint="default" w:ascii="Times New Roman" w:hAnsi="Times New Roman" w:cs="Times New Roman"/>
          <w:b/>
          <w:sz w:val="24"/>
          <w:szCs w:val="24"/>
        </w:rPr>
      </w:pPr>
      <w:bookmarkStart w:id="0" w:name="_Toc44584144"/>
      <w:bookmarkEnd w:id="0"/>
      <w:r>
        <w:rPr>
          <w:rStyle w:val="20"/>
          <w:rFonts w:hint="default" w:ascii="Times New Roman" w:hAnsi="Times New Roman" w:cs="Times New Roman"/>
          <w:b/>
          <w:szCs w:val="24"/>
        </w:rPr>
        <w:t>乙型肝炎患者健康教育处方（2023年版）</w:t>
      </w:r>
    </w:p>
    <w:p>
      <w:pPr>
        <w:spacing w:after="0" w:line="240" w:lineRule="auto"/>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1905</wp:posOffset>
                </wp:positionH>
                <wp:positionV relativeFrom="paragraph">
                  <wp:posOffset>71755</wp:posOffset>
                </wp:positionV>
                <wp:extent cx="5218430" cy="0"/>
                <wp:effectExtent l="0" t="9525" r="8890" b="13335"/>
                <wp:wrapNone/>
                <wp:docPr id="1" name="直接连接符 2"/>
                <wp:cNvGraphicFramePr/>
                <a:graphic xmlns:a="http://schemas.openxmlformats.org/drawingml/2006/main">
                  <a:graphicData uri="http://schemas.microsoft.com/office/word/2010/wordprocessingShape">
                    <wps:wsp>
                      <wps:cNvCnPr/>
                      <wps:spPr>
                        <a:xfrm>
                          <a:off x="0" y="0"/>
                          <a:ext cx="5218430" cy="0"/>
                        </a:xfrm>
                        <a:prstGeom prst="line">
                          <a:avLst/>
                        </a:prstGeom>
                        <a:ln w="19050" cap="flat" cmpd="sng">
                          <a:solidFill>
                            <a:srgbClr val="000000"/>
                          </a:solidFill>
                          <a:prstDash val="solid"/>
                          <a:miter lim="0"/>
                          <a:headEnd type="none" w="med" len="med"/>
                          <a:tailEnd type="none" w="med" len="med"/>
                        </a:ln>
                        <a:effectLst/>
                      </wps:spPr>
                      <wps:bodyPr/>
                    </wps:wsp>
                  </a:graphicData>
                </a:graphic>
              </wp:anchor>
            </w:drawing>
          </mc:Choice>
          <mc:Fallback>
            <w:pict>
              <v:line id="直接连接符 2" o:spid="_x0000_s1026" o:spt="20" style="position:absolute;left:0pt;margin-left:0.15pt;margin-top:5.65pt;height:0pt;width:410.9pt;z-index:251660288;mso-width-relative:page;mso-height-relative:page;" filled="f" stroked="t" coordsize="21600,21600" o:gfxdata="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27vc5NQAAAAGAQAADwAAAAAAAAABACAAAAAiAAAAZHJzL2Rvd25yZXYueG1sUEsB&#10;AhQAFAAAAAgAh07iQFYTF9X5AQAA+QMAAA4AAAAAAAAAAQAgAAAAIwEAAGRycy9lMm9Eb2MueG1s&#10;UEsFBgAAAAAGAAYAWQEAAI4FAAAAAA==&#10;">
                <v:fill on="f" focussize="0,0"/>
                <v:stroke weight="1.5pt" color="#000000" miterlimit="0" joinstyle="miter"/>
                <v:imagedata o:title=""/>
                <o:lock v:ext="edit" aspectratio="f"/>
              </v:line>
            </w:pict>
          </mc:Fallback>
        </mc:AlternateContent>
      </w:r>
    </w:p>
    <w:p>
      <w:pPr>
        <w:pStyle w:val="19"/>
        <w:spacing w:line="240" w:lineRule="auto"/>
        <w:ind w:firstLine="560"/>
        <w:rPr>
          <w:rStyle w:val="23"/>
          <w:rFonts w:hint="default" w:ascii="Times New Roman" w:hAnsi="Times New Roman" w:eastAsia="仿宋_GB2312" w:cs="Times New Roman"/>
          <w:b/>
          <w:sz w:val="32"/>
          <w:szCs w:val="28"/>
        </w:rPr>
      </w:pPr>
      <w:r>
        <w:rPr>
          <w:rStyle w:val="21"/>
          <w:rFonts w:hint="default" w:ascii="Times New Roman" w:hAnsi="Times New Roman" w:eastAsia="仿宋_GB2312" w:cs="Times New Roman"/>
          <w:szCs w:val="24"/>
        </w:rPr>
        <w:t>姓名：</w:t>
      </w:r>
      <w:r>
        <w:rPr>
          <w:rFonts w:hint="default" w:ascii="Times New Roman" w:hAnsi="Times New Roman" w:cs="Times New Roman"/>
        </w:rPr>
        <w:tab/>
      </w:r>
      <w:r>
        <w:rPr>
          <w:rStyle w:val="21"/>
          <w:rFonts w:hint="default" w:ascii="Times New Roman" w:hAnsi="Times New Roman" w:eastAsia="仿宋_GB2312" w:cs="Times New Roman"/>
          <w:szCs w:val="24"/>
        </w:rPr>
        <w:t xml:space="preserve">   </w:t>
      </w:r>
      <w:r>
        <w:rPr>
          <w:rFonts w:hint="default" w:ascii="Times New Roman" w:hAnsi="Times New Roman" w:cs="Times New Roman"/>
        </w:rPr>
        <w:tab/>
      </w:r>
      <w:r>
        <w:rPr>
          <w:rStyle w:val="21"/>
          <w:rFonts w:hint="default" w:ascii="Times New Roman" w:hAnsi="Times New Roman" w:eastAsia="仿宋_GB2312" w:cs="Times New Roman"/>
          <w:szCs w:val="24"/>
        </w:rPr>
        <w:t xml:space="preserve">性别： </w:t>
      </w:r>
      <w:r>
        <w:rPr>
          <w:rFonts w:hint="default" w:ascii="Times New Roman" w:hAnsi="Times New Roman" w:cs="Times New Roman"/>
        </w:rPr>
        <w:tab/>
      </w:r>
      <w:r>
        <w:rPr>
          <w:rStyle w:val="21"/>
          <w:rFonts w:hint="default" w:ascii="Times New Roman" w:hAnsi="Times New Roman" w:eastAsia="仿宋_GB2312" w:cs="Times New Roman"/>
          <w:szCs w:val="24"/>
        </w:rPr>
        <w:t xml:space="preserve"> </w:t>
      </w:r>
      <w:r>
        <w:rPr>
          <w:rFonts w:hint="default" w:ascii="Times New Roman" w:hAnsi="Times New Roman" w:cs="Times New Roman"/>
        </w:rPr>
        <w:tab/>
      </w:r>
      <w:r>
        <w:rPr>
          <w:rStyle w:val="21"/>
          <w:rFonts w:hint="default" w:ascii="Times New Roman" w:hAnsi="Times New Roman" w:eastAsia="仿宋_GB2312" w:cs="Times New Roman"/>
          <w:szCs w:val="24"/>
        </w:rPr>
        <w:t>年龄：</w:t>
      </w:r>
      <w:r>
        <w:rPr>
          <w:rFonts w:hint="default" w:ascii="Times New Roman" w:hAnsi="Times New Roman" w:cs="Times New Roman"/>
        </w:rPr>
        <w:tab/>
      </w:r>
      <w:r>
        <w:rPr>
          <w:rStyle w:val="21"/>
          <w:rFonts w:hint="default" w:ascii="Times New Roman" w:hAnsi="Times New Roman" w:eastAsia="仿宋_GB2312" w:cs="Times New Roman"/>
          <w:szCs w:val="24"/>
        </w:rPr>
        <w:t xml:space="preserve">   </w:t>
      </w:r>
      <w:r>
        <w:rPr>
          <w:rFonts w:hint="default" w:ascii="Times New Roman" w:hAnsi="Times New Roman" w:cs="Times New Roman"/>
        </w:rPr>
        <w:tab/>
      </w:r>
      <w:r>
        <w:rPr>
          <w:rStyle w:val="21"/>
          <w:rFonts w:hint="default" w:ascii="Times New Roman" w:hAnsi="Times New Roman" w:eastAsia="仿宋_GB2312" w:cs="Times New Roman"/>
          <w:szCs w:val="24"/>
        </w:rPr>
        <w:t>诊断：</w:t>
      </w:r>
      <w:r>
        <w:rPr>
          <w:rStyle w:val="23"/>
          <w:rFonts w:hint="default" w:ascii="Times New Roman" w:hAnsi="Times New Roman" w:eastAsia="仿宋_GB2312" w:cs="Times New Roman"/>
          <w:b/>
          <w:sz w:val="32"/>
          <w:szCs w:val="28"/>
        </w:rPr>
        <w:t xml:space="preserve"> </w:t>
      </w:r>
    </w:p>
    <w:p>
      <w:pPr>
        <w:pStyle w:val="35"/>
        <w:keepNext w:val="0"/>
        <w:keepLines w:val="0"/>
        <w:pageBreakBefore w:val="0"/>
        <w:widowControl/>
        <w:kinsoku/>
        <w:wordWrap/>
        <w:overflowPunct/>
        <w:topLinePunct w:val="0"/>
        <w:autoSpaceDE/>
        <w:autoSpaceDN/>
        <w:bidi w:val="0"/>
        <w:adjustRightInd/>
        <w:snapToGrid/>
        <w:spacing w:line="240" w:lineRule="auto"/>
        <w:ind w:left="0" w:leftChars="0" w:firstLine="482" w:firstLineChars="200"/>
        <w:textAlignment w:val="auto"/>
        <w:rPr>
          <w:rStyle w:val="23"/>
          <w:rFonts w:hint="eastAsia" w:ascii="楷体" w:hAnsi="楷体" w:eastAsia="楷体" w:cs="楷体"/>
          <w:sz w:val="24"/>
          <w:szCs w:val="24"/>
        </w:rPr>
      </w:pPr>
      <w:r>
        <w:rPr>
          <w:rStyle w:val="23"/>
          <w:rFonts w:hint="eastAsia" w:ascii="楷体" w:hAnsi="楷体" w:eastAsia="楷体" w:cs="楷体"/>
          <w:b/>
          <w:bCs w:val="0"/>
          <w:sz w:val="24"/>
          <w:szCs w:val="24"/>
        </w:rPr>
        <w:t>乙型肝炎（简称“乙肝”）</w:t>
      </w:r>
      <w:r>
        <w:rPr>
          <w:rStyle w:val="23"/>
          <w:rFonts w:hint="eastAsia" w:ascii="楷体" w:hAnsi="楷体" w:eastAsia="楷体" w:cs="楷体"/>
          <w:sz w:val="24"/>
          <w:szCs w:val="24"/>
        </w:rPr>
        <w:t>是由乙肝病毒引起的、以肝脏损害为主的传染病，主要经母婴、血液(</w:t>
      </w:r>
      <w:r>
        <w:rPr>
          <w:rStyle w:val="23"/>
          <w:rFonts w:hint="eastAsia" w:ascii="楷体" w:hAnsi="楷体" w:eastAsia="楷体" w:cs="楷体"/>
          <w:color w:val="000000" w:themeColor="text1"/>
          <w:sz w:val="24"/>
          <w:szCs w:val="24"/>
          <w14:textFill>
            <w14:solidFill>
              <w14:schemeClr w14:val="tx1"/>
            </w14:solidFill>
          </w14:textFill>
        </w:rPr>
        <w:t>包括经输血和血制品、经破损的皮肤和黏膜</w:t>
      </w:r>
      <w:r>
        <w:rPr>
          <w:rStyle w:val="23"/>
          <w:rFonts w:hint="eastAsia" w:ascii="楷体" w:hAnsi="楷体" w:eastAsia="楷体" w:cs="楷体"/>
          <w:sz w:val="24"/>
          <w:szCs w:val="24"/>
        </w:rPr>
        <w:t>)和性接触传播。</w:t>
      </w:r>
      <w:r>
        <w:rPr>
          <w:rFonts w:hint="eastAsia" w:ascii="楷体" w:hAnsi="楷体" w:eastAsia="楷体" w:cs="楷体"/>
          <w:color w:val="000000" w:themeColor="text1"/>
          <w:sz w:val="24"/>
          <w:szCs w:val="24"/>
          <w14:textFill>
            <w14:solidFill>
              <w14:schemeClr w14:val="tx1"/>
            </w14:solidFill>
          </w14:textFill>
        </w:rPr>
        <w:t>日常工作、生活接触不传播</w:t>
      </w:r>
      <w:r>
        <w:rPr>
          <w:rStyle w:val="23"/>
          <w:rFonts w:hint="eastAsia" w:ascii="楷体" w:hAnsi="楷体" w:eastAsia="楷体" w:cs="楷体"/>
          <w:color w:val="000000" w:themeColor="text1"/>
          <w:sz w:val="24"/>
          <w:szCs w:val="24"/>
          <w14:textFill>
            <w14:solidFill>
              <w14:schemeClr w14:val="tx1"/>
            </w14:solidFill>
          </w14:textFill>
        </w:rPr>
        <w:t>。</w:t>
      </w:r>
      <w:r>
        <w:rPr>
          <w:rStyle w:val="23"/>
          <w:rFonts w:hint="eastAsia" w:ascii="楷体" w:hAnsi="楷体" w:eastAsia="楷体" w:cs="楷体"/>
          <w:sz w:val="24"/>
          <w:szCs w:val="24"/>
        </w:rPr>
        <w:t>多呈慢性感染，少数病例可发展为肝硬化、肝衰竭或肝癌。乙肝急性期以疲乏、食欲减退、肝大、肝功能异常为主，部分病例出现黄疸；慢性感染者可症状轻微</w:t>
      </w:r>
      <w:r>
        <w:rPr>
          <w:rStyle w:val="23"/>
          <w:rFonts w:hint="eastAsia" w:ascii="楷体" w:hAnsi="楷体" w:eastAsia="楷体" w:cs="楷体"/>
          <w:sz w:val="24"/>
          <w:szCs w:val="24"/>
          <w:lang w:eastAsia="zh-CN"/>
        </w:rPr>
        <w:t>，</w:t>
      </w:r>
      <w:r>
        <w:rPr>
          <w:rStyle w:val="23"/>
          <w:rFonts w:hint="eastAsia" w:ascii="楷体" w:hAnsi="楷体" w:eastAsia="楷体" w:cs="楷体"/>
          <w:sz w:val="24"/>
          <w:szCs w:val="24"/>
        </w:rPr>
        <w:t>甚至无任何临床症状。</w:t>
      </w:r>
    </w:p>
    <w:p>
      <w:pPr>
        <w:pStyle w:val="35"/>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both"/>
        <w:textAlignment w:val="auto"/>
        <w:rPr>
          <w:rStyle w:val="23"/>
          <w:rFonts w:hint="eastAsia" w:ascii="楷体" w:hAnsi="楷体" w:eastAsia="楷体" w:cs="楷体"/>
          <w:sz w:val="24"/>
          <w:szCs w:val="24"/>
        </w:rPr>
      </w:pPr>
      <w:r>
        <w:rPr>
          <w:rStyle w:val="23"/>
          <w:rFonts w:hint="eastAsia" w:ascii="楷体" w:hAnsi="楷体" w:eastAsia="楷体" w:cs="楷体"/>
          <w:sz w:val="24"/>
          <w:szCs w:val="24"/>
        </w:rPr>
        <w:t>乙肝病毒表面抗体阴性者均为易感人群。</w:t>
      </w:r>
      <w:r>
        <w:rPr>
          <w:rStyle w:val="23"/>
          <w:rFonts w:hint="eastAsia" w:ascii="楷体" w:hAnsi="楷体" w:eastAsia="楷体" w:cs="楷体"/>
          <w:color w:val="000000" w:themeColor="text1"/>
          <w:sz w:val="24"/>
          <w:szCs w:val="24"/>
          <w14:textFill>
            <w14:solidFill>
              <w14:schemeClr w14:val="tx1"/>
            </w14:solidFill>
          </w14:textFill>
        </w:rPr>
        <w:t>其中，乙肝感染的高危人</w:t>
      </w:r>
      <w:r>
        <w:rPr>
          <w:rStyle w:val="23"/>
          <w:rFonts w:hint="eastAsia" w:ascii="楷体" w:hAnsi="楷体" w:eastAsia="楷体" w:cs="楷体"/>
          <w:sz w:val="24"/>
          <w:szCs w:val="24"/>
        </w:rPr>
        <w:t>群包括感染乙</w:t>
      </w:r>
      <w:r>
        <w:rPr>
          <w:rStyle w:val="23"/>
          <w:rFonts w:hint="eastAsia" w:ascii="楷体" w:hAnsi="楷体" w:eastAsia="楷体" w:cs="楷体"/>
          <w:color w:val="000000" w:themeColor="text1"/>
          <w:sz w:val="24"/>
          <w:szCs w:val="24"/>
          <w14:textFill>
            <w14:solidFill>
              <w14:schemeClr w14:val="tx1"/>
            </w14:solidFill>
          </w14:textFill>
        </w:rPr>
        <w:t>肝病毒的产妇所生的子女</w:t>
      </w:r>
      <w:r>
        <w:rPr>
          <w:rStyle w:val="23"/>
          <w:rFonts w:hint="eastAsia" w:ascii="楷体" w:hAnsi="楷体" w:eastAsia="楷体" w:cs="楷体"/>
          <w:color w:val="000000" w:themeColor="text1"/>
          <w:sz w:val="24"/>
          <w:szCs w:val="24"/>
          <w:lang w:eastAsia="zh-CN"/>
          <w14:textFill>
            <w14:solidFill>
              <w14:schemeClr w14:val="tx1"/>
            </w14:solidFill>
          </w14:textFill>
        </w:rPr>
        <w:t>，</w:t>
      </w:r>
      <w:r>
        <w:rPr>
          <w:rStyle w:val="23"/>
          <w:rFonts w:hint="eastAsia" w:ascii="楷体" w:hAnsi="楷体" w:eastAsia="楷体" w:cs="楷体"/>
          <w:color w:val="000000" w:themeColor="text1"/>
          <w:sz w:val="24"/>
          <w:szCs w:val="24"/>
          <w14:textFill>
            <w14:solidFill>
              <w14:schemeClr w14:val="tx1"/>
            </w14:solidFill>
          </w14:textFill>
        </w:rPr>
        <w:t>乙肝病毒感染者的配偶</w:t>
      </w:r>
      <w:r>
        <w:rPr>
          <w:rStyle w:val="23"/>
          <w:rFonts w:hint="eastAsia" w:ascii="楷体" w:hAnsi="楷体" w:eastAsia="楷体" w:cs="楷体"/>
          <w:sz w:val="24"/>
          <w:szCs w:val="24"/>
          <w:lang w:eastAsia="zh-CN"/>
        </w:rPr>
        <w:t>，</w:t>
      </w:r>
      <w:r>
        <w:rPr>
          <w:rStyle w:val="23"/>
          <w:rFonts w:hint="eastAsia" w:ascii="楷体" w:hAnsi="楷体" w:eastAsia="楷体" w:cs="楷体"/>
          <w:sz w:val="24"/>
          <w:szCs w:val="24"/>
        </w:rPr>
        <w:t>反复输血及血制品者、血液透析患者</w:t>
      </w:r>
      <w:r>
        <w:rPr>
          <w:rStyle w:val="23"/>
          <w:rFonts w:hint="eastAsia" w:ascii="楷体" w:hAnsi="楷体" w:eastAsia="楷体" w:cs="楷体"/>
          <w:sz w:val="24"/>
          <w:szCs w:val="24"/>
          <w:lang w:eastAsia="zh-CN"/>
        </w:rPr>
        <w:t>，</w:t>
      </w:r>
      <w:r>
        <w:rPr>
          <w:rStyle w:val="23"/>
          <w:rFonts w:hint="eastAsia" w:ascii="楷体" w:hAnsi="楷体" w:eastAsia="楷体" w:cs="楷体"/>
          <w:sz w:val="24"/>
          <w:szCs w:val="24"/>
        </w:rPr>
        <w:t>多个性伴侣者</w:t>
      </w:r>
      <w:r>
        <w:rPr>
          <w:rStyle w:val="23"/>
          <w:rFonts w:hint="eastAsia" w:ascii="楷体" w:hAnsi="楷体" w:eastAsia="楷体" w:cs="楷体"/>
          <w:sz w:val="24"/>
          <w:szCs w:val="24"/>
          <w:lang w:eastAsia="zh-CN"/>
        </w:rPr>
        <w:t>，</w:t>
      </w:r>
      <w:r>
        <w:rPr>
          <w:rStyle w:val="23"/>
          <w:rFonts w:hint="eastAsia" w:ascii="楷体" w:hAnsi="楷体" w:eastAsia="楷体" w:cs="楷体"/>
          <w:sz w:val="24"/>
          <w:szCs w:val="24"/>
        </w:rPr>
        <w:t>静脉药瘾者</w:t>
      </w:r>
      <w:r>
        <w:rPr>
          <w:rStyle w:val="23"/>
          <w:rFonts w:hint="eastAsia" w:ascii="楷体" w:hAnsi="楷体" w:eastAsia="楷体" w:cs="楷体"/>
          <w:sz w:val="24"/>
          <w:szCs w:val="24"/>
          <w:lang w:eastAsia="zh-CN"/>
        </w:rPr>
        <w:t>，</w:t>
      </w:r>
      <w:r>
        <w:rPr>
          <w:rStyle w:val="23"/>
          <w:rFonts w:hint="eastAsia" w:ascii="楷体" w:hAnsi="楷体" w:eastAsia="楷体" w:cs="楷体"/>
          <w:sz w:val="24"/>
          <w:szCs w:val="24"/>
        </w:rPr>
        <w:t>接触血液的医务工作者</w:t>
      </w:r>
      <w:r>
        <w:rPr>
          <w:rStyle w:val="23"/>
          <w:rFonts w:hint="eastAsia" w:ascii="楷体" w:hAnsi="楷体" w:eastAsia="楷体" w:cs="楷体"/>
          <w:sz w:val="24"/>
          <w:szCs w:val="24"/>
          <w:lang w:eastAsia="zh-CN"/>
        </w:rPr>
        <w:t>，</w:t>
      </w:r>
      <w:r>
        <w:rPr>
          <w:rStyle w:val="23"/>
          <w:rFonts w:hint="eastAsia" w:ascii="楷体" w:hAnsi="楷体" w:eastAsia="楷体" w:cs="楷体"/>
          <w:color w:val="000000" w:themeColor="text1"/>
          <w:sz w:val="24"/>
          <w:szCs w:val="24"/>
          <w14:textFill>
            <w14:solidFill>
              <w14:schemeClr w14:val="tx1"/>
            </w14:solidFill>
          </w14:textFill>
        </w:rPr>
        <w:t>使用消毒情况不明的器具文身、文眉、修</w:t>
      </w:r>
      <w:r>
        <w:rPr>
          <w:rStyle w:val="23"/>
          <w:rFonts w:hint="eastAsia" w:ascii="楷体" w:hAnsi="楷体" w:eastAsia="楷体" w:cs="楷体"/>
          <w:sz w:val="24"/>
          <w:szCs w:val="24"/>
        </w:rPr>
        <w:t>脚等人员。接种乙肝疫苗是预防</w:t>
      </w:r>
      <w:r>
        <w:rPr>
          <w:rStyle w:val="23"/>
          <w:rFonts w:hint="eastAsia" w:ascii="楷体" w:hAnsi="楷体" w:eastAsia="楷体" w:cs="楷体"/>
          <w:bCs w:val="0"/>
          <w:sz w:val="24"/>
          <w:szCs w:val="24"/>
        </w:rPr>
        <w:t>乙肝</w:t>
      </w:r>
      <w:r>
        <w:rPr>
          <w:rStyle w:val="23"/>
          <w:rFonts w:hint="eastAsia" w:ascii="楷体" w:hAnsi="楷体" w:eastAsia="楷体" w:cs="楷体"/>
          <w:sz w:val="24"/>
          <w:szCs w:val="24"/>
        </w:rPr>
        <w:t>感染最有效的方法，并可很大程度阻断母婴传播。</w:t>
      </w:r>
    </w:p>
    <w:p>
      <w:pPr>
        <w:pStyle w:val="35"/>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both"/>
        <w:textAlignment w:val="auto"/>
        <w:rPr>
          <w:rStyle w:val="23"/>
          <w:rFonts w:hint="eastAsia" w:ascii="楷体" w:hAnsi="楷体" w:eastAsia="楷体" w:cs="楷体"/>
          <w:sz w:val="22"/>
          <w:szCs w:val="22"/>
        </w:rPr>
      </w:pPr>
      <w:r>
        <w:rPr>
          <w:rStyle w:val="23"/>
          <w:rFonts w:hint="eastAsia" w:ascii="楷体" w:hAnsi="楷体" w:eastAsia="楷体" w:cs="楷体"/>
          <w:sz w:val="24"/>
          <w:szCs w:val="24"/>
        </w:rPr>
        <w:t>目前尚无能够彻底清除体内乙肝病毒的有效药物。乙肝患者规范进行抗病毒治疗，采取健康生活方式，可最大限度抑制病毒复制，延缓和减轻肝脏损害，阻止肝硬化、肝癌及其并发症的发生，改善生活质量。</w:t>
      </w:r>
    </w:p>
    <w:p>
      <w:pPr>
        <w:pStyle w:val="35"/>
        <w:ind w:firstLine="0" w:firstLineChars="0"/>
        <w:rPr>
          <w:rStyle w:val="23"/>
          <w:rFonts w:hint="default" w:ascii="Times New Roman" w:hAnsi="Times New Roman" w:cs="Times New Roman"/>
        </w:rPr>
      </w:pPr>
      <w:r>
        <w:rPr>
          <w:rStyle w:val="23"/>
          <w:rFonts w:hint="default" w:ascii="Times New Roman" w:hAnsi="Times New Roman" w:cs="Times New Roman"/>
        </w:rPr>
        <mc:AlternateContent>
          <mc:Choice Requires="wps">
            <w:drawing>
              <wp:inline distT="0" distB="0" distL="114300" distR="114300">
                <wp:extent cx="5284470" cy="504825"/>
                <wp:effectExtent l="0" t="0" r="3810" b="13335"/>
                <wp:docPr id="2" name="文本框 5"/>
                <wp:cNvGraphicFramePr/>
                <a:graphic xmlns:a="http://schemas.openxmlformats.org/drawingml/2006/main">
                  <a:graphicData uri="http://schemas.microsoft.com/office/word/2010/wordprocessingShape">
                    <wps:wsp>
                      <wps:cNvSpPr txBox="1"/>
                      <wps:spPr>
                        <a:xfrm>
                          <a:off x="0" y="0"/>
                          <a:ext cx="5284470" cy="504825"/>
                        </a:xfrm>
                        <a:prstGeom prst="rect">
                          <a:avLst/>
                        </a:prstGeom>
                        <a:solidFill>
                          <a:srgbClr val="D8D8D8"/>
                        </a:solidFill>
                        <a:ln w="12700">
                          <a:noFill/>
                        </a:ln>
                      </wps:spPr>
                      <wps:txbx>
                        <w:txbxContent>
                          <w:p>
                            <w:pPr>
                              <w:pStyle w:val="19"/>
                              <w:spacing w:line="240" w:lineRule="auto"/>
                              <w:ind w:leftChars="-67" w:hanging="141" w:hangingChars="44"/>
                              <w:jc w:val="center"/>
                              <w:rPr>
                                <w:rFonts w:ascii="黑体" w:hAnsi="黑体" w:eastAsia="黑体" w:cs="华文中宋"/>
                                <w:b/>
                                <w:color w:val="000000"/>
                                <w:sz w:val="32"/>
                                <w:szCs w:val="28"/>
                              </w:rPr>
                            </w:pPr>
                            <w:r>
                              <w:rPr>
                                <w:rFonts w:hint="eastAsia" w:ascii="黑体" w:hAnsi="黑体" w:eastAsia="黑体" w:cs="华文中宋"/>
                                <w:b/>
                                <w:color w:val="000000"/>
                                <w:sz w:val="32"/>
                                <w:szCs w:val="28"/>
                              </w:rPr>
                              <w:t>健康指导建议（请关注□中打</w:t>
                            </w:r>
                            <w:r>
                              <w:rPr>
                                <w:rFonts w:ascii="黑体" w:hAnsi="黑体" w:eastAsia="黑体" w:cs="华文中宋"/>
                                <w:b/>
                                <w:color w:val="000000"/>
                                <w:sz w:val="32"/>
                                <w:szCs w:val="28"/>
                              </w:rPr>
                              <w:t>“</w:t>
                            </w:r>
                            <w:r>
                              <w:rPr>
                                <w:rFonts w:hint="eastAsia" w:ascii="黑体" w:hAnsi="黑体" w:eastAsia="黑体" w:cs="华文中宋"/>
                                <w:b/>
                                <w:color w:val="000000"/>
                                <w:sz w:val="32"/>
                                <w:szCs w:val="28"/>
                              </w:rPr>
                              <w:t>√</w:t>
                            </w:r>
                            <w:r>
                              <w:rPr>
                                <w:rFonts w:ascii="黑体" w:hAnsi="黑体" w:eastAsia="黑体" w:cs="华文中宋"/>
                                <w:b/>
                                <w:color w:val="000000"/>
                                <w:sz w:val="32"/>
                                <w:szCs w:val="28"/>
                              </w:rPr>
                              <w:t>”</w:t>
                            </w:r>
                            <w:r>
                              <w:rPr>
                                <w:rFonts w:hint="eastAsia" w:ascii="黑体" w:hAnsi="黑体" w:eastAsia="黑体" w:cs="华文中宋"/>
                                <w:b/>
                                <w:color w:val="000000"/>
                                <w:sz w:val="32"/>
                                <w:szCs w:val="28"/>
                              </w:rPr>
                              <w:t>条目）</w:t>
                            </w:r>
                          </w:p>
                        </w:txbxContent>
                      </wps:txbx>
                      <wps:bodyPr rot="0" vert="horz" wrap="square" lIns="91440" tIns="45720" rIns="91440" bIns="45720" anchor="t" anchorCtr="0"/>
                    </wps:wsp>
                  </a:graphicData>
                </a:graphic>
              </wp:inline>
            </w:drawing>
          </mc:Choice>
          <mc:Fallback>
            <w:pict>
              <v:shape id="文本框 5" o:spid="_x0000_s1026" o:spt="202" type="#_x0000_t202" style="height:39.75pt;width:416.1pt;" fillcolor="#D8D8D8" filled="t" stroked="f" coordsize="21600,21600" o:gfxdata="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jNCZnUAAAABAEAAA8AAAAAAAAAAQAgAAAAIgAAAGRycy9kb3ducmV2Lnht&#10;bFBLAQIUABQAAAAIAIdO4kBA4bOt/QEAAOQDAAAOAAAAAAAAAAEAIAAAACMBAABkcnMvZTJvRG9j&#10;LnhtbFBLBQYAAAAABgAGAFkBAACSBQAAAAA=&#10;">
                <v:fill on="t" focussize="0,0"/>
                <v:stroke on="f" weight="1pt"/>
                <v:imagedata o:title=""/>
                <o:lock v:ext="edit" aspectratio="f"/>
                <v:textbox>
                  <w:txbxContent>
                    <w:p>
                      <w:pPr>
                        <w:pStyle w:val="19"/>
                        <w:spacing w:line="240" w:lineRule="auto"/>
                        <w:ind w:leftChars="-67" w:hanging="141" w:hangingChars="44"/>
                        <w:jc w:val="center"/>
                        <w:rPr>
                          <w:rFonts w:ascii="黑体" w:hAnsi="黑体" w:eastAsia="黑体" w:cs="华文中宋"/>
                          <w:b/>
                          <w:color w:val="000000"/>
                          <w:sz w:val="32"/>
                          <w:szCs w:val="28"/>
                        </w:rPr>
                      </w:pPr>
                      <w:r>
                        <w:rPr>
                          <w:rFonts w:hint="eastAsia" w:ascii="黑体" w:hAnsi="黑体" w:eastAsia="黑体" w:cs="华文中宋"/>
                          <w:b/>
                          <w:color w:val="000000"/>
                          <w:sz w:val="32"/>
                          <w:szCs w:val="28"/>
                        </w:rPr>
                        <w:t>健康指导建议（请关注□中打</w:t>
                      </w:r>
                      <w:r>
                        <w:rPr>
                          <w:rFonts w:ascii="黑体" w:hAnsi="黑体" w:eastAsia="黑体" w:cs="华文中宋"/>
                          <w:b/>
                          <w:color w:val="000000"/>
                          <w:sz w:val="32"/>
                          <w:szCs w:val="28"/>
                        </w:rPr>
                        <w:t>“</w:t>
                      </w:r>
                      <w:r>
                        <w:rPr>
                          <w:rFonts w:hint="eastAsia" w:ascii="黑体" w:hAnsi="黑体" w:eastAsia="黑体" w:cs="华文中宋"/>
                          <w:b/>
                          <w:color w:val="000000"/>
                          <w:sz w:val="32"/>
                          <w:szCs w:val="28"/>
                        </w:rPr>
                        <w:t>√</w:t>
                      </w:r>
                      <w:r>
                        <w:rPr>
                          <w:rFonts w:ascii="黑体" w:hAnsi="黑体" w:eastAsia="黑体" w:cs="华文中宋"/>
                          <w:b/>
                          <w:color w:val="000000"/>
                          <w:sz w:val="32"/>
                          <w:szCs w:val="28"/>
                        </w:rPr>
                        <w:t>”</w:t>
                      </w:r>
                      <w:r>
                        <w:rPr>
                          <w:rFonts w:hint="eastAsia" w:ascii="黑体" w:hAnsi="黑体" w:eastAsia="黑体" w:cs="华文中宋"/>
                          <w:b/>
                          <w:color w:val="000000"/>
                          <w:sz w:val="32"/>
                          <w:szCs w:val="28"/>
                        </w:rPr>
                        <w:t>条目）</w:t>
                      </w:r>
                    </w:p>
                  </w:txbxContent>
                </v:textbox>
                <w10:wrap type="none"/>
                <w10:anchorlock/>
              </v:shape>
            </w:pict>
          </mc:Fallback>
        </mc:AlternateContent>
      </w:r>
    </w:p>
    <w:p>
      <w:pPr>
        <w:pStyle w:val="2"/>
        <w:keepNext/>
        <w:keepLines w:val="0"/>
        <w:pageBreakBefore w:val="0"/>
        <w:widowControl w:val="0"/>
        <w:kinsoku/>
        <w:wordWrap/>
        <w:overflowPunct/>
        <w:topLinePunct w:val="0"/>
        <w:autoSpaceDE/>
        <w:autoSpaceDN/>
        <w:bidi w:val="0"/>
        <w:adjustRightInd/>
        <w:snapToGrid/>
        <w:spacing w:before="156" w:after="156"/>
        <w:textAlignment w:val="auto"/>
        <w:rPr>
          <w:rFonts w:hint="default" w:ascii="Times New Roman" w:hAnsi="Times New Roman" w:cs="Times New Roman"/>
          <w:sz w:val="28"/>
          <w:szCs w:val="44"/>
        </w:rPr>
      </w:pPr>
      <w:r>
        <w:rPr>
          <w:rStyle w:val="21"/>
          <w:rFonts w:hint="eastAsia" w:cs="华文中宋" w:asciiTheme="minorEastAsia" w:hAnsiTheme="minorEastAsia"/>
        </w:rPr>
        <w:t>●</w:t>
      </w:r>
      <w:r>
        <w:rPr>
          <w:rFonts w:hint="default" w:ascii="Times New Roman" w:hAnsi="Times New Roman" w:cs="Times New Roman"/>
          <w:sz w:val="28"/>
          <w:szCs w:val="44"/>
        </w:rPr>
        <w:t>健康生活方式</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严格戒酒。</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坚持健康饮食。适当的高蛋白、高热量、高维生素的易消化食物即可，不必过分强调高营养，以防发生脂肪肝。</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保持适宜体重，成年人体重指数应控制在18.5</w:t>
      </w:r>
      <w:r>
        <w:rPr>
          <w:rFonts w:hint="eastAsia" w:ascii="楷体" w:hAnsi="楷体" w:eastAsia="楷体" w:cs="楷体"/>
          <w:sz w:val="24"/>
          <w:szCs w:val="24"/>
          <w:lang w:val="en-US" w:eastAsia="zh-CN"/>
        </w:rPr>
        <w:t>-</w:t>
      </w:r>
      <w:r>
        <w:rPr>
          <w:rFonts w:hint="eastAsia" w:ascii="楷体" w:hAnsi="楷体" w:eastAsia="楷体" w:cs="楷体"/>
          <w:sz w:val="24"/>
          <w:szCs w:val="24"/>
        </w:rPr>
        <w:t>23.9千克</w:t>
      </w:r>
      <w:r>
        <w:rPr>
          <w:rFonts w:hint="eastAsia" w:ascii="楷体" w:hAnsi="楷体" w:eastAsia="楷体" w:cs="楷体"/>
          <w:sz w:val="24"/>
          <w:szCs w:val="24"/>
          <w:lang w:val="en-US" w:eastAsia="zh-CN"/>
        </w:rPr>
        <w:t>/</w:t>
      </w:r>
      <w:r>
        <w:rPr>
          <w:rFonts w:hint="eastAsia" w:ascii="楷体" w:hAnsi="楷体" w:eastAsia="楷体" w:cs="楷体"/>
          <w:sz w:val="24"/>
          <w:szCs w:val="24"/>
        </w:rPr>
        <w:t>米</w:t>
      </w:r>
      <w:r>
        <w:rPr>
          <w:rFonts w:hint="eastAsia" w:ascii="楷体" w:hAnsi="楷体" w:eastAsia="楷体" w:cs="楷体"/>
          <w:sz w:val="24"/>
          <w:szCs w:val="24"/>
          <w:vertAlign w:val="superscript"/>
        </w:rPr>
        <w:t xml:space="preserve"> 2</w:t>
      </w:r>
      <w:r>
        <w:rPr>
          <w:rFonts w:hint="eastAsia" w:ascii="楷体" w:hAnsi="楷体" w:eastAsia="楷体" w:cs="楷体"/>
          <w:sz w:val="24"/>
          <w:szCs w:val="24"/>
        </w:rPr>
        <w:t>［体重指数</w:t>
      </w:r>
      <w:r>
        <w:rPr>
          <w:rFonts w:hint="eastAsia" w:ascii="楷体" w:hAnsi="楷体" w:eastAsia="楷体" w:cs="楷体"/>
          <w:sz w:val="24"/>
          <w:szCs w:val="24"/>
          <w:lang w:val="en-US" w:eastAsia="zh-CN"/>
        </w:rPr>
        <w:t>=</w:t>
      </w:r>
      <w:r>
        <w:rPr>
          <w:rFonts w:hint="eastAsia" w:ascii="楷体" w:hAnsi="楷体" w:eastAsia="楷体" w:cs="楷体"/>
          <w:sz w:val="24"/>
          <w:szCs w:val="24"/>
        </w:rPr>
        <w:t>体重（千克）/身高（米）</w:t>
      </w:r>
      <w:r>
        <w:rPr>
          <w:rFonts w:hint="eastAsia" w:ascii="楷体" w:hAnsi="楷体" w:eastAsia="楷体" w:cs="楷体"/>
          <w:sz w:val="24"/>
          <w:szCs w:val="24"/>
          <w:vertAlign w:val="superscript"/>
        </w:rPr>
        <w:t>2</w:t>
      </w:r>
      <w:r>
        <w:rPr>
          <w:rFonts w:hint="eastAsia" w:ascii="楷体" w:hAnsi="楷体" w:eastAsia="楷体" w:cs="楷体"/>
          <w:sz w:val="24"/>
          <w:szCs w:val="24"/>
        </w:rPr>
        <w:t>］，老年人宜控制在20.0</w:t>
      </w:r>
      <w:r>
        <w:rPr>
          <w:rFonts w:hint="eastAsia" w:ascii="楷体" w:hAnsi="楷体" w:eastAsia="楷体" w:cs="楷体"/>
          <w:sz w:val="24"/>
          <w:szCs w:val="24"/>
          <w:lang w:val="en-US" w:eastAsia="zh-CN"/>
        </w:rPr>
        <w:t>-</w:t>
      </w:r>
      <w:r>
        <w:rPr>
          <w:rFonts w:hint="eastAsia" w:ascii="楷体" w:hAnsi="楷体" w:eastAsia="楷体" w:cs="楷体"/>
          <w:sz w:val="24"/>
          <w:szCs w:val="24"/>
        </w:rPr>
        <w:t>26.9 千克</w:t>
      </w:r>
      <w:r>
        <w:rPr>
          <w:rFonts w:hint="eastAsia" w:ascii="楷体" w:hAnsi="楷体" w:eastAsia="楷体" w:cs="楷体"/>
          <w:sz w:val="24"/>
          <w:szCs w:val="24"/>
          <w:lang w:val="en-US" w:eastAsia="zh-CN"/>
        </w:rPr>
        <w:t>/</w:t>
      </w:r>
      <w:r>
        <w:rPr>
          <w:rFonts w:hint="eastAsia" w:ascii="楷体" w:hAnsi="楷体" w:eastAsia="楷体" w:cs="楷体"/>
          <w:sz w:val="24"/>
          <w:szCs w:val="24"/>
        </w:rPr>
        <w:t>米</w:t>
      </w:r>
      <w:r>
        <w:rPr>
          <w:rFonts w:hint="eastAsia" w:ascii="楷体" w:hAnsi="楷体" w:eastAsia="楷体" w:cs="楷体"/>
          <w:sz w:val="24"/>
          <w:szCs w:val="24"/>
          <w:vertAlign w:val="superscript"/>
        </w:rPr>
        <w:t xml:space="preserve"> 2</w:t>
      </w:r>
      <w:r>
        <w:rPr>
          <w:rFonts w:hint="eastAsia" w:ascii="楷体" w:hAnsi="楷体" w:eastAsia="楷体" w:cs="楷体"/>
          <w:sz w:val="24"/>
          <w:szCs w:val="24"/>
        </w:rPr>
        <w:t>。</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身体状况允许时可在</w:t>
      </w:r>
      <w:r>
        <w:rPr>
          <w:rFonts w:hint="eastAsia" w:ascii="楷体" w:hAnsi="楷体" w:eastAsia="楷体" w:cs="楷体"/>
          <w:sz w:val="24"/>
          <w:szCs w:val="24"/>
          <w:lang w:eastAsia="zh-CN"/>
        </w:rPr>
        <w:t>医生</w:t>
      </w:r>
      <w:r>
        <w:rPr>
          <w:rFonts w:hint="eastAsia" w:ascii="楷体" w:hAnsi="楷体" w:eastAsia="楷体" w:cs="楷体"/>
          <w:sz w:val="24"/>
          <w:szCs w:val="24"/>
        </w:rPr>
        <w:t>指导下进行适量运动，以不引起劳累和不适为宜。</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症状明显或病情较重者应卧床休息。</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避免不合理用药，谨慎使用易致肝损伤药物，如抗结核药、抗肿瘤药、何首乌、土三七、千里光等。如需使用，需要咨询专业</w:t>
      </w:r>
      <w:r>
        <w:rPr>
          <w:rFonts w:hint="eastAsia" w:ascii="楷体" w:hAnsi="楷体" w:eastAsia="楷体" w:cs="楷体"/>
          <w:color w:val="000000" w:themeColor="text1"/>
          <w:sz w:val="24"/>
          <w:szCs w:val="24"/>
          <w:lang w:eastAsia="zh-CN"/>
          <w14:textFill>
            <w14:solidFill>
              <w14:schemeClr w14:val="tx1"/>
            </w14:solidFill>
          </w14:textFill>
        </w:rPr>
        <w:t>医生</w:t>
      </w:r>
      <w:r>
        <w:rPr>
          <w:rFonts w:hint="eastAsia" w:ascii="楷体" w:hAnsi="楷体" w:eastAsia="楷体" w:cs="楷体"/>
          <w:color w:val="000000" w:themeColor="text1"/>
          <w:sz w:val="24"/>
          <w:szCs w:val="24"/>
          <w14:textFill>
            <w14:solidFill>
              <w14:schemeClr w14:val="tx1"/>
            </w14:solidFill>
          </w14:textFill>
        </w:rPr>
        <w:t>。</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color w:val="000000"/>
          <w:sz w:val="24"/>
          <w:szCs w:val="24"/>
        </w:rPr>
      </w:pPr>
      <w:r>
        <w:rPr>
          <w:rFonts w:hint="eastAsia" w:ascii="楷体" w:hAnsi="楷体" w:eastAsia="楷体" w:cs="楷体"/>
          <w:color w:val="000000"/>
          <w:sz w:val="24"/>
          <w:szCs w:val="24"/>
        </w:rPr>
        <w:t>树立正确的疾病观，对乙肝的治疗应有耐心和信心。</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避免过度疲劳，保证睡眠充足。</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color w:val="000000"/>
          <w:sz w:val="24"/>
          <w:szCs w:val="24"/>
        </w:rPr>
      </w:pPr>
      <w:r>
        <w:rPr>
          <w:rFonts w:hint="eastAsia" w:ascii="楷体" w:hAnsi="楷体" w:eastAsia="楷体" w:cs="楷体"/>
          <w:color w:val="000000"/>
          <w:sz w:val="24"/>
          <w:szCs w:val="24"/>
        </w:rPr>
        <w:t>保持心情舒畅、情绪稳定，减轻精神压力。</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不吸烟（吸烟者戒烟）。</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避免接触二手烟。</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避免与他人共用器具如针头、注射器、剃刀、牙刷等。</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在发生性行为时应正确使用安全套。</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不献血，不宜捐献组织、器官、精液。</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接受侵入性医疗操作时（如胃肠镜、手术、口腔操作等），应向相关工作人员说明自己的乙肝病毒感染状态。</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注意保护皮肤伤口，并防止伤口接触他人。</w:t>
      </w:r>
    </w:p>
    <w:p>
      <w:pPr>
        <w:pStyle w:val="2"/>
        <w:keepNext/>
        <w:keepLines w:val="0"/>
        <w:pageBreakBefore w:val="0"/>
        <w:widowControl w:val="0"/>
        <w:kinsoku/>
        <w:wordWrap/>
        <w:overflowPunct/>
        <w:topLinePunct w:val="0"/>
        <w:autoSpaceDE/>
        <w:autoSpaceDN/>
        <w:bidi w:val="0"/>
        <w:adjustRightInd/>
        <w:snapToGrid/>
        <w:spacing w:before="156" w:after="156" w:line="240" w:lineRule="auto"/>
        <w:textAlignment w:val="auto"/>
        <w:rPr>
          <w:rFonts w:hint="eastAsia" w:ascii="楷体" w:hAnsi="楷体" w:eastAsia="楷体" w:cs="楷体"/>
          <w:w w:val="90"/>
          <w:sz w:val="24"/>
          <w:szCs w:val="24"/>
          <w:highlight w:val="none"/>
        </w:rPr>
      </w:pPr>
      <w:r>
        <w:rPr>
          <w:rStyle w:val="21"/>
          <w:rFonts w:hint="eastAsia" w:cs="华文中宋" w:asciiTheme="minorEastAsia" w:hAnsiTheme="minorEastAsia"/>
        </w:rPr>
        <w:t>●</w:t>
      </w:r>
      <w:r>
        <w:rPr>
          <w:rStyle w:val="21"/>
          <w:rFonts w:hint="default" w:ascii="Times New Roman" w:hAnsi="Times New Roman" w:cs="Times New Roman" w:eastAsiaTheme="minorEastAsia"/>
          <w:color w:val="auto"/>
          <w:szCs w:val="44"/>
        </w:rPr>
        <w:t>治疗与康复</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14:textFill>
            <w14:solidFill>
              <w14:schemeClr w14:val="tx1"/>
            </w14:solidFill>
          </w14:textFill>
        </w:rPr>
        <w:t>乙肝患者应遵从医嘱，进行规范化治疗，切忌自行停药、换药或轻信虚假广告。</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14:textFill>
            <w14:solidFill>
              <w14:schemeClr w14:val="tx1"/>
            </w14:solidFill>
          </w14:textFill>
        </w:rPr>
        <w:t>对于核苷（酸）类似物类抗病毒药物治疗中的乙肝患者，建议每3～6个月监测疗效、用药依从性以及耐药情况和不良反应。</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14:textFill>
            <w14:solidFill>
              <w14:schemeClr w14:val="tx1"/>
            </w14:solidFill>
          </w14:textFill>
        </w:rPr>
        <w:t>慢性乙肝病毒携带状态患者建议每6</w:t>
      </w:r>
      <w:r>
        <w:rPr>
          <w:rFonts w:hint="eastAsia" w:ascii="Times New Roman" w:hAnsi="Times New Roman" w:eastAsia="楷体" w:cs="Times New Roman"/>
          <w:color w:val="000000" w:themeColor="text1"/>
          <w:sz w:val="22"/>
          <w:szCs w:val="22"/>
          <w:lang w:val="en-US" w:eastAsia="zh-CN"/>
          <w14:textFill>
            <w14:solidFill>
              <w14:schemeClr w14:val="tx1"/>
            </w14:solidFill>
          </w14:textFill>
        </w:rPr>
        <w:t>-</w:t>
      </w:r>
      <w:r>
        <w:rPr>
          <w:rFonts w:hint="eastAsia" w:ascii="Times New Roman" w:hAnsi="Times New Roman" w:eastAsia="楷体" w:cs="Times New Roman"/>
          <w:color w:val="000000" w:themeColor="text1"/>
          <w:sz w:val="22"/>
          <w:szCs w:val="22"/>
          <w14:textFill>
            <w14:solidFill>
              <w14:schemeClr w14:val="tx1"/>
            </w14:solidFill>
          </w14:textFill>
        </w:rPr>
        <w:t>12 个月进行定期复查，包括血常规、生物化学、病毒学、腹部超声等检查</w:t>
      </w:r>
      <w:r>
        <w:rPr>
          <w:rFonts w:hint="eastAsia" w:ascii="Times New Roman" w:hAnsi="Times New Roman" w:eastAsia="楷体" w:cs="Times New Roman"/>
          <w:color w:val="000000" w:themeColor="text1"/>
          <w:sz w:val="22"/>
          <w:szCs w:val="22"/>
          <w:lang w:eastAsia="zh-CN"/>
          <w14:textFill>
            <w14:solidFill>
              <w14:schemeClr w14:val="tx1"/>
            </w14:solidFill>
          </w14:textFill>
        </w:rPr>
        <w:t>，</w:t>
      </w:r>
      <w:r>
        <w:rPr>
          <w:rFonts w:hint="eastAsia" w:ascii="Times New Roman" w:hAnsi="Times New Roman" w:eastAsia="楷体" w:cs="Times New Roman"/>
          <w:color w:val="000000" w:themeColor="text1"/>
          <w:sz w:val="22"/>
          <w:szCs w:val="22"/>
          <w14:textFill>
            <w14:solidFill>
              <w14:schemeClr w14:val="tx1"/>
            </w14:solidFill>
          </w14:textFill>
        </w:rPr>
        <w:t>必要时可进行肝活组织检查。</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14:textFill>
            <w14:solidFill>
              <w14:schemeClr w14:val="tx1"/>
            </w14:solidFill>
          </w14:textFill>
        </w:rPr>
        <w:t>无肝硬化的患者需每6个月进行1次定期复查，包括腹部超声检查和甲胎蛋白检测等。</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14:textFill>
            <w14:solidFill>
              <w14:schemeClr w14:val="tx1"/>
            </w14:solidFill>
          </w14:textFill>
        </w:rPr>
        <w:t>肝硬化患者需每3个月进行1次定期复查</w:t>
      </w:r>
      <w:r>
        <w:rPr>
          <w:rFonts w:hint="eastAsia" w:ascii="Times New Roman" w:hAnsi="Times New Roman" w:eastAsia="楷体" w:cs="Times New Roman"/>
          <w:color w:val="000000" w:themeColor="text1"/>
          <w:sz w:val="22"/>
          <w:szCs w:val="22"/>
          <w:lang w:eastAsia="zh-CN"/>
          <w14:textFill>
            <w14:solidFill>
              <w14:schemeClr w14:val="tx1"/>
            </w14:solidFill>
          </w14:textFill>
        </w:rPr>
        <w:t>，</w:t>
      </w:r>
      <w:r>
        <w:rPr>
          <w:rFonts w:hint="eastAsia" w:ascii="Times New Roman" w:hAnsi="Times New Roman" w:eastAsia="楷体" w:cs="Times New Roman"/>
          <w:color w:val="000000" w:themeColor="text1"/>
          <w:sz w:val="22"/>
          <w:szCs w:val="22"/>
          <w14:textFill>
            <w14:solidFill>
              <w14:schemeClr w14:val="tx1"/>
            </w14:solidFill>
          </w14:textFill>
        </w:rPr>
        <w:t>必要时可做增强 CT（计算机X线断层扫描）或增强 MRI（磁共振成像）。</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14:textFill>
            <w14:solidFill>
              <w14:schemeClr w14:val="tx1"/>
            </w14:solidFill>
          </w14:textFill>
        </w:rPr>
        <w:t>寻找和排查导致慢性肝病的其他原因，并确定是否需开始针对肝硬化的并发症进行治疗。</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14:textFill>
            <w14:solidFill>
              <w14:schemeClr w14:val="tx1"/>
            </w14:solidFill>
          </w14:textFill>
        </w:rPr>
        <w:t>使用抗病毒药物治疗的患者，如需短时间外出，应带够足量药品，按时服用。</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14:textFill>
            <w14:solidFill>
              <w14:schemeClr w14:val="tx1"/>
            </w14:solidFill>
          </w14:textFill>
        </w:rPr>
        <w:t>感染乙肝病毒的妇女如有生育意愿，应咨询专业</w:t>
      </w:r>
      <w:r>
        <w:rPr>
          <w:rFonts w:hint="eastAsia" w:ascii="Times New Roman" w:hAnsi="Times New Roman" w:eastAsia="楷体" w:cs="Times New Roman"/>
          <w:color w:val="000000" w:themeColor="text1"/>
          <w:sz w:val="22"/>
          <w:szCs w:val="22"/>
          <w:lang w:eastAsia="zh-CN"/>
          <w14:textFill>
            <w14:solidFill>
              <w14:schemeClr w14:val="tx1"/>
            </w14:solidFill>
          </w14:textFill>
        </w:rPr>
        <w:t>医生</w:t>
      </w:r>
      <w:r>
        <w:rPr>
          <w:rFonts w:hint="eastAsia" w:ascii="Times New Roman" w:hAnsi="Times New Roman" w:eastAsia="楷体" w:cs="Times New Roman"/>
          <w:color w:val="000000" w:themeColor="text1"/>
          <w:sz w:val="22"/>
          <w:szCs w:val="22"/>
          <w14:textFill>
            <w14:solidFill>
              <w14:schemeClr w14:val="tx1"/>
            </w14:solidFill>
          </w14:textFill>
        </w:rPr>
        <w:t>。</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14:textFill>
            <w14:solidFill>
              <w14:schemeClr w14:val="tx1"/>
            </w14:solidFill>
          </w14:textFill>
        </w:rPr>
        <w:t>抗病毒治疗期间意外妊娠的患者，应咨询专业</w:t>
      </w:r>
      <w:r>
        <w:rPr>
          <w:rFonts w:hint="eastAsia" w:ascii="Times New Roman" w:hAnsi="Times New Roman" w:eastAsia="楷体" w:cs="Times New Roman"/>
          <w:color w:val="000000" w:themeColor="text1"/>
          <w:sz w:val="22"/>
          <w:szCs w:val="22"/>
          <w:lang w:eastAsia="zh-CN"/>
          <w14:textFill>
            <w14:solidFill>
              <w14:schemeClr w14:val="tx1"/>
            </w14:solidFill>
          </w14:textFill>
        </w:rPr>
        <w:t>医生</w:t>
      </w:r>
      <w:r>
        <w:rPr>
          <w:rFonts w:hint="eastAsia" w:ascii="Times New Roman" w:hAnsi="Times New Roman" w:eastAsia="楷体" w:cs="Times New Roman"/>
          <w:color w:val="000000" w:themeColor="text1"/>
          <w:sz w:val="22"/>
          <w:szCs w:val="22"/>
          <w14:textFill>
            <w14:solidFill>
              <w14:schemeClr w14:val="tx1"/>
            </w14:solidFill>
          </w14:textFill>
        </w:rPr>
        <w:t>，判定是否需要调整抗病毒药物或终止妊娠。</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14:textFill>
            <w14:solidFill>
              <w14:schemeClr w14:val="tx1"/>
            </w14:solidFill>
          </w14:textFill>
        </w:rPr>
        <w:t>高乙肝病毒载量的孕妇</w:t>
      </w:r>
      <w:r>
        <w:rPr>
          <w:rFonts w:hint="eastAsia" w:ascii="Times New Roman" w:hAnsi="Times New Roman" w:eastAsia="楷体" w:cs="Times New Roman"/>
          <w:color w:val="000000" w:themeColor="text1"/>
          <w:sz w:val="22"/>
          <w:szCs w:val="22"/>
          <w:lang w:eastAsia="zh-CN"/>
          <w14:textFill>
            <w14:solidFill>
              <w14:schemeClr w14:val="tx1"/>
            </w14:solidFill>
          </w14:textFill>
        </w:rPr>
        <w:t>，</w:t>
      </w:r>
      <w:bookmarkStart w:id="1" w:name="_GoBack"/>
      <w:bookmarkEnd w:id="1"/>
      <w:r>
        <w:rPr>
          <w:rFonts w:hint="eastAsia" w:ascii="Times New Roman" w:hAnsi="Times New Roman" w:eastAsia="楷体" w:cs="Times New Roman"/>
          <w:color w:val="000000" w:themeColor="text1"/>
          <w:sz w:val="22"/>
          <w:szCs w:val="22"/>
          <w14:textFill>
            <w14:solidFill>
              <w14:schemeClr w14:val="tx1"/>
            </w14:solidFill>
          </w14:textFill>
        </w:rPr>
        <w:t>建议在妊娠第24</w:t>
      </w:r>
      <w:r>
        <w:rPr>
          <w:rFonts w:hint="eastAsia" w:ascii="Times New Roman" w:hAnsi="Times New Roman" w:eastAsia="楷体" w:cs="Times New Roman"/>
          <w:color w:val="000000" w:themeColor="text1"/>
          <w:sz w:val="22"/>
          <w:szCs w:val="22"/>
          <w:lang w:val="en-US" w:eastAsia="zh-CN"/>
          <w14:textFill>
            <w14:solidFill>
              <w14:schemeClr w14:val="tx1"/>
            </w14:solidFill>
          </w14:textFill>
        </w:rPr>
        <w:t>-</w:t>
      </w:r>
      <w:r>
        <w:rPr>
          <w:rFonts w:hint="eastAsia" w:ascii="Times New Roman" w:hAnsi="Times New Roman" w:eastAsia="楷体" w:cs="Times New Roman"/>
          <w:color w:val="000000" w:themeColor="text1"/>
          <w:sz w:val="22"/>
          <w:szCs w:val="22"/>
          <w14:textFill>
            <w14:solidFill>
              <w14:schemeClr w14:val="tx1"/>
            </w14:solidFill>
          </w14:textFill>
        </w:rPr>
        <w:t>28周开始应用替诺福韦酯抗病毒治疗。</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eastAsia"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14:textFill>
            <w14:solidFill>
              <w14:schemeClr w14:val="tx1"/>
            </w14:solidFill>
          </w14:textFill>
        </w:rPr>
        <w:t>对乙肝病毒表面抗原阳性母亲的新生儿应尽快采取乙肝母婴阻断措施，即在出生后12小时内尽早注射一剂次高效价乙肝免疫球蛋白，同时接种乙肝疫苗，并在1个月、6个月时分别接种一剂次乙肝疫苗。</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default"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14:textFill>
            <w14:solidFill>
              <w14:schemeClr w14:val="tx1"/>
            </w14:solidFill>
          </w14:textFill>
        </w:rPr>
        <w:t>替诺福韦酯治疗的乙型肝炎母亲</w:t>
      </w:r>
      <w:r>
        <w:rPr>
          <w:rFonts w:hint="eastAsia" w:ascii="Times New Roman" w:hAnsi="Times New Roman" w:eastAsia="楷体" w:cs="Times New Roman"/>
          <w:color w:val="000000" w:themeColor="text1"/>
          <w:sz w:val="22"/>
          <w:szCs w:val="22"/>
          <w:lang w:eastAsia="zh-CN"/>
          <w14:textFill>
            <w14:solidFill>
              <w14:schemeClr w14:val="tx1"/>
            </w14:solidFill>
          </w14:textFill>
        </w:rPr>
        <w:t>，</w:t>
      </w:r>
      <w:r>
        <w:rPr>
          <w:rFonts w:hint="eastAsia" w:ascii="Times New Roman" w:hAnsi="Times New Roman" w:eastAsia="楷体" w:cs="Times New Roman"/>
          <w:color w:val="000000" w:themeColor="text1"/>
          <w:sz w:val="22"/>
          <w:szCs w:val="22"/>
          <w14:textFill>
            <w14:solidFill>
              <w14:schemeClr w14:val="tx1"/>
            </w14:solidFill>
          </w14:textFill>
        </w:rPr>
        <w:t>可母乳喂养。出生12小时内采取了阻断措施的新生儿，可接受乙肝病毒表面抗原阳性母亲的哺乳。</w:t>
      </w:r>
    </w:p>
    <w:p>
      <w:pPr>
        <w:pStyle w:val="5"/>
        <w:keepNext w:val="0"/>
        <w:keepLines w:val="0"/>
        <w:pageBreakBefore w:val="0"/>
        <w:widowControl w:val="0"/>
        <w:kinsoku/>
        <w:wordWrap/>
        <w:overflowPunct/>
        <w:topLinePunct w:val="0"/>
        <w:autoSpaceDE/>
        <w:autoSpaceDN/>
        <w:bidi w:val="0"/>
        <w:adjustRightInd/>
        <w:snapToGrid/>
        <w:spacing w:before="157" w:beforeLines="50" w:after="10" w:line="240" w:lineRule="auto"/>
        <w:textAlignment w:val="auto"/>
        <w:rPr>
          <w:rStyle w:val="21"/>
          <w:rFonts w:hint="default" w:ascii="Times New Roman" w:hAnsi="Times New Roman" w:cs="Times New Roman"/>
          <w:b/>
        </w:rPr>
      </w:pPr>
      <w:r>
        <w:rPr>
          <w:rStyle w:val="21"/>
          <w:rFonts w:hint="eastAsia" w:cs="华文中宋" w:asciiTheme="minorEastAsia" w:hAnsiTheme="minorEastAsia"/>
        </w:rPr>
        <w:t>●</w:t>
      </w:r>
      <w:r>
        <w:rPr>
          <w:rStyle w:val="21"/>
          <w:rFonts w:hint="default" w:ascii="Times New Roman" w:hAnsi="Times New Roman" w:cs="Times New Roman"/>
          <w:b/>
          <w:color w:val="auto"/>
        </w:rPr>
        <w:t>急症处理</w:t>
      </w:r>
    </w:p>
    <w:p>
      <w:pPr>
        <w:pStyle w:val="19"/>
        <w:keepNext w:val="0"/>
        <w:keepLines w:val="0"/>
        <w:pageBreakBefore w:val="0"/>
        <w:widowControl w:val="0"/>
        <w:numPr>
          <w:ilvl w:val="0"/>
          <w:numId w:val="1"/>
        </w:numPr>
        <w:kinsoku/>
        <w:wordWrap/>
        <w:overflowPunct/>
        <w:topLinePunct w:val="0"/>
        <w:autoSpaceDE w:val="0"/>
        <w:autoSpaceDN w:val="0"/>
        <w:bidi w:val="0"/>
        <w:adjustRightInd w:val="0"/>
        <w:snapToGrid w:val="0"/>
        <w:spacing w:after="0" w:line="240" w:lineRule="auto"/>
        <w:ind w:left="840" w:leftChars="0" w:hanging="420" w:firstLineChars="0"/>
        <w:jc w:val="both"/>
        <w:textAlignment w:val="auto"/>
        <w:rPr>
          <w:rFonts w:hint="default" w:ascii="Times New Roman" w:hAnsi="Times New Roman" w:eastAsia="楷体" w:cs="Times New Roman"/>
          <w:color w:val="000000" w:themeColor="text1"/>
          <w:sz w:val="22"/>
          <w:szCs w:val="22"/>
          <w14:textFill>
            <w14:solidFill>
              <w14:schemeClr w14:val="tx1"/>
            </w14:solidFill>
          </w14:textFill>
        </w:rPr>
      </w:pPr>
      <w:r>
        <w:rPr>
          <w:rFonts w:hint="default" w:ascii="Times New Roman" w:hAnsi="Times New Roman" w:eastAsia="楷体" w:cs="Times New Roman"/>
          <w:color w:val="000000" w:themeColor="text1"/>
          <w:sz w:val="22"/>
          <w:szCs w:val="22"/>
          <w14:textFill>
            <w14:solidFill>
              <w14:schemeClr w14:val="tx1"/>
            </w14:solidFill>
          </w14:textFill>
        </w:rPr>
        <w:t>如病情加重，尤其出现下列情况，应尽快到医院就诊：</w:t>
      </w:r>
    </w:p>
    <w:p>
      <w:pPr>
        <w:pStyle w:val="19"/>
        <w:keepNext w:val="0"/>
        <w:keepLines w:val="0"/>
        <w:pageBreakBefore w:val="0"/>
        <w:widowControl w:val="0"/>
        <w:numPr>
          <w:ilvl w:val="0"/>
          <w:numId w:val="0"/>
        </w:numPr>
        <w:kinsoku/>
        <w:wordWrap/>
        <w:overflowPunct/>
        <w:topLinePunct w:val="0"/>
        <w:autoSpaceDE w:val="0"/>
        <w:autoSpaceDN w:val="0"/>
        <w:bidi w:val="0"/>
        <w:adjustRightInd w:val="0"/>
        <w:snapToGrid w:val="0"/>
        <w:spacing w:after="0" w:line="240" w:lineRule="auto"/>
        <w:ind w:leftChars="0" w:firstLine="660" w:firstLineChars="300"/>
        <w:jc w:val="both"/>
        <w:textAlignment w:val="auto"/>
        <w:rPr>
          <w:rFonts w:hint="default"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lang w:eastAsia="zh-CN"/>
          <w14:textFill>
            <w14:solidFill>
              <w14:schemeClr w14:val="tx1"/>
            </w14:solidFill>
          </w14:textFill>
        </w:rPr>
        <w:t>（</w:t>
      </w:r>
      <w:r>
        <w:rPr>
          <w:rFonts w:hint="eastAsia" w:ascii="Times New Roman" w:hAnsi="Times New Roman" w:eastAsia="楷体" w:cs="Times New Roman"/>
          <w:color w:val="000000" w:themeColor="text1"/>
          <w:sz w:val="22"/>
          <w:szCs w:val="22"/>
          <w:lang w:val="en-US" w:eastAsia="zh-CN"/>
          <w14:textFill>
            <w14:solidFill>
              <w14:schemeClr w14:val="tx1"/>
            </w14:solidFill>
          </w14:textFill>
        </w:rPr>
        <w:t>1</w:t>
      </w:r>
      <w:r>
        <w:rPr>
          <w:rFonts w:hint="eastAsia" w:ascii="Times New Roman" w:hAnsi="Times New Roman" w:eastAsia="楷体" w:cs="Times New Roman"/>
          <w:color w:val="000000" w:themeColor="text1"/>
          <w:sz w:val="22"/>
          <w:szCs w:val="22"/>
          <w:lang w:eastAsia="zh-CN"/>
          <w14:textFill>
            <w14:solidFill>
              <w14:schemeClr w14:val="tx1"/>
            </w14:solidFill>
          </w14:textFill>
        </w:rPr>
        <w:t>）</w:t>
      </w:r>
      <w:r>
        <w:rPr>
          <w:rFonts w:hint="default" w:ascii="Times New Roman" w:hAnsi="Times New Roman" w:eastAsia="楷体" w:cs="Times New Roman"/>
          <w:color w:val="000000" w:themeColor="text1"/>
          <w:sz w:val="22"/>
          <w:szCs w:val="22"/>
          <w14:textFill>
            <w14:solidFill>
              <w14:schemeClr w14:val="tx1"/>
            </w14:solidFill>
          </w14:textFill>
        </w:rPr>
        <w:t>恶心、乏力、纳差、尿黄、皮肤或巩膜黄染明显或进行性加重。</w:t>
      </w:r>
    </w:p>
    <w:p>
      <w:pPr>
        <w:pStyle w:val="19"/>
        <w:keepNext w:val="0"/>
        <w:keepLines w:val="0"/>
        <w:pageBreakBefore w:val="0"/>
        <w:widowControl w:val="0"/>
        <w:numPr>
          <w:ilvl w:val="0"/>
          <w:numId w:val="0"/>
        </w:numPr>
        <w:kinsoku/>
        <w:wordWrap/>
        <w:overflowPunct/>
        <w:topLinePunct w:val="0"/>
        <w:autoSpaceDE w:val="0"/>
        <w:autoSpaceDN w:val="0"/>
        <w:bidi w:val="0"/>
        <w:adjustRightInd w:val="0"/>
        <w:snapToGrid w:val="0"/>
        <w:spacing w:after="0" w:line="240" w:lineRule="auto"/>
        <w:ind w:leftChars="0" w:firstLine="660" w:firstLineChars="300"/>
        <w:jc w:val="both"/>
        <w:textAlignment w:val="auto"/>
        <w:rPr>
          <w:rFonts w:hint="default" w:ascii="Times New Roman" w:hAnsi="Times New Roman" w:eastAsia="楷体" w:cs="Times New Roman"/>
          <w:color w:val="000000" w:themeColor="text1"/>
          <w:sz w:val="22"/>
          <w:szCs w:val="22"/>
          <w14:textFill>
            <w14:solidFill>
              <w14:schemeClr w14:val="tx1"/>
            </w14:solidFill>
          </w14:textFill>
        </w:rPr>
      </w:pPr>
      <w:r>
        <w:rPr>
          <w:rFonts w:hint="eastAsia" w:ascii="Times New Roman" w:hAnsi="Times New Roman" w:eastAsia="楷体" w:cs="Times New Roman"/>
          <w:color w:val="000000" w:themeColor="text1"/>
          <w:sz w:val="22"/>
          <w:szCs w:val="22"/>
          <w:lang w:eastAsia="zh-CN"/>
          <w14:textFill>
            <w14:solidFill>
              <w14:schemeClr w14:val="tx1"/>
            </w14:solidFill>
          </w14:textFill>
        </w:rPr>
        <w:t>（</w:t>
      </w:r>
      <w:r>
        <w:rPr>
          <w:rFonts w:hint="eastAsia" w:ascii="Times New Roman" w:hAnsi="Times New Roman" w:eastAsia="楷体" w:cs="Times New Roman"/>
          <w:color w:val="000000" w:themeColor="text1"/>
          <w:sz w:val="22"/>
          <w:szCs w:val="22"/>
          <w:lang w:val="en-US" w:eastAsia="zh-CN"/>
          <w14:textFill>
            <w14:solidFill>
              <w14:schemeClr w14:val="tx1"/>
            </w14:solidFill>
          </w14:textFill>
        </w:rPr>
        <w:t>2</w:t>
      </w:r>
      <w:r>
        <w:rPr>
          <w:rFonts w:hint="eastAsia" w:ascii="Times New Roman" w:hAnsi="Times New Roman" w:eastAsia="楷体" w:cs="Times New Roman"/>
          <w:color w:val="000000" w:themeColor="text1"/>
          <w:sz w:val="22"/>
          <w:szCs w:val="22"/>
          <w:lang w:eastAsia="zh-CN"/>
          <w14:textFill>
            <w14:solidFill>
              <w14:schemeClr w14:val="tx1"/>
            </w14:solidFill>
          </w14:textFill>
        </w:rPr>
        <w:t>）</w:t>
      </w:r>
      <w:r>
        <w:rPr>
          <w:rFonts w:hint="default" w:ascii="Times New Roman" w:hAnsi="Times New Roman" w:eastAsia="楷体" w:cs="Times New Roman"/>
          <w:color w:val="000000" w:themeColor="text1"/>
          <w:sz w:val="22"/>
          <w:szCs w:val="22"/>
          <w14:textFill>
            <w14:solidFill>
              <w14:schemeClr w14:val="tx1"/>
            </w14:solidFill>
          </w14:textFill>
        </w:rPr>
        <w:t>存在肝硬化的患者，如果出现神志反常、水肿、呕血、便血、尿少等情况。</w:t>
      </w:r>
    </w:p>
    <w:p>
      <w:pPr>
        <w:pStyle w:val="35"/>
        <w:ind w:firstLine="0" w:firstLineChars="0"/>
        <w:rPr>
          <w:rStyle w:val="23"/>
          <w:rFonts w:hint="default" w:ascii="Times New Roman" w:hAnsi="Times New Roman" w:cs="Times New Roman"/>
        </w:rPr>
      </w:pPr>
      <w:r>
        <w:rPr>
          <w:rStyle w:val="23"/>
          <w:rFonts w:hint="default" w:ascii="Times New Roman" w:hAnsi="Times New Roman" w:cs="Times New Roman"/>
        </w:rPr>
        <mc:AlternateContent>
          <mc:Choice Requires="wps">
            <w:drawing>
              <wp:inline distT="0" distB="0" distL="114300" distR="114300">
                <wp:extent cx="5284470" cy="504825"/>
                <wp:effectExtent l="0" t="0" r="3810" b="13335"/>
                <wp:docPr id="3" name="文本框 9"/>
                <wp:cNvGraphicFramePr/>
                <a:graphic xmlns:a="http://schemas.openxmlformats.org/drawingml/2006/main">
                  <a:graphicData uri="http://schemas.microsoft.com/office/word/2010/wordprocessingShape">
                    <wps:wsp>
                      <wps:cNvSpPr txBox="1"/>
                      <wps:spPr>
                        <a:xfrm>
                          <a:off x="0" y="0"/>
                          <a:ext cx="5284470" cy="504825"/>
                        </a:xfrm>
                        <a:prstGeom prst="rect">
                          <a:avLst/>
                        </a:prstGeom>
                        <a:solidFill>
                          <a:srgbClr val="D8D8D8"/>
                        </a:solidFill>
                        <a:ln w="12700">
                          <a:noFill/>
                        </a:ln>
                      </wps:spPr>
                      <wps:txbx>
                        <w:txbxContent>
                          <w:p>
                            <w:pPr>
                              <w:pStyle w:val="19"/>
                              <w:spacing w:line="240" w:lineRule="auto"/>
                              <w:ind w:leftChars="-67" w:hanging="141" w:hangingChars="44"/>
                              <w:jc w:val="center"/>
                              <w:rPr>
                                <w:rFonts w:ascii="黑体" w:hAnsi="黑体" w:eastAsia="黑体" w:cs="华文中宋"/>
                                <w:b/>
                                <w:color w:val="000000"/>
                                <w:sz w:val="36"/>
                                <w:szCs w:val="28"/>
                              </w:rPr>
                            </w:pPr>
                            <w:r>
                              <w:rPr>
                                <w:rStyle w:val="24"/>
                                <w:rFonts w:hint="eastAsia" w:ascii="黑体" w:hAnsi="黑体" w:eastAsia="黑体"/>
                                <w:b/>
                                <w:sz w:val="32"/>
                                <w:shd w:val="clear" w:color="FFFFFF" w:fill="D9D9D9"/>
                              </w:rPr>
                              <w:t>其他指导建议</w:t>
                            </w:r>
                          </w:p>
                        </w:txbxContent>
                      </wps:txbx>
                      <wps:bodyPr rot="0" vert="horz" wrap="square" lIns="91440" tIns="45720" rIns="91440" bIns="45720" anchor="t" anchorCtr="0"/>
                    </wps:wsp>
                  </a:graphicData>
                </a:graphic>
              </wp:inline>
            </w:drawing>
          </mc:Choice>
          <mc:Fallback>
            <w:pict>
              <v:shape id="文本框 9" o:spid="_x0000_s1026" o:spt="202" type="#_x0000_t202" style="height:39.75pt;width:416.1pt;" fillcolor="#D8D8D8" filled="t" stroked="f" coordsize="21600,21600" o:gfxdata="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jNCZnUAAAABAEAAA8AAAAAAAAAAQAgAAAAIgAAAGRycy9kb3ducmV2LnhtbFBL&#10;AQIUABQAAAAIAIdO4kDoYxeD+gEAAOQDAAAOAAAAAAAAAAEAIAAAACMBAABkcnMvZTJvRG9jLnht&#10;bFBLBQYAAAAABgAGAFkBAACPBQAAAAA=&#10;">
                <v:fill on="t" focussize="0,0"/>
                <v:stroke on="f" weight="1pt"/>
                <v:imagedata o:title=""/>
                <o:lock v:ext="edit" aspectratio="f"/>
                <v:textbox>
                  <w:txbxContent>
                    <w:p>
                      <w:pPr>
                        <w:pStyle w:val="19"/>
                        <w:spacing w:line="240" w:lineRule="auto"/>
                        <w:ind w:leftChars="-67" w:hanging="141" w:hangingChars="44"/>
                        <w:jc w:val="center"/>
                        <w:rPr>
                          <w:rFonts w:ascii="黑体" w:hAnsi="黑体" w:eastAsia="黑体" w:cs="华文中宋"/>
                          <w:b/>
                          <w:color w:val="000000"/>
                          <w:sz w:val="36"/>
                          <w:szCs w:val="28"/>
                        </w:rPr>
                      </w:pPr>
                      <w:r>
                        <w:rPr>
                          <w:rStyle w:val="24"/>
                          <w:rFonts w:hint="eastAsia" w:ascii="黑体" w:hAnsi="黑体" w:eastAsia="黑体"/>
                          <w:b/>
                          <w:sz w:val="32"/>
                          <w:shd w:val="clear" w:color="FFFFFF" w:fill="D9D9D9"/>
                        </w:rPr>
                        <w:t>其他指导建议</w:t>
                      </w:r>
                    </w:p>
                  </w:txbxContent>
                </v:textbox>
                <w10:wrap type="none"/>
                <w10:anchorlock/>
              </v:shape>
            </w:pict>
          </mc:Fallback>
        </mc:AlternateContent>
      </w:r>
    </w:p>
    <w:p>
      <w:pPr>
        <w:spacing w:after="0" w:line="480" w:lineRule="auto"/>
        <w:rPr>
          <w:rFonts w:hint="default" w:ascii="Times New Roman" w:hAnsi="Times New Roman" w:cs="Times New Roman"/>
          <w:sz w:val="24"/>
          <w:szCs w:val="24"/>
          <w:u w:val="single"/>
        </w:rPr>
      </w:pPr>
      <w:r>
        <w:rPr>
          <w:rFonts w:hint="default" w:ascii="Times New Roman" w:hAnsi="Times New Roman" w:cs="Times New Roman"/>
          <w:sz w:val="24"/>
          <w:szCs w:val="24"/>
          <w:u w:val="single"/>
        </w:rPr>
        <w:t xml:space="preserve">                                                                      </w:t>
      </w:r>
    </w:p>
    <w:p>
      <w:pPr>
        <w:spacing w:after="0" w:line="480" w:lineRule="auto"/>
        <w:rPr>
          <w:rFonts w:hint="default" w:ascii="Times New Roman" w:hAnsi="Times New Roman" w:cs="Times New Roman"/>
          <w:sz w:val="24"/>
          <w:szCs w:val="24"/>
          <w:u w:val="single"/>
        </w:rPr>
      </w:pPr>
      <w:r>
        <w:rPr>
          <w:rFonts w:hint="default" w:ascii="Times New Roman" w:hAnsi="Times New Roman" w:cs="Times New Roman"/>
          <w:sz w:val="24"/>
          <w:szCs w:val="24"/>
          <w:u w:val="thick"/>
        </w:rPr>
        <w:t xml:space="preserve">                                                                                            </w:t>
      </w:r>
      <w:r>
        <w:rPr>
          <w:rFonts w:hint="default" w:ascii="Times New Roman" w:hAnsi="Times New Roman" w:cs="Times New Roman"/>
          <w:sz w:val="24"/>
          <w:szCs w:val="24"/>
          <w:u w:val="single"/>
        </w:rPr>
        <w:t xml:space="preserve">        </w:t>
      </w:r>
    </w:p>
    <w:p>
      <w:pPr>
        <w:spacing w:after="0" w:line="240" w:lineRule="auto"/>
        <w:rPr>
          <w:rStyle w:val="21"/>
          <w:rFonts w:hint="default" w:ascii="Times New Roman" w:hAnsi="Times New Roman" w:cs="Times New Roman"/>
          <w:sz w:val="24"/>
          <w:szCs w:val="24"/>
        </w:rPr>
      </w:pPr>
      <w:r>
        <w:rPr>
          <w:rStyle w:val="21"/>
          <w:rFonts w:hint="default" w:ascii="Times New Roman" w:hAnsi="Times New Roman" w:cs="Times New Roman"/>
          <w:sz w:val="24"/>
          <w:szCs w:val="24"/>
        </w:rPr>
        <w:t>医生/指导人员签名：</w:t>
      </w:r>
      <w:r>
        <w:rPr>
          <w:rFonts w:hint="default" w:ascii="Times New Roman" w:hAnsi="Times New Roman" w:cs="Times New Roman"/>
        </w:rPr>
        <w:tab/>
      </w:r>
      <w:r>
        <w:rPr>
          <w:rFonts w:hint="default" w:ascii="Times New Roman" w:hAnsi="Times New Roman" w:cs="Times New Roman"/>
        </w:rPr>
        <w:tab/>
      </w:r>
      <w:r>
        <w:rPr>
          <w:rStyle w:val="21"/>
          <w:rFonts w:hint="default" w:ascii="Times New Roman" w:hAnsi="Times New Roman" w:cs="Times New Roman"/>
          <w:sz w:val="24"/>
          <w:szCs w:val="24"/>
        </w:rPr>
        <w:t>咨询电话：</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Style w:val="21"/>
          <w:rFonts w:hint="default" w:ascii="Times New Roman" w:hAnsi="Times New Roman" w:cs="Times New Roman"/>
          <w:sz w:val="24"/>
          <w:szCs w:val="24"/>
        </w:rPr>
        <w:t>日期：</w:t>
      </w:r>
      <w:r>
        <w:rPr>
          <w:rFonts w:hint="default" w:ascii="Times New Roman" w:hAnsi="Times New Roman" w:cs="Times New Roman"/>
        </w:rPr>
        <w:tab/>
      </w:r>
      <w:r>
        <w:rPr>
          <w:rFonts w:hint="default" w:ascii="Times New Roman" w:hAnsi="Times New Roman" w:cs="Times New Roman"/>
        </w:rPr>
        <w:tab/>
      </w:r>
      <w:r>
        <w:rPr>
          <w:rStyle w:val="21"/>
          <w:rFonts w:hint="default" w:ascii="Times New Roman" w:hAnsi="Times New Roman" w:cs="Times New Roman"/>
          <w:sz w:val="24"/>
          <w:szCs w:val="24"/>
        </w:rPr>
        <w:t>年   月   日</w:t>
      </w:r>
    </w:p>
    <w:p>
      <w:pPr>
        <w:spacing w:after="0" w:line="240" w:lineRule="auto"/>
        <w:rPr>
          <w:rFonts w:hint="default" w:ascii="Times New Roman" w:hAnsi="Times New Roman" w:cs="Times New Roman"/>
          <w:sz w:val="24"/>
          <w:szCs w:val="24"/>
          <w:u w:val="dotted"/>
        </w:rPr>
      </w:pPr>
      <w:r>
        <w:rPr>
          <w:rFonts w:hint="default" w:ascii="Times New Roman" w:hAnsi="Times New Roman" w:cs="Times New Roman"/>
          <w:sz w:val="24"/>
          <w:szCs w:val="24"/>
          <w:u w:val="dotted"/>
        </w:rPr>
        <w:t xml:space="preserve">                                                                                      </w:t>
      </w:r>
    </w:p>
    <w:p>
      <w:pPr>
        <w:pStyle w:val="19"/>
        <w:spacing w:after="0" w:line="240" w:lineRule="auto"/>
        <w:jc w:val="center"/>
        <w:rPr>
          <w:rFonts w:hint="default" w:ascii="Times New Roman" w:hAnsi="Times New Roman" w:eastAsia="仿宋_GB2312" w:cs="Times New Roman"/>
          <w:b/>
          <w:kern w:val="2"/>
          <w:szCs w:val="28"/>
        </w:rPr>
      </w:pPr>
    </w:p>
    <w:p>
      <w:pPr>
        <w:pStyle w:val="19"/>
        <w:spacing w:after="0" w:line="240" w:lineRule="auto"/>
        <w:jc w:val="center"/>
        <w:rPr>
          <w:rFonts w:hint="default" w:ascii="Times New Roman" w:hAnsi="Times New Roman" w:eastAsia="仿宋_GB2312" w:cs="Times New Roman"/>
          <w:b/>
          <w:szCs w:val="21"/>
        </w:rPr>
      </w:pPr>
      <w:r>
        <w:rPr>
          <w:rFonts w:hint="default" w:ascii="Times New Roman" w:hAnsi="Times New Roman" w:eastAsia="仿宋_GB2312" w:cs="Times New Roman"/>
          <w:b/>
          <w:kern w:val="2"/>
          <w:szCs w:val="28"/>
        </w:rPr>
        <w:t>乙型肝炎患者健康教育处方使用说明</w:t>
      </w:r>
    </w:p>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default" w:ascii="Times New Roman" w:hAnsi="Times New Roman" w:eastAsia="仿宋_GB2312" w:cs="Times New Roman"/>
          <w:szCs w:val="21"/>
        </w:rPr>
      </w:pPr>
      <w:r>
        <w:rPr>
          <w:rFonts w:hint="default" w:ascii="Times New Roman" w:hAnsi="Times New Roman" w:eastAsia="仿宋_GB2312" w:cs="Times New Roman"/>
          <w:b/>
          <w:szCs w:val="21"/>
        </w:rPr>
        <w:t>★使用对象：</w:t>
      </w:r>
      <w:r>
        <w:rPr>
          <w:rFonts w:hint="default" w:ascii="Times New Roman" w:hAnsi="Times New Roman" w:eastAsia="仿宋_GB2312" w:cs="Times New Roman"/>
          <w:szCs w:val="21"/>
        </w:rPr>
        <w:t>乙型肝炎患者。</w:t>
      </w:r>
    </w:p>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default" w:ascii="Times New Roman" w:hAnsi="Times New Roman" w:eastAsia="仿宋_GB2312" w:cs="Times New Roman"/>
          <w:b/>
          <w:szCs w:val="21"/>
        </w:rPr>
      </w:pPr>
      <w:r>
        <w:rPr>
          <w:rFonts w:hint="default" w:ascii="Times New Roman" w:hAnsi="Times New Roman" w:eastAsia="仿宋_GB2312" w:cs="Times New Roman"/>
          <w:b/>
          <w:szCs w:val="21"/>
        </w:rPr>
        <w:t>★使用方法：</w:t>
      </w:r>
    </w:p>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1.本处方不能替代医务人员开具的医疗处方，主要用于患者健康生活方式指导。</w:t>
      </w:r>
    </w:p>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default" w:ascii="Times New Roman" w:hAnsi="Times New Roman" w:eastAsia="仿宋_GB2312" w:cs="Times New Roman"/>
          <w:szCs w:val="21"/>
        </w:rPr>
      </w:pPr>
      <w:r>
        <w:rPr>
          <w:rFonts w:hint="default" w:ascii="Times New Roman" w:hAnsi="Times New Roman" w:eastAsia="仿宋_GB2312" w:cs="Times New Roman"/>
          <w:szCs w:val="21"/>
        </w:rPr>
        <w:t>2.医务人员应结合患者的病情、健康危险因素等，提供有针对性的健康指导。</w:t>
      </w:r>
    </w:p>
    <w:sectPr>
      <w:footnotePr>
        <w:numFmt w:val="chicago"/>
      </w:footnotePr>
      <w:pgSz w:w="11906" w:h="16838"/>
      <w:pgMar w:top="1440" w:right="1803" w:bottom="1440" w:left="1803"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Lantinghei SC">
    <w:altName w:val="微软雅黑"/>
    <w:panose1 w:val="02000000000000000000"/>
    <w:charset w:val="86"/>
    <w:family w:val="swiss"/>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GDSBXP+STKaiti">
    <w:altName w:val="宋体"/>
    <w:panose1 w:val="020B0604020202020204"/>
    <w:charset w:val="86"/>
    <w:family w:val="roman"/>
    <w:pitch w:val="default"/>
    <w:sig w:usb0="00000000" w:usb1="00000000" w:usb2="00000010" w:usb3="00000000" w:csb0="00040000" w:csb1="00000000"/>
  </w:font>
  <w:font w:name="楷体_GB2312">
    <w:altName w:val="楷体"/>
    <w:panose1 w:val="020B0604020202020204"/>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B0604020202020204"/>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03609E"/>
    <w:multiLevelType w:val="singleLevel"/>
    <w:tmpl w:val="1E03609E"/>
    <w:lvl w:ilvl="0" w:tentative="0">
      <w:start w:val="1"/>
      <w:numFmt w:val="bullet"/>
      <w:lvlText w:val="□"/>
      <w:lvlJc w:val="left"/>
      <w:pPr>
        <w:ind w:left="840" w:hanging="420"/>
      </w:pPr>
      <w:rPr>
        <w:rFonts w:hint="default" w:ascii="宋体" w:hAnsi="宋体" w:eastAsia="宋体" w:cs="宋体"/>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characterSpacingControl w:val="compressPunctuation"/>
  <w:footnotePr>
    <w:numFmt w:val="chicago"/>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ZiMzYyMDk3YmU5MTUwY2IwMDEzMmRhYmIxYzI4MDAifQ=="/>
  </w:docVars>
  <w:rsids>
    <w:rsidRoot w:val="00000000"/>
    <w:rsid w:val="089952EC"/>
    <w:rsid w:val="0DDC621D"/>
    <w:rsid w:val="2D6F3993"/>
    <w:rsid w:val="376918DA"/>
    <w:rsid w:val="3C463BC1"/>
    <w:rsid w:val="3C847D33"/>
    <w:rsid w:val="5B214990"/>
    <w:rsid w:val="782B7F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uiPriority="99" w:name="caption"/>
    <w:lsdException w:uiPriority="99" w:name="table of figures"/>
    <w:lsdException w:uiPriority="99" w:name="envelope address"/>
    <w:lsdException w:uiPriority="99" w:name="envelope return"/>
    <w:lsdException w:qFormat="1" w:uiPriority="0" w:semiHidden="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nhideWhenUsed="0" w:uiPriority="99" w:semiHidden="0" w:name="macro"/>
    <w:lsdException w:uiPriority="99" w:name="toa heading"/>
    <w:lsdException w:uiPriority="99" w:name="List"/>
    <w:lsdException w:unhideWhenUsed="0" w:uiPriority="99" w:semiHidden="0" w:name="List Bullet"/>
    <w:lsdException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7"/>
    <w:qFormat/>
    <w:uiPriority w:val="9"/>
    <w:pPr>
      <w:keepNext/>
      <w:spacing w:beforeLines="50" w:afterLines="50" w:line="240" w:lineRule="auto"/>
      <w:jc w:val="left"/>
      <w:outlineLvl w:val="0"/>
    </w:pPr>
    <w:rPr>
      <w:rFonts w:ascii="Times New Roman" w:hAnsi="Times New Roman"/>
      <w:b/>
      <w:bCs/>
      <w:kern w:val="44"/>
      <w:sz w:val="28"/>
      <w:szCs w:val="44"/>
    </w:rPr>
  </w:style>
  <w:style w:type="paragraph" w:styleId="3">
    <w:name w:val="heading 2"/>
    <w:basedOn w:val="1"/>
    <w:next w:val="1"/>
    <w:link w:val="3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annotation text"/>
    <w:basedOn w:val="1"/>
    <w:link w:val="28"/>
    <w:qFormat/>
    <w:uiPriority w:val="0"/>
    <w:pPr>
      <w:jc w:val="left"/>
    </w:pPr>
  </w:style>
  <w:style w:type="paragraph" w:styleId="5">
    <w:name w:val="Body Text"/>
    <w:basedOn w:val="1"/>
    <w:qFormat/>
    <w:uiPriority w:val="1"/>
    <w:rPr>
      <w:sz w:val="32"/>
      <w:szCs w:val="32"/>
    </w:rPr>
  </w:style>
  <w:style w:type="paragraph" w:styleId="6">
    <w:name w:val="Balloon Text"/>
    <w:basedOn w:val="1"/>
    <w:link w:val="30"/>
    <w:qFormat/>
    <w:uiPriority w:val="0"/>
    <w:pPr>
      <w:spacing w:after="0" w:line="240" w:lineRule="auto"/>
    </w:pPr>
    <w:rPr>
      <w:sz w:val="18"/>
      <w:szCs w:val="18"/>
    </w:rPr>
  </w:style>
  <w:style w:type="paragraph" w:styleId="7">
    <w:name w:val="footer"/>
    <w:basedOn w:val="1"/>
    <w:link w:val="27"/>
    <w:qFormat/>
    <w:uiPriority w:val="0"/>
    <w:pPr>
      <w:tabs>
        <w:tab w:val="center" w:pos="4153"/>
        <w:tab w:val="right" w:pos="8306"/>
      </w:tabs>
      <w:snapToGrid w:val="0"/>
      <w:spacing w:line="240" w:lineRule="auto"/>
      <w:jc w:val="left"/>
    </w:pPr>
    <w:rPr>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9">
    <w:name w:val="footnote text"/>
    <w:basedOn w:val="1"/>
    <w:link w:val="42"/>
    <w:unhideWhenUsed/>
    <w:qFormat/>
    <w:uiPriority w:val="0"/>
    <w:pPr>
      <w:snapToGrid w:val="0"/>
      <w:jc w:val="left"/>
    </w:pPr>
    <w:rPr>
      <w:sz w:val="18"/>
      <w:szCs w:val="18"/>
    </w:rPr>
  </w:style>
  <w:style w:type="paragraph" w:styleId="10">
    <w:name w:val="annotation subject"/>
    <w:basedOn w:val="4"/>
    <w:next w:val="4"/>
    <w:link w:val="29"/>
    <w:qFormat/>
    <w:uiPriority w:val="0"/>
    <w:rPr>
      <w:b/>
      <w:bCs/>
    </w:rPr>
  </w:style>
  <w:style w:type="character" w:styleId="13">
    <w:name w:val="Hyperlink"/>
    <w:basedOn w:val="12"/>
    <w:unhideWhenUsed/>
    <w:qFormat/>
    <w:uiPriority w:val="0"/>
    <w:rPr>
      <w:color w:val="0000FF"/>
      <w:u w:val="single"/>
    </w:rPr>
  </w:style>
  <w:style w:type="character" w:styleId="14">
    <w:name w:val="annotation reference"/>
    <w:basedOn w:val="12"/>
    <w:qFormat/>
    <w:uiPriority w:val="0"/>
    <w:rPr>
      <w:sz w:val="21"/>
      <w:szCs w:val="21"/>
    </w:rPr>
  </w:style>
  <w:style w:type="character" w:styleId="15">
    <w:name w:val="footnote reference"/>
    <w:basedOn w:val="12"/>
    <w:autoRedefine/>
    <w:unhideWhenUsed/>
    <w:qFormat/>
    <w:uiPriority w:val="0"/>
    <w:rPr>
      <w:vertAlign w:val="superscript"/>
    </w:rPr>
  </w:style>
  <w:style w:type="paragraph" w:customStyle="1" w:styleId="16">
    <w:name w:val="副标题1"/>
    <w:basedOn w:val="1"/>
    <w:autoRedefine/>
    <w:qFormat/>
    <w:uiPriority w:val="0"/>
    <w:rPr>
      <w:sz w:val="22"/>
      <w:lang w:eastAsia="en-US"/>
    </w:rPr>
  </w:style>
  <w:style w:type="paragraph" w:customStyle="1" w:styleId="17">
    <w:name w:val="正文1"/>
    <w:basedOn w:val="1"/>
    <w:link w:val="18"/>
    <w:autoRedefine/>
    <w:qFormat/>
    <w:uiPriority w:val="0"/>
    <w:pPr>
      <w:spacing w:line="440" w:lineRule="exact"/>
    </w:pPr>
    <w:rPr>
      <w:rFonts w:ascii="Times New Roman" w:hAnsi="Times New Roman" w:eastAsia="宋体" w:cs="Times New Roman"/>
      <w:szCs w:val="20"/>
    </w:rPr>
  </w:style>
  <w:style w:type="character" w:customStyle="1" w:styleId="18">
    <w:name w:val="正文1 Char"/>
    <w:link w:val="17"/>
    <w:autoRedefine/>
    <w:qFormat/>
    <w:uiPriority w:val="0"/>
    <w:rPr>
      <w:rFonts w:ascii="Times New Roman" w:hAnsi="Times New Roman" w:eastAsia="宋体" w:cs="Times New Roman"/>
      <w:szCs w:val="20"/>
    </w:rPr>
  </w:style>
  <w:style w:type="paragraph" w:customStyle="1" w:styleId="19">
    <w:name w:val="Pa0"/>
    <w:basedOn w:val="1"/>
    <w:link w:val="34"/>
    <w:autoRedefine/>
    <w:qFormat/>
    <w:uiPriority w:val="99"/>
    <w:pPr>
      <w:autoSpaceDE w:val="0"/>
      <w:autoSpaceDN w:val="0"/>
      <w:adjustRightInd w:val="0"/>
      <w:spacing w:line="241" w:lineRule="atLeast"/>
      <w:jc w:val="left"/>
    </w:pPr>
    <w:rPr>
      <w:rFonts w:ascii="Lantinghei SC" w:eastAsia="Lantinghei SC"/>
      <w:kern w:val="0"/>
      <w:sz w:val="24"/>
      <w:szCs w:val="24"/>
    </w:rPr>
  </w:style>
  <w:style w:type="character" w:customStyle="1" w:styleId="20">
    <w:name w:val="A0"/>
    <w:qFormat/>
    <w:uiPriority w:val="99"/>
    <w:rPr>
      <w:rFonts w:cs="Lantinghei SC"/>
      <w:color w:val="000000"/>
      <w:sz w:val="36"/>
      <w:szCs w:val="36"/>
    </w:rPr>
  </w:style>
  <w:style w:type="character" w:customStyle="1" w:styleId="21">
    <w:name w:val="A7"/>
    <w:autoRedefine/>
    <w:qFormat/>
    <w:uiPriority w:val="99"/>
    <w:rPr>
      <w:rFonts w:ascii="仿宋" w:eastAsia="仿宋" w:cs="仿宋"/>
      <w:color w:val="000000"/>
      <w:sz w:val="28"/>
      <w:szCs w:val="28"/>
    </w:rPr>
  </w:style>
  <w:style w:type="paragraph" w:customStyle="1" w:styleId="22">
    <w:name w:val="Pa1"/>
    <w:basedOn w:val="1"/>
    <w:qFormat/>
    <w:uiPriority w:val="99"/>
    <w:pPr>
      <w:autoSpaceDE w:val="0"/>
      <w:autoSpaceDN w:val="0"/>
      <w:adjustRightInd w:val="0"/>
      <w:spacing w:line="241" w:lineRule="atLeast"/>
      <w:jc w:val="left"/>
    </w:pPr>
    <w:rPr>
      <w:rFonts w:ascii="Lantinghei SC" w:eastAsia="Lantinghei SC"/>
      <w:kern w:val="0"/>
      <w:sz w:val="24"/>
      <w:szCs w:val="24"/>
    </w:rPr>
  </w:style>
  <w:style w:type="character" w:customStyle="1" w:styleId="23">
    <w:name w:val="A1"/>
    <w:qFormat/>
    <w:uiPriority w:val="99"/>
    <w:rPr>
      <w:rFonts w:ascii="GDSBXP+STKaiti" w:eastAsia="GDSBXP+STKaiti" w:cs="GDSBXP+STKaiti"/>
      <w:color w:val="000000"/>
      <w:sz w:val="26"/>
      <w:szCs w:val="26"/>
    </w:rPr>
  </w:style>
  <w:style w:type="character" w:customStyle="1" w:styleId="24">
    <w:name w:val="A2"/>
    <w:qFormat/>
    <w:uiPriority w:val="99"/>
    <w:rPr>
      <w:rFonts w:cs="Lantinghei SC"/>
      <w:color w:val="000000"/>
      <w:sz w:val="30"/>
      <w:szCs w:val="30"/>
    </w:rPr>
  </w:style>
  <w:style w:type="paragraph" w:customStyle="1" w:styleId="25">
    <w:name w:val="List Paragraph"/>
    <w:basedOn w:val="1"/>
    <w:qFormat/>
    <w:uiPriority w:val="34"/>
    <w:pPr>
      <w:ind w:firstLine="420" w:firstLineChars="200"/>
    </w:pPr>
  </w:style>
  <w:style w:type="character" w:customStyle="1" w:styleId="26">
    <w:name w:val="页眉 字符"/>
    <w:basedOn w:val="12"/>
    <w:link w:val="8"/>
    <w:qFormat/>
    <w:uiPriority w:val="0"/>
    <w:rPr>
      <w:kern w:val="2"/>
      <w:sz w:val="18"/>
      <w:szCs w:val="18"/>
    </w:rPr>
  </w:style>
  <w:style w:type="character" w:customStyle="1" w:styleId="27">
    <w:name w:val="页脚 字符"/>
    <w:basedOn w:val="12"/>
    <w:link w:val="7"/>
    <w:qFormat/>
    <w:uiPriority w:val="0"/>
    <w:rPr>
      <w:kern w:val="2"/>
      <w:sz w:val="18"/>
      <w:szCs w:val="18"/>
    </w:rPr>
  </w:style>
  <w:style w:type="character" w:customStyle="1" w:styleId="28">
    <w:name w:val="批注文字 字符"/>
    <w:basedOn w:val="12"/>
    <w:link w:val="4"/>
    <w:autoRedefine/>
    <w:qFormat/>
    <w:uiPriority w:val="0"/>
    <w:rPr>
      <w:kern w:val="2"/>
      <w:sz w:val="21"/>
      <w:szCs w:val="22"/>
    </w:rPr>
  </w:style>
  <w:style w:type="character" w:customStyle="1" w:styleId="29">
    <w:name w:val="批注主题 字符"/>
    <w:basedOn w:val="28"/>
    <w:link w:val="10"/>
    <w:autoRedefine/>
    <w:qFormat/>
    <w:uiPriority w:val="0"/>
    <w:rPr>
      <w:b/>
      <w:bCs/>
      <w:kern w:val="2"/>
      <w:sz w:val="21"/>
      <w:szCs w:val="22"/>
    </w:rPr>
  </w:style>
  <w:style w:type="character" w:customStyle="1" w:styleId="30">
    <w:name w:val="批注框文本 字符"/>
    <w:basedOn w:val="12"/>
    <w:link w:val="6"/>
    <w:qFormat/>
    <w:uiPriority w:val="0"/>
    <w:rPr>
      <w:kern w:val="2"/>
      <w:sz w:val="18"/>
      <w:szCs w:val="18"/>
    </w:rPr>
  </w:style>
  <w:style w:type="character" w:customStyle="1" w:styleId="31">
    <w:name w:val="标题 2 字符"/>
    <w:basedOn w:val="12"/>
    <w:link w:val="3"/>
    <w:qFormat/>
    <w:uiPriority w:val="0"/>
    <w:rPr>
      <w:rFonts w:asciiTheme="majorHAnsi" w:hAnsiTheme="majorHAnsi" w:eastAsiaTheme="majorEastAsia" w:cstheme="majorBidi"/>
      <w:b/>
      <w:bCs/>
      <w:kern w:val="2"/>
      <w:sz w:val="32"/>
      <w:szCs w:val="32"/>
    </w:rPr>
  </w:style>
  <w:style w:type="paragraph" w:customStyle="1" w:styleId="32">
    <w:name w:val="列出段落4"/>
    <w:basedOn w:val="1"/>
    <w:qFormat/>
    <w:uiPriority w:val="0"/>
    <w:pPr>
      <w:spacing w:after="0" w:line="240" w:lineRule="auto"/>
      <w:ind w:firstLine="420" w:firstLineChars="200"/>
    </w:pPr>
    <w:rPr>
      <w:rFonts w:ascii="Calibri" w:hAnsi="Calibri" w:eastAsia="宋体" w:cs="Times New Roman"/>
    </w:rPr>
  </w:style>
  <w:style w:type="paragraph" w:customStyle="1" w:styleId="33">
    <w:name w:val="列出段落6"/>
    <w:basedOn w:val="1"/>
    <w:qFormat/>
    <w:uiPriority w:val="0"/>
    <w:pPr>
      <w:spacing w:after="0" w:line="240" w:lineRule="auto"/>
      <w:ind w:firstLine="420" w:firstLineChars="200"/>
    </w:pPr>
    <w:rPr>
      <w:rFonts w:ascii="Calibri" w:hAnsi="Calibri" w:eastAsia="宋体" w:cs="Times New Roman"/>
    </w:rPr>
  </w:style>
  <w:style w:type="character" w:customStyle="1" w:styleId="34">
    <w:name w:val="Pa0 字符"/>
    <w:basedOn w:val="12"/>
    <w:link w:val="19"/>
    <w:autoRedefine/>
    <w:qFormat/>
    <w:uiPriority w:val="99"/>
    <w:rPr>
      <w:rFonts w:ascii="Lantinghei SC" w:eastAsia="Lantinghei SC"/>
      <w:sz w:val="24"/>
      <w:szCs w:val="24"/>
    </w:rPr>
  </w:style>
  <w:style w:type="paragraph" w:customStyle="1" w:styleId="35">
    <w:name w:val="概念"/>
    <w:basedOn w:val="1"/>
    <w:link w:val="36"/>
    <w:qFormat/>
    <w:uiPriority w:val="0"/>
    <w:pPr>
      <w:spacing w:after="0" w:line="300" w:lineRule="auto"/>
      <w:ind w:firstLine="200" w:firstLineChars="200"/>
      <w:jc w:val="left"/>
    </w:pPr>
    <w:rPr>
      <w:rFonts w:eastAsia="楷体_GB2312" w:cs="华文楷体" w:asciiTheme="minorEastAsia" w:hAnsiTheme="minorEastAsia"/>
      <w:bCs/>
      <w:sz w:val="24"/>
      <w:szCs w:val="28"/>
    </w:rPr>
  </w:style>
  <w:style w:type="character" w:customStyle="1" w:styleId="36">
    <w:name w:val="概念 字符"/>
    <w:basedOn w:val="12"/>
    <w:link w:val="35"/>
    <w:autoRedefine/>
    <w:qFormat/>
    <w:uiPriority w:val="0"/>
    <w:rPr>
      <w:rFonts w:eastAsia="楷体_GB2312" w:cs="华文楷体" w:asciiTheme="minorEastAsia" w:hAnsiTheme="minorEastAsia"/>
      <w:bCs/>
      <w:kern w:val="2"/>
      <w:sz w:val="24"/>
      <w:szCs w:val="28"/>
    </w:rPr>
  </w:style>
  <w:style w:type="character" w:customStyle="1" w:styleId="37">
    <w:name w:val="标题 1 字符"/>
    <w:basedOn w:val="12"/>
    <w:link w:val="2"/>
    <w:autoRedefine/>
    <w:qFormat/>
    <w:uiPriority w:val="9"/>
    <w:rPr>
      <w:rFonts w:ascii="Times New Roman" w:hAnsi="Times New Roman"/>
      <w:b/>
      <w:bCs/>
      <w:kern w:val="44"/>
      <w:sz w:val="28"/>
      <w:szCs w:val="44"/>
    </w:rPr>
  </w:style>
  <w:style w:type="paragraph" w:customStyle="1" w:styleId="38">
    <w:name w:val="黑框2"/>
    <w:basedOn w:val="1"/>
    <w:link w:val="39"/>
    <w:autoRedefine/>
    <w:qFormat/>
    <w:uiPriority w:val="0"/>
    <w:pPr>
      <w:autoSpaceDE w:val="0"/>
      <w:autoSpaceDN w:val="0"/>
      <w:adjustRightInd w:val="0"/>
      <w:snapToGrid w:val="0"/>
      <w:spacing w:after="0" w:line="300" w:lineRule="auto"/>
      <w:jc w:val="left"/>
    </w:pPr>
    <w:rPr>
      <w:rFonts w:eastAsia="楷体_GB2312" w:cs="华文楷体" w:asciiTheme="minorEastAsia" w:hAnsiTheme="minorEastAsia"/>
      <w:color w:val="000000" w:themeColor="text1"/>
      <w:kern w:val="0"/>
      <w:sz w:val="24"/>
      <w:szCs w:val="28"/>
      <w14:textFill>
        <w14:solidFill>
          <w14:schemeClr w14:val="tx1"/>
        </w14:solidFill>
      </w14:textFill>
    </w:rPr>
  </w:style>
  <w:style w:type="character" w:customStyle="1" w:styleId="39">
    <w:name w:val="黑框2 字符"/>
    <w:basedOn w:val="12"/>
    <w:link w:val="38"/>
    <w:qFormat/>
    <w:uiPriority w:val="0"/>
    <w:rPr>
      <w:rFonts w:eastAsia="楷体_GB2312" w:cs="华文楷体" w:asciiTheme="minorEastAsia" w:hAnsiTheme="minorEastAsia"/>
      <w:color w:val="000000" w:themeColor="text1"/>
      <w:sz w:val="24"/>
      <w:szCs w:val="28"/>
      <w14:textFill>
        <w14:solidFill>
          <w14:schemeClr w14:val="tx1"/>
        </w14:solidFill>
      </w14:textFill>
    </w:rPr>
  </w:style>
  <w:style w:type="paragraph" w:customStyle="1" w:styleId="40">
    <w:name w:val="方框"/>
    <w:basedOn w:val="19"/>
    <w:link w:val="41"/>
    <w:qFormat/>
    <w:uiPriority w:val="0"/>
    <w:pPr>
      <w:snapToGrid w:val="0"/>
      <w:spacing w:after="0" w:line="300" w:lineRule="auto"/>
      <w:ind w:left="420" w:hanging="420"/>
    </w:pPr>
    <w:rPr>
      <w:rFonts w:eastAsia="楷体_GB2312" w:cs="华文楷体" w:asciiTheme="minorEastAsia" w:hAnsiTheme="minorEastAsia"/>
      <w:color w:val="000000" w:themeColor="text1"/>
      <w:szCs w:val="28"/>
      <w14:textFill>
        <w14:solidFill>
          <w14:schemeClr w14:val="tx1"/>
        </w14:solidFill>
      </w14:textFill>
    </w:rPr>
  </w:style>
  <w:style w:type="character" w:customStyle="1" w:styleId="41">
    <w:name w:val="方框 字符"/>
    <w:basedOn w:val="34"/>
    <w:link w:val="40"/>
    <w:autoRedefine/>
    <w:qFormat/>
    <w:uiPriority w:val="0"/>
    <w:rPr>
      <w:rFonts w:eastAsia="楷体_GB2312" w:cs="华文楷体" w:asciiTheme="minorEastAsia" w:hAnsiTheme="minorEastAsia"/>
      <w:color w:val="000000" w:themeColor="text1"/>
      <w:sz w:val="24"/>
      <w:szCs w:val="28"/>
      <w14:textFill>
        <w14:solidFill>
          <w14:schemeClr w14:val="tx1"/>
        </w14:solidFill>
      </w14:textFill>
    </w:rPr>
  </w:style>
  <w:style w:type="character" w:customStyle="1" w:styleId="42">
    <w:name w:val="脚注文本 字符"/>
    <w:basedOn w:val="12"/>
    <w:link w:val="9"/>
    <w:autoRedefine/>
    <w:semiHidden/>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3</Pages>
  <Words>304</Words>
  <Characters>1739</Characters>
  <Lines>14</Lines>
  <Paragraphs>4</Paragraphs>
  <TotalTime>60</TotalTime>
  <ScaleCrop>false</ScaleCrop>
  <LinksUpToDate>false</LinksUpToDate>
  <CharactersWithSpaces>2039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2020-02-26T14:33:00Z</dcterms:created>
  <dc:creator>123</dc:creator>
  <cp:lastModifiedBy>陈国永</cp:lastModifiedBy>
  <cp:lastPrinted>2023-12-28T10:35:00Z</cp:lastPrinted>
  <dcterms:modified xsi:type="dcterms:W3CDTF">2024-01-23T10:40:06Z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7DE79FE79C2A4FD281F8C7FEED47B869_13</vt:lpwstr>
  </property>
</Properties>
</file>