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1EE8A">
      <w:pPr>
        <w:spacing w:line="600" w:lineRule="exact"/>
        <w:contextualSpacing/>
        <w:rPr>
          <w:rFonts w:eastAsia="黑体"/>
          <w:sz w:val="32"/>
          <w:szCs w:val="32"/>
        </w:rPr>
      </w:pPr>
      <w:r>
        <w:rPr>
          <w:rFonts w:eastAsia="黑体"/>
          <w:sz w:val="32"/>
          <w:szCs w:val="32"/>
        </w:rPr>
        <w:t>附件：</w:t>
      </w:r>
    </w:p>
    <w:p w14:paraId="2CA45A7D">
      <w:pPr>
        <w:spacing w:line="600" w:lineRule="exact"/>
        <w:contextualSpacing/>
        <w:rPr>
          <w:rFonts w:eastAsia="黑体"/>
          <w:sz w:val="32"/>
          <w:szCs w:val="32"/>
        </w:rPr>
      </w:pPr>
    </w:p>
    <w:p w14:paraId="224D5A48">
      <w:pPr>
        <w:pStyle w:val="4"/>
        <w:spacing w:before="0" w:beforeAutospacing="0" w:after="0" w:afterAutospacing="0"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河北省第二类医疗器械优先审批程序</w:t>
      </w:r>
    </w:p>
    <w:p w14:paraId="35E3B3A3">
      <w:pPr>
        <w:pStyle w:val="4"/>
        <w:spacing w:before="0" w:beforeAutospacing="0" w:after="0" w:afterAutospacing="0" w:line="600" w:lineRule="exact"/>
        <w:jc w:val="center"/>
        <w:rPr>
          <w:rFonts w:ascii="Times New Roman" w:hAnsi="Times New Roman" w:eastAsia="楷体" w:cs="Times New Roman"/>
          <w:sz w:val="32"/>
          <w:szCs w:val="32"/>
        </w:rPr>
      </w:pPr>
      <w:r>
        <w:rPr>
          <w:rFonts w:ascii="Times New Roman" w:hAnsi="Times New Roman" w:eastAsia="楷体" w:cs="Times New Roman"/>
          <w:sz w:val="32"/>
          <w:szCs w:val="32"/>
        </w:rPr>
        <w:t>（公开征求意见稿）</w:t>
      </w:r>
    </w:p>
    <w:p w14:paraId="6CFD5996">
      <w:pPr>
        <w:pStyle w:val="4"/>
        <w:spacing w:before="0" w:beforeAutospacing="0" w:after="0" w:afterAutospacing="0" w:line="600" w:lineRule="exact"/>
        <w:jc w:val="center"/>
        <w:rPr>
          <w:rFonts w:ascii="Times New Roman" w:hAnsi="Times New Roman" w:eastAsia="楷体" w:cs="Times New Roman"/>
          <w:sz w:val="32"/>
          <w:szCs w:val="32"/>
        </w:rPr>
      </w:pPr>
    </w:p>
    <w:p w14:paraId="40084D96">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第一条</w:t>
      </w:r>
      <w:r>
        <w:rPr>
          <w:rFonts w:ascii="Times New Roman" w:hAnsi="Times New Roman" w:eastAsia="仿宋" w:cs="Times New Roman"/>
          <w:color w:val="000000"/>
          <w:sz w:val="32"/>
          <w:szCs w:val="32"/>
        </w:rPr>
        <w:t xml:space="preserve"> 为保障医疗器械临床使用需求，满足公众用械需要，推动</w:t>
      </w:r>
      <w:r>
        <w:rPr>
          <w:rFonts w:ascii="Times New Roman" w:hAnsi="Times New Roman" w:eastAsia="仿宋" w:cs="Times New Roman"/>
          <w:sz w:val="32"/>
          <w:szCs w:val="32"/>
        </w:rPr>
        <w:t>我省医疗器械产业健康发展，根据《医疗器械监督管理条例》、《医疗器械注册与备案管理办法》、《体外诊断试剂注册与备案管理办法》、《国务院关于改革药品医疗器械审评审批制度的意见》和《总局关于发布</w:t>
      </w:r>
      <w:r>
        <w:rPr>
          <w:rFonts w:ascii="Times New Roman" w:hAnsi="Times New Roman" w:eastAsia="仿宋" w:cs="Times New Roman"/>
          <w:color w:val="000000"/>
          <w:sz w:val="32"/>
          <w:szCs w:val="32"/>
        </w:rPr>
        <w:t>医疗器械优先审批程序的公告》等有关规定，制定本程序。</w:t>
      </w:r>
    </w:p>
    <w:p w14:paraId="31416DF3">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第二条</w:t>
      </w:r>
      <w:r>
        <w:rPr>
          <w:rFonts w:ascii="Times New Roman" w:hAnsi="Times New Roman" w:eastAsia="仿宋" w:cs="Times New Roman"/>
          <w:color w:val="000000"/>
          <w:sz w:val="32"/>
          <w:szCs w:val="32"/>
        </w:rPr>
        <w:t xml:space="preserve"> 河北省药品监督管理局（以下简称省局）对符合下列条件之一的本省辖区内第二类医疗器械首次注册申请实施优先审批：</w:t>
      </w:r>
    </w:p>
    <w:p w14:paraId="2A272AB7">
      <w:pPr>
        <w:pStyle w:val="4"/>
        <w:spacing w:before="0" w:beforeAutospacing="0" w:after="0" w:afterAutospacing="0" w:line="540" w:lineRule="exact"/>
        <w:ind w:firstLine="480" w:firstLineChars="15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（一）诊断或治疗罕见病，且具有明显临床优势的医疗器械；</w:t>
      </w:r>
    </w:p>
    <w:p w14:paraId="71C572DB">
      <w:pPr>
        <w:pStyle w:val="4"/>
        <w:spacing w:before="0" w:beforeAutospacing="0" w:after="0" w:afterAutospacing="0" w:line="540" w:lineRule="exact"/>
        <w:ind w:firstLine="480" w:firstLineChars="15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（二）诊断或治疗老年人特有和多发疾病，且目前尚无有效诊断或治疗手段的医疗器械；</w:t>
      </w:r>
    </w:p>
    <w:p w14:paraId="447B3DB1">
      <w:pPr>
        <w:pStyle w:val="4"/>
        <w:spacing w:before="0" w:beforeAutospacing="0" w:after="0" w:afterAutospacing="0" w:line="540" w:lineRule="exact"/>
        <w:ind w:firstLine="480" w:firstLineChars="15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（三）专用于儿童，且具有明显临床优势；</w:t>
      </w:r>
    </w:p>
    <w:p w14:paraId="3AD10508">
      <w:pPr>
        <w:pStyle w:val="4"/>
        <w:spacing w:before="0" w:beforeAutospacing="0" w:after="0" w:afterAutospacing="0" w:line="540" w:lineRule="exact"/>
        <w:ind w:firstLine="480" w:firstLineChars="15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（四）列入国家、京津冀科技重大专项或国家、京津冀重点研发计划的医疗器械；</w:t>
      </w:r>
    </w:p>
    <w:p w14:paraId="35D9E3DC">
      <w:pPr>
        <w:pStyle w:val="4"/>
        <w:spacing w:before="0" w:beforeAutospacing="0" w:after="0" w:afterAutospacing="0" w:line="540" w:lineRule="exact"/>
        <w:ind w:firstLine="480" w:firstLineChars="15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（五）临床急需且在我国尚无同品种产品获准注册的医疗器械。</w:t>
      </w:r>
    </w:p>
    <w:p w14:paraId="6243B2C3">
      <w:pPr>
        <w:pStyle w:val="4"/>
        <w:spacing w:before="0" w:beforeAutospacing="0" w:after="0" w:afterAutospacing="0" w:line="540" w:lineRule="exact"/>
        <w:ind w:firstLine="480" w:firstLineChars="15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（六）其他应当优先审批的医疗器械。</w:t>
      </w:r>
    </w:p>
    <w:p w14:paraId="559BD62B">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第三条</w:t>
      </w:r>
      <w:r>
        <w:rPr>
          <w:rFonts w:ascii="Times New Roman" w:hAnsi="Times New Roman" w:eastAsia="仿宋" w:cs="Times New Roman"/>
          <w:color w:val="000000"/>
          <w:sz w:val="32"/>
          <w:szCs w:val="32"/>
        </w:rPr>
        <w:t xml:space="preserve"> 对于符合本程序第二条情形，需要按照本程序优先审批的，申请人应当向省局提出优先审批申请，提交优先审批申请表（见附件1）及以下资料： </w:t>
      </w:r>
    </w:p>
    <w:p w14:paraId="476E0A63">
      <w:pPr>
        <w:pStyle w:val="4"/>
        <w:spacing w:before="0" w:beforeAutospacing="0" w:after="0" w:afterAutospacing="0" w:line="540" w:lineRule="exact"/>
        <w:ind w:firstLine="480" w:firstLineChars="15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（一）统一社会信用代码信息；</w:t>
      </w:r>
    </w:p>
    <w:p w14:paraId="04C1EFDD">
      <w:pPr>
        <w:pStyle w:val="4"/>
        <w:spacing w:before="0" w:beforeAutospacing="0" w:after="0" w:afterAutospacing="0" w:line="540" w:lineRule="exact"/>
        <w:ind w:firstLine="480" w:firstLineChars="15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（二）产品研发过程及结果综述报告，主要包括：产品研发的立题依据；已经开展的实验室研究（如动物实验研究、临床研究及结果，检测报告等情况）；设计输入、设计验证及设计输出等产品研发情况。</w:t>
      </w:r>
    </w:p>
    <w:p w14:paraId="1F3CCFC3">
      <w:pPr>
        <w:pStyle w:val="4"/>
        <w:spacing w:before="0" w:beforeAutospacing="0" w:after="0" w:afterAutospacing="0" w:line="540" w:lineRule="exact"/>
        <w:ind w:firstLine="480" w:firstLineChars="15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（三）所提交资料真实性的自我保证声明。</w:t>
      </w:r>
    </w:p>
    <w:p w14:paraId="57ECD71B">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对于本程序第二条第（六）项情形，由省局广泛听取意见，并组织专家论证后确定。</w:t>
      </w:r>
    </w:p>
    <w:p w14:paraId="777DAAEB">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第四条</w:t>
      </w:r>
      <w:r>
        <w:rPr>
          <w:rFonts w:ascii="Times New Roman" w:hAnsi="Times New Roman" w:eastAsia="仿宋" w:cs="Times New Roman"/>
          <w:color w:val="000000"/>
          <w:sz w:val="32"/>
          <w:szCs w:val="32"/>
        </w:rPr>
        <w:t xml:space="preserve"> 对于符合本程序第二条第（一）项情形的，申请人应当提交以下相关证明材料：</w:t>
      </w:r>
    </w:p>
    <w:p w14:paraId="4B8ADB71">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1.该产品适应证的发病率数据及相关支持性资料；</w:t>
      </w:r>
    </w:p>
    <w:p w14:paraId="40F268B9">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2.证明该适应证属于罕见病的支持性资料；</w:t>
      </w:r>
    </w:p>
    <w:p w14:paraId="6D4D04AF">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3.该适应证的临床治疗现状综述；</w:t>
      </w:r>
    </w:p>
    <w:p w14:paraId="37895E32">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4.该产品较现有产品或治疗手段具有明显临床优势说明及相关支持性资料。</w:t>
      </w:r>
    </w:p>
    <w:p w14:paraId="6A5CB17E">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第五条</w:t>
      </w:r>
      <w:r>
        <w:rPr>
          <w:rFonts w:ascii="Times New Roman" w:hAnsi="Times New Roman" w:eastAsia="仿宋" w:cs="Times New Roman"/>
          <w:color w:val="000000"/>
          <w:sz w:val="32"/>
          <w:szCs w:val="32"/>
        </w:rPr>
        <w:t xml:space="preserve"> 对于符合本程序第二条第（二）项情形的，申请人应当提交以下相关证明材料：</w:t>
      </w:r>
    </w:p>
    <w:p w14:paraId="2A065D74">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1.该产品适应证属于老年人特有和多发疾病的支持性资料;</w:t>
      </w:r>
    </w:p>
    <w:p w14:paraId="77F7F921">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2.该适应证的临床治疗现状综述；</w:t>
      </w:r>
    </w:p>
    <w:p w14:paraId="4FBA81A3">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3.目前尚无有效诊断或治疗手段的说明及相关支持性资料。</w:t>
      </w:r>
    </w:p>
    <w:p w14:paraId="38157700">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第六条</w:t>
      </w:r>
      <w:r>
        <w:rPr>
          <w:rFonts w:ascii="Times New Roman" w:hAnsi="Times New Roman" w:eastAsia="仿宋" w:cs="Times New Roman"/>
          <w:color w:val="000000"/>
          <w:sz w:val="32"/>
          <w:szCs w:val="32"/>
        </w:rPr>
        <w:t xml:space="preserve"> 对于符合本程序第二条第（三）项情形的，申请人应当提交以下相关证明材料：</w:t>
      </w:r>
    </w:p>
    <w:p w14:paraId="67477E1B">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1.该产品适应证属于儿童疾病的支持性资料；</w:t>
      </w:r>
    </w:p>
    <w:p w14:paraId="0840B530">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2.该适应证的临床治疗现状综述；</w:t>
      </w:r>
    </w:p>
    <w:p w14:paraId="0E485F3D">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3.证明该产品专用于诊断或治疗儿童疾病，较现有产品或治疗手段具有明显临床优势说明及相关支持性资料。</w:t>
      </w:r>
    </w:p>
    <w:p w14:paraId="285295E5">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第七条</w:t>
      </w:r>
      <w:r>
        <w:rPr>
          <w:rFonts w:ascii="Times New Roman" w:hAnsi="Times New Roman" w:eastAsia="仿宋" w:cs="Times New Roman"/>
          <w:color w:val="000000"/>
          <w:sz w:val="32"/>
          <w:szCs w:val="32"/>
        </w:rPr>
        <w:t xml:space="preserve"> 对于符合本程序第二条第（四）项情形的，申请人应当提交该产品属于列入国家、河北省科技重大专项或国家、河北省重点研发计划的医疗器械的说明及相关支持性材料，如项目任务书等。</w:t>
      </w:r>
    </w:p>
    <w:p w14:paraId="7EEFC9DA">
      <w:pPr>
        <w:pStyle w:val="4"/>
        <w:shd w:val="clear" w:color="auto" w:fill="FFFFFF"/>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第八条</w:t>
      </w:r>
      <w:r>
        <w:rPr>
          <w:rFonts w:ascii="Times New Roman" w:hAnsi="Times New Roman" w:eastAsia="仿宋" w:cs="Times New Roman"/>
          <w:color w:val="000000"/>
          <w:sz w:val="32"/>
          <w:szCs w:val="32"/>
        </w:rPr>
        <w:t xml:space="preserve"> 对于符合本程序第二条第（五）项情形的，申请人应当提交以下相关证明材料：</w:t>
      </w:r>
    </w:p>
    <w:p w14:paraId="5A4FBCA6">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1.该产品适应证的临床治疗现状综述，说明临床急需的理由；</w:t>
      </w:r>
    </w:p>
    <w:p w14:paraId="1D27A3FF">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2.该产品和同类产品在境外批准和临床使用情况；</w:t>
      </w:r>
    </w:p>
    <w:p w14:paraId="4930AB18">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3.提供检索情况说明，证明目前我国无相关同品种产品获准注册，且目前尚无同等替代诊断或治疗方法。</w:t>
      </w:r>
    </w:p>
    <w:p w14:paraId="271A9B38">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第九条</w:t>
      </w:r>
      <w:r>
        <w:rPr>
          <w:rFonts w:ascii="Times New Roman" w:hAnsi="Times New Roman" w:eastAsia="仿宋" w:cs="Times New Roman"/>
          <w:color w:val="000000"/>
          <w:sz w:val="32"/>
          <w:szCs w:val="32"/>
        </w:rPr>
        <w:t xml:space="preserve"> </w:t>
      </w:r>
      <w:r>
        <w:rPr>
          <w:rFonts w:ascii="Times New Roman" w:hAnsi="Times New Roman" w:eastAsia="仿宋" w:cs="Times New Roman"/>
          <w:sz w:val="32"/>
          <w:szCs w:val="32"/>
        </w:rPr>
        <w:t>省局3个工作日内完成对创新特别审查申请资料的形式审查。对资料齐全、形式符合要求的予以受理</w:t>
      </w:r>
      <w:r>
        <w:rPr>
          <w:rFonts w:ascii="Times New Roman" w:hAnsi="Times New Roman" w:eastAsia="仿宋" w:cs="Times New Roman"/>
          <w:color w:val="000000"/>
          <w:sz w:val="32"/>
          <w:szCs w:val="32"/>
        </w:rPr>
        <w:t>，注明优先审批申请，转交省局进行审核。</w:t>
      </w:r>
    </w:p>
    <w:p w14:paraId="1BEC0D15">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第十条</w:t>
      </w:r>
      <w:r>
        <w:rPr>
          <w:rFonts w:ascii="Times New Roman" w:hAnsi="Times New Roman" w:eastAsia="仿宋" w:cs="Times New Roman"/>
          <w:color w:val="000000"/>
          <w:sz w:val="32"/>
          <w:szCs w:val="32"/>
        </w:rPr>
        <w:t xml:space="preserve"> 省局对申请人提交的优先审批申请材料进行审查，对于本程序第二条第（一）、（二）、（三）、（五）、(六)项情形的医疗器械优先审批申请，省局医疗器械注册部门可以自收到申请之日起10个工作日内组织专家论证审核，并出具审核意见。经专家论证需要优先审批的，拟定予以优先审批。</w:t>
      </w:r>
    </w:p>
    <w:p w14:paraId="5F8555E8">
      <w:pPr>
        <w:pStyle w:val="4"/>
        <w:spacing w:before="0" w:beforeAutospacing="0" w:after="0" w:afterAutospacing="0" w:line="540" w:lineRule="exact"/>
        <w:ind w:firstLine="800" w:firstLineChars="25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对于本程序第二条第（四）项情形的医疗器械优先审批申请，省局医疗器械注册部门自收到申请之日起5个工作日内进行审核，符合优先审批情形的，即纳入优先审批程序，省局应当书面告知申请人（格式见附件2）。</w:t>
      </w:r>
    </w:p>
    <w:p w14:paraId="31D80772">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 xml:space="preserve">第十一条 </w:t>
      </w:r>
      <w:r>
        <w:rPr>
          <w:rFonts w:ascii="Times New Roman" w:hAnsi="Times New Roman" w:eastAsia="仿宋" w:cs="Times New Roman"/>
          <w:color w:val="000000"/>
          <w:sz w:val="32"/>
          <w:szCs w:val="32"/>
        </w:rPr>
        <w:t>省局经审核不予优先审批的，将不予优先审批的意见和原因告知申请人，并按常规审批程序办理。</w:t>
      </w:r>
    </w:p>
    <w:p w14:paraId="63C8F06B">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第十二条</w:t>
      </w:r>
      <w:r>
        <w:rPr>
          <w:rFonts w:ascii="Times New Roman" w:hAnsi="Times New Roman" w:eastAsia="仿宋" w:cs="Times New Roman"/>
          <w:color w:val="000000"/>
          <w:sz w:val="32"/>
          <w:szCs w:val="32"/>
        </w:rPr>
        <w:t xml:space="preserve"> 对于优先审批的项目，企业在提交注册申请时应当一并提交省局出具的河北省第二类医疗器械优先审批审核通知单，省局按照接收时间单独排序，优先办理。</w:t>
      </w:r>
    </w:p>
    <w:p w14:paraId="4E92BF0E">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第十三条</w:t>
      </w:r>
      <w:r>
        <w:rPr>
          <w:rFonts w:ascii="Times New Roman" w:hAnsi="Times New Roman" w:eastAsia="仿宋" w:cs="Times New Roman"/>
          <w:bCs/>
          <w:color w:val="000000"/>
          <w:sz w:val="32"/>
          <w:szCs w:val="32"/>
        </w:rPr>
        <w:t xml:space="preserve"> </w:t>
      </w:r>
      <w:r>
        <w:rPr>
          <w:rFonts w:ascii="Times New Roman" w:hAnsi="Times New Roman" w:eastAsia="仿宋" w:cs="Times New Roman"/>
          <w:color w:val="000000"/>
          <w:sz w:val="32"/>
          <w:szCs w:val="32"/>
        </w:rPr>
        <w:t>对纳入优先审批程序的，</w:t>
      </w:r>
      <w:r>
        <w:rPr>
          <w:rFonts w:ascii="Times New Roman" w:hAnsi="Times New Roman" w:eastAsia="仿宋" w:cs="Times New Roman"/>
          <w:sz w:val="32"/>
          <w:szCs w:val="32"/>
        </w:rPr>
        <w:t>省药品医疗器械检验研究院对相关产品优先</w:t>
      </w:r>
      <w:r>
        <w:rPr>
          <w:rFonts w:ascii="Times New Roman" w:hAnsi="Times New Roman" w:eastAsia="仿宋" w:cs="Times New Roman"/>
          <w:color w:val="000000"/>
          <w:sz w:val="32"/>
          <w:szCs w:val="32"/>
        </w:rPr>
        <w:t>安排注册检验、开展产品技术要求预评价、加强技术服务和指导。</w:t>
      </w:r>
    </w:p>
    <w:p w14:paraId="315CC514">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第十四条</w:t>
      </w:r>
      <w:r>
        <w:rPr>
          <w:rFonts w:ascii="Times New Roman" w:hAnsi="Times New Roman" w:eastAsia="仿宋" w:cs="Times New Roman"/>
          <w:bCs/>
          <w:color w:val="000000"/>
          <w:sz w:val="32"/>
          <w:szCs w:val="32"/>
        </w:rPr>
        <w:t xml:space="preserve"> </w:t>
      </w:r>
      <w:r>
        <w:rPr>
          <w:rFonts w:ascii="Times New Roman" w:hAnsi="Times New Roman" w:eastAsia="仿宋" w:cs="Times New Roman"/>
          <w:color w:val="000000"/>
          <w:sz w:val="32"/>
          <w:szCs w:val="32"/>
        </w:rPr>
        <w:t>对纳入优先审批程序的，省局加强临床试验指导，必要时组织专家给予技术指导。</w:t>
      </w:r>
    </w:p>
    <w:p w14:paraId="1836871F">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第十五条</w:t>
      </w:r>
      <w:r>
        <w:rPr>
          <w:rFonts w:ascii="Times New Roman" w:hAnsi="Times New Roman" w:eastAsia="仿宋" w:cs="Times New Roman"/>
          <w:color w:val="000000"/>
          <w:sz w:val="32"/>
          <w:szCs w:val="32"/>
        </w:rPr>
        <w:t xml:space="preserve"> 对纳入优先审批程序，且注册申请资料符合要求的，省局应当日受理。</w:t>
      </w:r>
    </w:p>
    <w:p w14:paraId="22822A58">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 xml:space="preserve">第十六条 </w:t>
      </w:r>
      <w:r>
        <w:rPr>
          <w:rFonts w:ascii="Times New Roman" w:hAnsi="Times New Roman" w:eastAsia="仿宋" w:cs="Times New Roman"/>
          <w:color w:val="000000"/>
          <w:sz w:val="32"/>
          <w:szCs w:val="32"/>
        </w:rPr>
        <w:t>对纳入优先审批程序的，河北省医疗器械技术审评中心予以优先审评，在技术审评过程中，应当按照相关规定积极与申请人进行沟通交流，必要时，可以安排专项交流。技术审评中心在35个工作日内完成技术审评</w:t>
      </w:r>
      <w:r>
        <w:rPr>
          <w:rFonts w:ascii="Times New Roman" w:hAnsi="Times New Roman" w:eastAsia="仿宋" w:cs="Times New Roman"/>
          <w:sz w:val="32"/>
          <w:szCs w:val="32"/>
        </w:rPr>
        <w:t>（企业补正资料时间不计算在内）</w:t>
      </w:r>
      <w:r>
        <w:rPr>
          <w:rFonts w:ascii="Times New Roman" w:hAnsi="Times New Roman" w:eastAsia="仿宋" w:cs="Times New Roman"/>
          <w:color w:val="000000"/>
          <w:sz w:val="32"/>
          <w:szCs w:val="32"/>
        </w:rPr>
        <w:t>。</w:t>
      </w:r>
    </w:p>
    <w:p w14:paraId="05BF4B8D">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第十七条</w:t>
      </w:r>
      <w:r>
        <w:rPr>
          <w:rFonts w:ascii="Times New Roman" w:hAnsi="Times New Roman" w:eastAsia="仿宋" w:cs="Times New Roman"/>
          <w:color w:val="000000"/>
          <w:sz w:val="32"/>
          <w:szCs w:val="32"/>
        </w:rPr>
        <w:t xml:space="preserve"> 对纳入优先审批程序的，省局优先安排临床试验检查</w:t>
      </w:r>
      <w:r>
        <w:rPr>
          <w:rFonts w:ascii="Times New Roman" w:hAnsi="Times New Roman" w:eastAsia="仿宋" w:cs="Times New Roman"/>
          <w:sz w:val="32"/>
          <w:szCs w:val="32"/>
        </w:rPr>
        <w:t>；河北省药品职业化检查员总队（南、北片区）优先安排质量体系核查，并在25个工作日内完成质量管理体系核查工作。</w:t>
      </w:r>
    </w:p>
    <w:p w14:paraId="5811E4D0">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第十八条</w:t>
      </w:r>
      <w:r>
        <w:rPr>
          <w:rFonts w:ascii="Times New Roman" w:hAnsi="Times New Roman" w:eastAsia="仿宋" w:cs="Times New Roman"/>
          <w:color w:val="000000"/>
          <w:sz w:val="32"/>
          <w:szCs w:val="32"/>
        </w:rPr>
        <w:t xml:space="preserve"> 对纳入优先审批程序的，省局在</w:t>
      </w:r>
      <w:r>
        <w:rPr>
          <w:rFonts w:ascii="Times New Roman" w:hAnsi="Times New Roman" w:eastAsia="仿宋" w:cs="Times New Roman"/>
          <w:sz w:val="32"/>
          <w:szCs w:val="32"/>
        </w:rPr>
        <w:t>8个</w:t>
      </w:r>
      <w:r>
        <w:rPr>
          <w:rFonts w:ascii="Times New Roman" w:hAnsi="Times New Roman" w:eastAsia="仿宋" w:cs="Times New Roman"/>
          <w:color w:val="000000"/>
          <w:sz w:val="32"/>
          <w:szCs w:val="32"/>
        </w:rPr>
        <w:t>工作日内作出审批决定。</w:t>
      </w:r>
    </w:p>
    <w:p w14:paraId="432E183B">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 xml:space="preserve">第十九条 </w:t>
      </w:r>
      <w:r>
        <w:rPr>
          <w:rFonts w:ascii="Times New Roman" w:hAnsi="Times New Roman" w:eastAsia="仿宋" w:cs="Times New Roman"/>
          <w:color w:val="000000"/>
          <w:sz w:val="32"/>
          <w:szCs w:val="32"/>
        </w:rPr>
        <w:t>已经按照医疗器械应急审批程序、创新医疗器械特别审查程序进行审批的注册申请项目，不执行本程序。</w:t>
      </w:r>
    </w:p>
    <w:p w14:paraId="2EB8F97B">
      <w:pPr>
        <w:pStyle w:val="4"/>
        <w:spacing w:before="0" w:beforeAutospacing="0" w:after="0" w:afterAutospacing="0" w:line="54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第二十条</w:t>
      </w:r>
      <w:r>
        <w:rPr>
          <w:rFonts w:ascii="Times New Roman" w:hAnsi="Times New Roman" w:eastAsia="仿宋" w:cs="Times New Roman"/>
          <w:color w:val="000000"/>
          <w:sz w:val="32"/>
          <w:szCs w:val="32"/>
        </w:rPr>
        <w:t xml:space="preserve"> 本程序自发布之日起实施，原</w:t>
      </w:r>
      <w:r>
        <w:rPr>
          <w:rFonts w:ascii="Times New Roman" w:hAnsi="Times New Roman" w:eastAsia="仿宋" w:cs="Times New Roman"/>
          <w:sz w:val="32"/>
          <w:szCs w:val="32"/>
        </w:rPr>
        <w:t>《河北省第二类医疗器械优先审批程序》（冀药监规〔2020〕1号）同时废止</w:t>
      </w:r>
      <w:r>
        <w:rPr>
          <w:rFonts w:ascii="Times New Roman" w:hAnsi="Times New Roman" w:eastAsia="仿宋" w:cs="Times New Roman"/>
          <w:color w:val="000000"/>
          <w:sz w:val="32"/>
          <w:szCs w:val="32"/>
        </w:rPr>
        <w:t>。</w:t>
      </w:r>
    </w:p>
    <w:p w14:paraId="632CBD63">
      <w:pPr>
        <w:pStyle w:val="4"/>
        <w:spacing w:before="0" w:beforeAutospacing="0" w:after="0" w:afterAutospacing="0" w:line="540" w:lineRule="exact"/>
        <w:ind w:firstLine="645"/>
        <w:jc w:val="both"/>
        <w:rPr>
          <w:rFonts w:ascii="Times New Roman" w:hAnsi="Times New Roman" w:eastAsia="仿宋" w:cs="Times New Roman"/>
          <w:color w:val="000000"/>
          <w:sz w:val="32"/>
          <w:szCs w:val="32"/>
        </w:rPr>
      </w:pPr>
    </w:p>
    <w:p w14:paraId="275BAD56">
      <w:pPr>
        <w:pStyle w:val="4"/>
        <w:spacing w:before="0" w:beforeAutospacing="0" w:after="0" w:afterAutospacing="0" w:line="540" w:lineRule="exact"/>
        <w:ind w:firstLine="645"/>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附件：1.河北省第二类医疗器械优先审批申请表</w:t>
      </w:r>
    </w:p>
    <w:p w14:paraId="56D82DB2">
      <w:pPr>
        <w:pStyle w:val="4"/>
        <w:spacing w:before="0" w:beforeAutospacing="0" w:after="0" w:afterAutospacing="0" w:line="540" w:lineRule="exact"/>
        <w:ind w:firstLine="1600" w:firstLineChars="5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2.河北省第二类医疗器械优先审批审核通知单</w:t>
      </w:r>
    </w:p>
    <w:p w14:paraId="3AB6724D">
      <w:pPr>
        <w:widowControl/>
        <w:spacing w:line="540" w:lineRule="exact"/>
        <w:jc w:val="left"/>
        <w:rPr>
          <w:color w:val="000000"/>
          <w:sz w:val="32"/>
          <w:szCs w:val="32"/>
        </w:rPr>
      </w:pPr>
    </w:p>
    <w:p w14:paraId="2AEC717F">
      <w:pPr>
        <w:widowControl/>
        <w:spacing w:line="540" w:lineRule="exact"/>
        <w:jc w:val="center"/>
        <w:rPr>
          <w:rFonts w:eastAsia="方正小标宋简体"/>
          <w:color w:val="000000"/>
          <w:kern w:val="0"/>
          <w:sz w:val="44"/>
          <w:szCs w:val="44"/>
        </w:rPr>
      </w:pPr>
    </w:p>
    <w:p w14:paraId="6BB1341E">
      <w:pPr>
        <w:widowControl/>
        <w:spacing w:line="540" w:lineRule="exact"/>
        <w:jc w:val="center"/>
        <w:rPr>
          <w:rFonts w:eastAsia="方正小标宋简体"/>
          <w:color w:val="000000"/>
          <w:kern w:val="0"/>
          <w:sz w:val="44"/>
          <w:szCs w:val="44"/>
        </w:rPr>
      </w:pPr>
    </w:p>
    <w:p w14:paraId="5C271C20">
      <w:pPr>
        <w:widowControl/>
        <w:spacing w:line="640" w:lineRule="atLeast"/>
        <w:jc w:val="center"/>
        <w:rPr>
          <w:rFonts w:eastAsia="方正小标宋简体"/>
          <w:color w:val="000000"/>
          <w:kern w:val="0"/>
          <w:sz w:val="44"/>
          <w:szCs w:val="44"/>
        </w:rPr>
      </w:pPr>
    </w:p>
    <w:p w14:paraId="4C0AAAEE">
      <w:pPr>
        <w:widowControl/>
        <w:spacing w:line="640" w:lineRule="atLeast"/>
        <w:rPr>
          <w:rFonts w:eastAsia="方正小标宋简体"/>
          <w:color w:val="000000"/>
          <w:kern w:val="0"/>
          <w:sz w:val="44"/>
          <w:szCs w:val="44"/>
        </w:rPr>
      </w:pPr>
    </w:p>
    <w:p w14:paraId="1ACD7A36">
      <w:pPr>
        <w:widowControl/>
        <w:spacing w:line="640" w:lineRule="atLeast"/>
        <w:rPr>
          <w:rFonts w:eastAsia="方正小标宋简体"/>
          <w:color w:val="000000"/>
          <w:kern w:val="0"/>
          <w:sz w:val="44"/>
          <w:szCs w:val="44"/>
        </w:rPr>
      </w:pPr>
    </w:p>
    <w:p w14:paraId="665E2A53">
      <w:pPr>
        <w:widowControl/>
        <w:spacing w:line="640" w:lineRule="atLeast"/>
        <w:rPr>
          <w:rFonts w:eastAsia="方正小标宋简体"/>
          <w:color w:val="000000"/>
          <w:kern w:val="0"/>
          <w:sz w:val="44"/>
          <w:szCs w:val="44"/>
        </w:rPr>
      </w:pPr>
    </w:p>
    <w:p w14:paraId="2341256E">
      <w:pPr>
        <w:widowControl/>
        <w:spacing w:line="640" w:lineRule="atLeast"/>
        <w:rPr>
          <w:rFonts w:eastAsia="方正小标宋简体"/>
          <w:color w:val="000000"/>
          <w:kern w:val="0"/>
          <w:sz w:val="44"/>
          <w:szCs w:val="44"/>
        </w:rPr>
      </w:pPr>
    </w:p>
    <w:p w14:paraId="1CD600C7">
      <w:pPr>
        <w:widowControl/>
        <w:spacing w:line="640" w:lineRule="atLeast"/>
        <w:rPr>
          <w:rFonts w:eastAsia="方正小标宋简体"/>
          <w:color w:val="000000"/>
          <w:kern w:val="0"/>
          <w:sz w:val="44"/>
          <w:szCs w:val="44"/>
        </w:rPr>
      </w:pPr>
    </w:p>
    <w:p w14:paraId="6C816C92">
      <w:pPr>
        <w:widowControl/>
        <w:spacing w:line="640" w:lineRule="atLeast"/>
        <w:rPr>
          <w:rFonts w:eastAsia="方正小标宋简体"/>
          <w:color w:val="000000"/>
          <w:kern w:val="0"/>
          <w:sz w:val="44"/>
          <w:szCs w:val="44"/>
        </w:rPr>
      </w:pPr>
    </w:p>
    <w:p w14:paraId="0C6FD515">
      <w:pPr>
        <w:widowControl/>
        <w:spacing w:line="640" w:lineRule="atLeast"/>
        <w:rPr>
          <w:rFonts w:eastAsia="方正小标宋简体"/>
          <w:color w:val="000000"/>
          <w:kern w:val="0"/>
          <w:sz w:val="44"/>
          <w:szCs w:val="44"/>
        </w:rPr>
      </w:pPr>
    </w:p>
    <w:p w14:paraId="587B9F7C">
      <w:pPr>
        <w:widowControl/>
        <w:spacing w:line="640" w:lineRule="atLeast"/>
        <w:jc w:val="left"/>
        <w:rPr>
          <w:rFonts w:eastAsia="黑体"/>
          <w:color w:val="000000"/>
          <w:kern w:val="0"/>
          <w:sz w:val="32"/>
          <w:szCs w:val="32"/>
        </w:rPr>
      </w:pPr>
      <w:r>
        <w:rPr>
          <w:rFonts w:eastAsia="方正小标宋简体"/>
          <w:color w:val="000000"/>
          <w:kern w:val="0"/>
          <w:sz w:val="44"/>
          <w:szCs w:val="44"/>
        </w:rPr>
        <w:br w:type="page"/>
      </w:r>
      <w:r>
        <w:rPr>
          <w:rFonts w:eastAsia="黑体"/>
          <w:color w:val="000000"/>
          <w:kern w:val="0"/>
          <w:sz w:val="32"/>
          <w:szCs w:val="32"/>
        </w:rPr>
        <w:t>附件1</w:t>
      </w:r>
    </w:p>
    <w:p w14:paraId="5B0752CA">
      <w:pPr>
        <w:widowControl/>
        <w:spacing w:line="640" w:lineRule="atLeast"/>
        <w:jc w:val="center"/>
        <w:rPr>
          <w:rFonts w:eastAsia="方正小标宋简体"/>
          <w:color w:val="000000"/>
          <w:kern w:val="0"/>
          <w:sz w:val="44"/>
          <w:szCs w:val="44"/>
        </w:rPr>
      </w:pPr>
    </w:p>
    <w:p w14:paraId="37E9387C">
      <w:pPr>
        <w:widowControl/>
        <w:spacing w:line="640" w:lineRule="atLeast"/>
        <w:jc w:val="center"/>
        <w:rPr>
          <w:color w:val="000000"/>
          <w:sz w:val="32"/>
          <w:szCs w:val="32"/>
        </w:rPr>
      </w:pPr>
      <w:r>
        <w:rPr>
          <w:rFonts w:eastAsia="方正小标宋简体"/>
          <w:color w:val="000000"/>
          <w:kern w:val="0"/>
          <w:sz w:val="44"/>
          <w:szCs w:val="44"/>
        </w:rPr>
        <w:t>河北省第二类医疗器械优先审批申请表</w:t>
      </w:r>
    </w:p>
    <w:tbl>
      <w:tblPr>
        <w:tblStyle w:val="5"/>
        <w:tblW w:w="9465" w:type="dxa"/>
        <w:jc w:val="center"/>
        <w:tblLayout w:type="fixed"/>
        <w:tblCellMar>
          <w:top w:w="15" w:type="dxa"/>
          <w:left w:w="15" w:type="dxa"/>
          <w:bottom w:w="15" w:type="dxa"/>
          <w:right w:w="15" w:type="dxa"/>
        </w:tblCellMar>
      </w:tblPr>
      <w:tblGrid>
        <w:gridCol w:w="2565"/>
        <w:gridCol w:w="2300"/>
        <w:gridCol w:w="2300"/>
        <w:gridCol w:w="2300"/>
      </w:tblGrid>
      <w:tr w14:paraId="3CF6E0FD">
        <w:tblPrEx>
          <w:tblCellMar>
            <w:top w:w="15" w:type="dxa"/>
            <w:left w:w="15" w:type="dxa"/>
            <w:bottom w:w="15" w:type="dxa"/>
            <w:right w:w="15" w:type="dxa"/>
          </w:tblCellMar>
        </w:tblPrEx>
        <w:trPr>
          <w:trHeight w:val="284" w:hRule="atLeast"/>
          <w:jc w:val="center"/>
        </w:trPr>
        <w:tc>
          <w:tcPr>
            <w:tcW w:w="25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F16F25">
            <w:pPr>
              <w:widowControl/>
              <w:spacing w:line="520" w:lineRule="atLeast"/>
              <w:jc w:val="center"/>
              <w:rPr>
                <w:color w:val="000000"/>
                <w:sz w:val="32"/>
                <w:szCs w:val="32"/>
              </w:rPr>
            </w:pPr>
            <w:r>
              <w:rPr>
                <w:rFonts w:eastAsia="仿宋"/>
                <w:color w:val="000000"/>
                <w:kern w:val="0"/>
                <w:sz w:val="28"/>
                <w:szCs w:val="28"/>
              </w:rPr>
              <w:t>产品名称</w:t>
            </w:r>
          </w:p>
        </w:tc>
        <w:tc>
          <w:tcPr>
            <w:tcW w:w="690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ADE0426">
            <w:pPr>
              <w:widowControl/>
              <w:spacing w:line="520" w:lineRule="atLeast"/>
              <w:jc w:val="center"/>
              <w:rPr>
                <w:color w:val="000000"/>
                <w:sz w:val="32"/>
                <w:szCs w:val="32"/>
              </w:rPr>
            </w:pPr>
          </w:p>
        </w:tc>
      </w:tr>
      <w:tr w14:paraId="65AB599F">
        <w:tblPrEx>
          <w:tblCellMar>
            <w:top w:w="15" w:type="dxa"/>
            <w:left w:w="15" w:type="dxa"/>
            <w:bottom w:w="15" w:type="dxa"/>
            <w:right w:w="15" w:type="dxa"/>
          </w:tblCellMar>
        </w:tblPrEx>
        <w:trPr>
          <w:trHeight w:val="284" w:hRule="atLeast"/>
          <w:jc w:val="center"/>
        </w:trPr>
        <w:tc>
          <w:tcPr>
            <w:tcW w:w="25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1AF6B5">
            <w:pPr>
              <w:widowControl/>
              <w:spacing w:line="520" w:lineRule="atLeast"/>
              <w:jc w:val="center"/>
              <w:rPr>
                <w:color w:val="000000"/>
                <w:sz w:val="32"/>
                <w:szCs w:val="32"/>
              </w:rPr>
            </w:pPr>
            <w:r>
              <w:rPr>
                <w:rFonts w:eastAsia="仿宋"/>
                <w:color w:val="000000"/>
                <w:kern w:val="0"/>
                <w:sz w:val="28"/>
                <w:szCs w:val="28"/>
              </w:rPr>
              <w:t>申请人</w:t>
            </w:r>
          </w:p>
        </w:tc>
        <w:tc>
          <w:tcPr>
            <w:tcW w:w="69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35392CD">
            <w:pPr>
              <w:widowControl/>
              <w:spacing w:line="520" w:lineRule="atLeast"/>
              <w:jc w:val="center"/>
              <w:rPr>
                <w:color w:val="000000"/>
                <w:sz w:val="32"/>
                <w:szCs w:val="32"/>
              </w:rPr>
            </w:pPr>
          </w:p>
        </w:tc>
      </w:tr>
      <w:tr w14:paraId="1268DFEE">
        <w:tblPrEx>
          <w:tblCellMar>
            <w:top w:w="15" w:type="dxa"/>
            <w:left w:w="15" w:type="dxa"/>
            <w:bottom w:w="15" w:type="dxa"/>
            <w:right w:w="15" w:type="dxa"/>
          </w:tblCellMar>
        </w:tblPrEx>
        <w:trPr>
          <w:trHeight w:val="284" w:hRule="atLeast"/>
          <w:jc w:val="center"/>
        </w:trPr>
        <w:tc>
          <w:tcPr>
            <w:tcW w:w="25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6263E95">
            <w:pPr>
              <w:widowControl/>
              <w:spacing w:line="520" w:lineRule="atLeast"/>
              <w:jc w:val="center"/>
              <w:rPr>
                <w:color w:val="000000"/>
                <w:sz w:val="32"/>
                <w:szCs w:val="32"/>
              </w:rPr>
            </w:pPr>
            <w:r>
              <w:rPr>
                <w:rFonts w:eastAsia="仿宋"/>
                <w:color w:val="000000"/>
                <w:kern w:val="0"/>
                <w:sz w:val="28"/>
                <w:szCs w:val="28"/>
              </w:rPr>
              <w:t>受理号</w:t>
            </w:r>
          </w:p>
        </w:tc>
        <w:tc>
          <w:tcPr>
            <w:tcW w:w="69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3149469">
            <w:pPr>
              <w:widowControl/>
              <w:spacing w:line="520" w:lineRule="atLeast"/>
              <w:jc w:val="center"/>
              <w:rPr>
                <w:color w:val="000000"/>
                <w:sz w:val="32"/>
                <w:szCs w:val="32"/>
              </w:rPr>
            </w:pPr>
            <w:r>
              <w:rPr>
                <w:rFonts w:eastAsia="仿宋"/>
                <w:color w:val="000000"/>
                <w:kern w:val="0"/>
                <w:sz w:val="28"/>
                <w:szCs w:val="28"/>
              </w:rPr>
              <w:t>（受理后由受理部门填写）</w:t>
            </w:r>
          </w:p>
        </w:tc>
      </w:tr>
      <w:tr w14:paraId="13F03AB4">
        <w:tblPrEx>
          <w:tblCellMar>
            <w:top w:w="15" w:type="dxa"/>
            <w:left w:w="15" w:type="dxa"/>
            <w:bottom w:w="15" w:type="dxa"/>
            <w:right w:w="15" w:type="dxa"/>
          </w:tblCellMar>
        </w:tblPrEx>
        <w:trPr>
          <w:trHeight w:val="284" w:hRule="atLeast"/>
          <w:jc w:val="center"/>
        </w:trPr>
        <w:tc>
          <w:tcPr>
            <w:tcW w:w="25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750A27">
            <w:pPr>
              <w:widowControl/>
              <w:spacing w:line="520" w:lineRule="atLeast"/>
              <w:jc w:val="center"/>
              <w:rPr>
                <w:color w:val="000000"/>
                <w:sz w:val="32"/>
                <w:szCs w:val="32"/>
              </w:rPr>
            </w:pPr>
            <w:r>
              <w:rPr>
                <w:rFonts w:eastAsia="仿宋"/>
                <w:color w:val="000000"/>
                <w:kern w:val="0"/>
                <w:sz w:val="28"/>
                <w:szCs w:val="28"/>
              </w:rPr>
              <w:t>联系人</w:t>
            </w:r>
          </w:p>
        </w:tc>
        <w:tc>
          <w:tcPr>
            <w:tcW w:w="23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06EA781">
            <w:pPr>
              <w:widowControl/>
              <w:spacing w:line="520" w:lineRule="atLeast"/>
              <w:jc w:val="center"/>
              <w:rPr>
                <w:color w:val="000000"/>
                <w:sz w:val="32"/>
                <w:szCs w:val="32"/>
              </w:rPr>
            </w:pPr>
          </w:p>
        </w:tc>
        <w:tc>
          <w:tcPr>
            <w:tcW w:w="23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EC2A649">
            <w:pPr>
              <w:widowControl/>
              <w:spacing w:line="520" w:lineRule="atLeast"/>
              <w:jc w:val="center"/>
              <w:rPr>
                <w:color w:val="000000"/>
                <w:sz w:val="32"/>
                <w:szCs w:val="32"/>
              </w:rPr>
            </w:pPr>
            <w:r>
              <w:rPr>
                <w:rFonts w:eastAsia="仿宋"/>
                <w:color w:val="000000"/>
                <w:kern w:val="0"/>
                <w:sz w:val="28"/>
                <w:szCs w:val="28"/>
              </w:rPr>
              <w:t>联系方式</w:t>
            </w:r>
          </w:p>
        </w:tc>
        <w:tc>
          <w:tcPr>
            <w:tcW w:w="23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6876C96">
            <w:pPr>
              <w:widowControl/>
              <w:spacing w:line="520" w:lineRule="atLeast"/>
              <w:jc w:val="center"/>
              <w:rPr>
                <w:color w:val="000000"/>
                <w:sz w:val="32"/>
                <w:szCs w:val="32"/>
              </w:rPr>
            </w:pPr>
          </w:p>
        </w:tc>
      </w:tr>
      <w:tr w14:paraId="5AF06794">
        <w:tblPrEx>
          <w:tblCellMar>
            <w:top w:w="15" w:type="dxa"/>
            <w:left w:w="15" w:type="dxa"/>
            <w:bottom w:w="15" w:type="dxa"/>
            <w:right w:w="15" w:type="dxa"/>
          </w:tblCellMar>
        </w:tblPrEx>
        <w:trPr>
          <w:trHeight w:val="284" w:hRule="atLeast"/>
          <w:jc w:val="center"/>
        </w:trPr>
        <w:tc>
          <w:tcPr>
            <w:tcW w:w="25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D7EDD4A">
            <w:pPr>
              <w:widowControl/>
              <w:spacing w:line="520" w:lineRule="atLeast"/>
              <w:jc w:val="center"/>
              <w:rPr>
                <w:color w:val="000000"/>
                <w:sz w:val="32"/>
                <w:szCs w:val="32"/>
              </w:rPr>
            </w:pPr>
            <w:r>
              <w:rPr>
                <w:rFonts w:eastAsia="仿宋"/>
                <w:color w:val="000000"/>
                <w:kern w:val="0"/>
                <w:sz w:val="28"/>
                <w:szCs w:val="28"/>
              </w:rPr>
              <w:t>优先审批理由</w:t>
            </w:r>
          </w:p>
        </w:tc>
        <w:tc>
          <w:tcPr>
            <w:tcW w:w="69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6FAA435">
            <w:pPr>
              <w:widowControl/>
              <w:spacing w:line="520" w:lineRule="atLeast"/>
              <w:rPr>
                <w:color w:val="000000"/>
                <w:kern w:val="0"/>
                <w:sz w:val="28"/>
                <w:szCs w:val="28"/>
              </w:rPr>
            </w:pPr>
          </w:p>
          <w:p w14:paraId="64C29616">
            <w:pPr>
              <w:widowControl/>
              <w:spacing w:line="520" w:lineRule="atLeast"/>
              <w:rPr>
                <w:color w:val="000000"/>
                <w:sz w:val="32"/>
                <w:szCs w:val="32"/>
              </w:rPr>
            </w:pPr>
          </w:p>
          <w:p w14:paraId="65B7884E">
            <w:pPr>
              <w:widowControl/>
              <w:spacing w:line="520" w:lineRule="atLeast"/>
              <w:rPr>
                <w:color w:val="000000"/>
                <w:sz w:val="32"/>
                <w:szCs w:val="32"/>
              </w:rPr>
            </w:pPr>
          </w:p>
          <w:p w14:paraId="27A1ECE5">
            <w:pPr>
              <w:widowControl/>
              <w:spacing w:line="520" w:lineRule="atLeast"/>
              <w:rPr>
                <w:color w:val="000000"/>
                <w:sz w:val="32"/>
                <w:szCs w:val="32"/>
              </w:rPr>
            </w:pPr>
            <w:r>
              <w:rPr>
                <w:rFonts w:eastAsia="仿宋"/>
                <w:color w:val="000000"/>
                <w:kern w:val="0"/>
                <w:sz w:val="28"/>
                <w:szCs w:val="28"/>
              </w:rPr>
              <w:t>注：说明该项目优先审批的理由，相关依据可作为附件一并提交。</w:t>
            </w:r>
          </w:p>
        </w:tc>
      </w:tr>
      <w:tr w14:paraId="16F7AC9A">
        <w:tblPrEx>
          <w:tblCellMar>
            <w:top w:w="15" w:type="dxa"/>
            <w:left w:w="15" w:type="dxa"/>
            <w:bottom w:w="15" w:type="dxa"/>
            <w:right w:w="15" w:type="dxa"/>
          </w:tblCellMar>
        </w:tblPrEx>
        <w:trPr>
          <w:trHeight w:val="284" w:hRule="atLeast"/>
          <w:jc w:val="center"/>
        </w:trPr>
        <w:tc>
          <w:tcPr>
            <w:tcW w:w="25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23A5368">
            <w:pPr>
              <w:widowControl/>
              <w:spacing w:line="520" w:lineRule="atLeast"/>
              <w:jc w:val="center"/>
              <w:rPr>
                <w:color w:val="000000"/>
                <w:sz w:val="32"/>
                <w:szCs w:val="32"/>
              </w:rPr>
            </w:pPr>
            <w:r>
              <w:rPr>
                <w:rFonts w:eastAsia="仿宋"/>
                <w:color w:val="000000"/>
                <w:kern w:val="0"/>
                <w:sz w:val="28"/>
                <w:szCs w:val="28"/>
              </w:rPr>
              <w:t>备注</w:t>
            </w:r>
          </w:p>
        </w:tc>
        <w:tc>
          <w:tcPr>
            <w:tcW w:w="69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F30EEDC">
            <w:pPr>
              <w:widowControl/>
              <w:spacing w:line="520" w:lineRule="atLeast"/>
              <w:rPr>
                <w:color w:val="000000"/>
                <w:sz w:val="32"/>
                <w:szCs w:val="32"/>
              </w:rPr>
            </w:pPr>
          </w:p>
        </w:tc>
      </w:tr>
      <w:tr w14:paraId="5014AF58">
        <w:tblPrEx>
          <w:tblCellMar>
            <w:top w:w="15" w:type="dxa"/>
            <w:left w:w="15" w:type="dxa"/>
            <w:bottom w:w="15" w:type="dxa"/>
            <w:right w:w="15" w:type="dxa"/>
          </w:tblCellMar>
        </w:tblPrEx>
        <w:trPr>
          <w:trHeight w:val="48" w:hRule="atLeast"/>
          <w:jc w:val="center"/>
        </w:trPr>
        <w:tc>
          <w:tcPr>
            <w:tcW w:w="25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7C64251">
            <w:pPr>
              <w:widowControl/>
              <w:spacing w:line="520" w:lineRule="atLeast"/>
              <w:jc w:val="center"/>
              <w:rPr>
                <w:color w:val="000000"/>
                <w:sz w:val="32"/>
                <w:szCs w:val="32"/>
              </w:rPr>
            </w:pPr>
            <w:r>
              <w:rPr>
                <w:rFonts w:eastAsia="仿宋"/>
                <w:color w:val="000000"/>
                <w:kern w:val="0"/>
                <w:sz w:val="28"/>
                <w:szCs w:val="28"/>
              </w:rPr>
              <w:t>申请人签章</w:t>
            </w:r>
          </w:p>
        </w:tc>
        <w:tc>
          <w:tcPr>
            <w:tcW w:w="69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FE40925">
            <w:pPr>
              <w:widowControl/>
              <w:spacing w:line="520" w:lineRule="atLeast"/>
              <w:rPr>
                <w:color w:val="000000"/>
                <w:sz w:val="32"/>
                <w:szCs w:val="32"/>
              </w:rPr>
            </w:pPr>
          </w:p>
          <w:p w14:paraId="3473B7AA">
            <w:pPr>
              <w:widowControl/>
              <w:spacing w:line="520" w:lineRule="atLeast"/>
              <w:ind w:firstLine="3920"/>
              <w:rPr>
                <w:color w:val="000000"/>
                <w:sz w:val="32"/>
                <w:szCs w:val="32"/>
              </w:rPr>
            </w:pPr>
            <w:r>
              <w:rPr>
                <w:rFonts w:eastAsia="仿宋"/>
                <w:color w:val="000000"/>
                <w:kern w:val="0"/>
                <w:sz w:val="28"/>
                <w:szCs w:val="28"/>
              </w:rPr>
              <w:t>年   月   日</w:t>
            </w:r>
          </w:p>
          <w:p w14:paraId="06022E2A">
            <w:pPr>
              <w:widowControl/>
              <w:spacing w:line="520" w:lineRule="atLeast"/>
              <w:rPr>
                <w:color w:val="000000"/>
                <w:sz w:val="32"/>
                <w:szCs w:val="32"/>
              </w:rPr>
            </w:pPr>
          </w:p>
        </w:tc>
      </w:tr>
    </w:tbl>
    <w:p w14:paraId="42BEAECA">
      <w:pPr>
        <w:widowControl/>
        <w:jc w:val="left"/>
        <w:rPr>
          <w:color w:val="000000"/>
          <w:sz w:val="32"/>
          <w:szCs w:val="32"/>
        </w:rPr>
      </w:pPr>
      <w:r>
        <w:rPr>
          <w:color w:val="000000"/>
          <w:kern w:val="0"/>
          <w:sz w:val="32"/>
          <w:szCs w:val="32"/>
        </w:rPr>
        <w:br w:type="page"/>
      </w:r>
      <w:r>
        <w:rPr>
          <w:rFonts w:eastAsia="黑体"/>
          <w:color w:val="000000"/>
          <w:kern w:val="0"/>
          <w:sz w:val="32"/>
          <w:szCs w:val="32"/>
        </w:rPr>
        <w:t>附件2</w:t>
      </w:r>
    </w:p>
    <w:p w14:paraId="3969D0AD">
      <w:pPr>
        <w:widowControl/>
        <w:rPr>
          <w:color w:val="000000"/>
          <w:sz w:val="32"/>
          <w:szCs w:val="32"/>
        </w:rPr>
      </w:pPr>
    </w:p>
    <w:p w14:paraId="6343FBF4">
      <w:pPr>
        <w:widowControl/>
        <w:jc w:val="center"/>
        <w:rPr>
          <w:color w:val="000000"/>
          <w:kern w:val="0"/>
          <w:sz w:val="32"/>
          <w:szCs w:val="32"/>
        </w:rPr>
      </w:pPr>
      <w:r>
        <w:rPr>
          <w:rFonts w:eastAsia="方正小标宋简体"/>
          <w:color w:val="000000"/>
          <w:kern w:val="0"/>
          <w:sz w:val="44"/>
          <w:szCs w:val="44"/>
        </w:rPr>
        <w:t>河北省第二类医疗器械优先审批审核通知单</w:t>
      </w:r>
    </w:p>
    <w:p w14:paraId="4EBB5C7F">
      <w:pPr>
        <w:widowControl/>
        <w:jc w:val="center"/>
        <w:rPr>
          <w:color w:val="000000"/>
          <w:sz w:val="32"/>
          <w:szCs w:val="32"/>
        </w:rPr>
      </w:pPr>
    </w:p>
    <w:p w14:paraId="3E1606B9">
      <w:pPr>
        <w:widowControl/>
        <w:spacing w:line="520" w:lineRule="atLeast"/>
        <w:ind w:left="-144"/>
        <w:jc w:val="right"/>
        <w:rPr>
          <w:color w:val="000000"/>
          <w:sz w:val="32"/>
          <w:szCs w:val="32"/>
        </w:rPr>
      </w:pPr>
      <w:r>
        <w:rPr>
          <w:rFonts w:eastAsia="仿宋"/>
          <w:color w:val="000000"/>
          <w:kern w:val="0"/>
          <w:sz w:val="32"/>
          <w:szCs w:val="32"/>
        </w:rPr>
        <w:t>（编号：        ）</w:t>
      </w:r>
    </w:p>
    <w:p w14:paraId="17820764">
      <w:pPr>
        <w:widowControl/>
        <w:spacing w:line="520" w:lineRule="atLeast"/>
        <w:ind w:left="-144"/>
        <w:rPr>
          <w:color w:val="000000"/>
          <w:sz w:val="32"/>
          <w:szCs w:val="32"/>
        </w:rPr>
      </w:pPr>
      <w:r>
        <w:rPr>
          <w:rFonts w:eastAsia="仿宋"/>
          <w:color w:val="000000"/>
          <w:kern w:val="0"/>
          <w:sz w:val="32"/>
          <w:szCs w:val="32"/>
          <w:u w:val="single"/>
        </w:rPr>
        <w:t xml:space="preserve">          </w:t>
      </w:r>
      <w:r>
        <w:rPr>
          <w:rFonts w:eastAsia="仿宋"/>
          <w:color w:val="000000"/>
          <w:kern w:val="0"/>
          <w:sz w:val="32"/>
          <w:szCs w:val="32"/>
        </w:rPr>
        <w:t>：</w:t>
      </w:r>
    </w:p>
    <w:p w14:paraId="4CAC22D7">
      <w:pPr>
        <w:widowControl/>
        <w:spacing w:line="520" w:lineRule="atLeast"/>
        <w:ind w:left="-144" w:firstLine="640"/>
        <w:rPr>
          <w:color w:val="000000"/>
          <w:sz w:val="32"/>
          <w:szCs w:val="32"/>
        </w:rPr>
      </w:pPr>
      <w:r>
        <w:rPr>
          <w:rFonts w:eastAsia="仿宋"/>
          <w:color w:val="000000"/>
          <w:kern w:val="0"/>
          <w:sz w:val="32"/>
          <w:szCs w:val="32"/>
        </w:rPr>
        <w:t>你单位提出的河北省第二类医疗器械优先审批申请（受理号：        ），</w:t>
      </w:r>
    </w:p>
    <w:p w14:paraId="33C2DBB6">
      <w:pPr>
        <w:widowControl/>
        <w:spacing w:line="520" w:lineRule="atLeast"/>
        <w:ind w:left="-144" w:firstLine="640"/>
        <w:rPr>
          <w:rFonts w:eastAsia="仿宋"/>
          <w:color w:val="000000"/>
          <w:sz w:val="32"/>
          <w:szCs w:val="32"/>
        </w:rPr>
      </w:pPr>
      <w:r>
        <w:rPr>
          <w:rFonts w:eastAsia="仿宋"/>
          <w:color w:val="000000"/>
          <w:kern w:val="0"/>
          <w:sz w:val="32"/>
          <w:szCs w:val="32"/>
        </w:rPr>
        <w:t xml:space="preserve">产品名称: </w:t>
      </w:r>
    </w:p>
    <w:p w14:paraId="15871E62">
      <w:pPr>
        <w:widowControl/>
        <w:spacing w:line="520" w:lineRule="atLeast"/>
        <w:ind w:left="-144" w:firstLine="640"/>
        <w:rPr>
          <w:color w:val="000000"/>
          <w:sz w:val="32"/>
          <w:szCs w:val="32"/>
        </w:rPr>
      </w:pPr>
      <w:r>
        <w:rPr>
          <w:rFonts w:eastAsia="仿宋"/>
          <w:color w:val="000000"/>
          <w:kern w:val="0"/>
          <w:sz w:val="32"/>
          <w:szCs w:val="32"/>
        </w:rPr>
        <w:t>经审核，审核结论为：</w:t>
      </w:r>
    </w:p>
    <w:p w14:paraId="34A9DCDC">
      <w:pPr>
        <w:widowControl/>
        <w:spacing w:line="520" w:lineRule="atLeast"/>
        <w:ind w:left="-144" w:firstLine="640"/>
        <w:rPr>
          <w:color w:val="000000"/>
          <w:sz w:val="32"/>
          <w:szCs w:val="32"/>
        </w:rPr>
      </w:pPr>
      <w:r>
        <w:rPr>
          <w:rFonts w:eastAsia="仿宋"/>
          <w:color w:val="000000"/>
          <w:kern w:val="0"/>
          <w:sz w:val="32"/>
          <w:szCs w:val="32"/>
        </w:rPr>
        <w:t>□同意按照《河北省第二类医疗器械优先审批程序》进行审批。</w:t>
      </w:r>
    </w:p>
    <w:p w14:paraId="59A3E3A9">
      <w:pPr>
        <w:widowControl/>
        <w:spacing w:line="520" w:lineRule="atLeast"/>
        <w:ind w:left="-144" w:firstLine="640"/>
        <w:rPr>
          <w:color w:val="000000"/>
          <w:kern w:val="0"/>
          <w:sz w:val="32"/>
          <w:szCs w:val="32"/>
          <w:u w:val="single"/>
        </w:rPr>
      </w:pPr>
      <w:r>
        <w:rPr>
          <w:rFonts w:eastAsia="仿宋"/>
          <w:color w:val="000000"/>
          <w:kern w:val="0"/>
          <w:sz w:val="32"/>
          <w:szCs w:val="32"/>
        </w:rPr>
        <w:t>□不同意按照《河北省第二类医疗器械优先审批程序》进行审批，理由：</w:t>
      </w:r>
      <w:r>
        <w:rPr>
          <w:color w:val="000000"/>
          <w:kern w:val="0"/>
          <w:sz w:val="32"/>
          <w:szCs w:val="32"/>
          <w:u w:val="single"/>
        </w:rPr>
        <w:t xml:space="preserve">                                            </w:t>
      </w:r>
    </w:p>
    <w:p w14:paraId="10C6A364">
      <w:pPr>
        <w:widowControl/>
        <w:spacing w:line="520" w:lineRule="atLeast"/>
        <w:ind w:left="-144"/>
        <w:rPr>
          <w:color w:val="000000"/>
          <w:sz w:val="32"/>
          <w:szCs w:val="32"/>
        </w:rPr>
      </w:pPr>
      <w:r>
        <w:rPr>
          <w:color w:val="000000"/>
          <w:kern w:val="0"/>
          <w:sz w:val="32"/>
          <w:szCs w:val="32"/>
          <w:u w:val="single"/>
        </w:rPr>
        <w:t xml:space="preserve">                                                       </w:t>
      </w:r>
      <w:r>
        <w:rPr>
          <w:rFonts w:eastAsia="仿宋"/>
          <w:color w:val="000000"/>
          <w:kern w:val="0"/>
          <w:sz w:val="32"/>
          <w:szCs w:val="32"/>
        </w:rPr>
        <w:t>。</w:t>
      </w:r>
    </w:p>
    <w:p w14:paraId="27F99FAA">
      <w:pPr>
        <w:widowControl/>
        <w:spacing w:line="520" w:lineRule="atLeast"/>
        <w:ind w:left="-144" w:firstLine="640"/>
        <w:rPr>
          <w:color w:val="000000"/>
          <w:sz w:val="32"/>
          <w:szCs w:val="32"/>
        </w:rPr>
      </w:pPr>
      <w:r>
        <w:rPr>
          <w:rFonts w:eastAsia="仿宋"/>
          <w:color w:val="000000"/>
          <w:kern w:val="0"/>
          <w:sz w:val="32"/>
          <w:szCs w:val="32"/>
        </w:rPr>
        <w:t>特此通知。</w:t>
      </w:r>
    </w:p>
    <w:p w14:paraId="5C6FB0CE">
      <w:pPr>
        <w:widowControl/>
        <w:spacing w:line="520" w:lineRule="atLeast"/>
        <w:ind w:firstLine="640"/>
        <w:rPr>
          <w:rFonts w:eastAsia="仿宋"/>
          <w:color w:val="000000"/>
          <w:kern w:val="0"/>
          <w:sz w:val="32"/>
          <w:szCs w:val="32"/>
        </w:rPr>
      </w:pPr>
      <w:r>
        <w:rPr>
          <w:rFonts w:eastAsia="仿宋"/>
          <w:color w:val="000000"/>
          <w:kern w:val="0"/>
          <w:sz w:val="32"/>
          <w:szCs w:val="32"/>
        </w:rPr>
        <w:t xml:space="preserve">            </w:t>
      </w:r>
    </w:p>
    <w:p w14:paraId="5EBD7A8B"/>
    <w:p w14:paraId="04F0A3FE">
      <w:bookmarkStart w:id="0" w:name="_GoBack"/>
      <w:bookmarkEnd w:id="0"/>
    </w:p>
    <w:sectPr>
      <w:footerReference r:id="rId6" w:type="first"/>
      <w:headerReference r:id="rId3" w:type="default"/>
      <w:footerReference r:id="rId4" w:type="default"/>
      <w:footerReference r:id="rId5" w:type="even"/>
      <w:pgSz w:w="11906" w:h="16838"/>
      <w:pgMar w:top="2041" w:right="1531" w:bottom="1440" w:left="1531" w:header="851" w:footer="136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B4E4E">
    <w:pPr>
      <w:pStyle w:val="2"/>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C45D">
                          <w:pPr>
                            <w:pStyle w:val="2"/>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7AD5C45D">
                    <w:pPr>
                      <w:pStyle w:val="2"/>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p>
                </w:txbxContent>
              </v:textbox>
            </v:shape>
          </w:pict>
        </mc:Fallback>
      </mc:AlternateContent>
    </w:r>
  </w:p>
  <w:p w14:paraId="32A19D44">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90E67">
    <w:pPr>
      <w:pStyle w:val="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49853A">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6B49853A">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 xml:space="preserve"> —</w:t>
                    </w:r>
                  </w:p>
                </w:txbxContent>
              </v:textbox>
            </v:shape>
          </w:pict>
        </mc:Fallback>
      </mc:AlternateContent>
    </w:r>
  </w:p>
  <w:p w14:paraId="7E73894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FD58">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CA4170">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6CA4170">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txbxContent>
              </v:textbox>
            </v:shape>
          </w:pict>
        </mc:Fallback>
      </mc:AlternateContent>
    </w:r>
  </w:p>
  <w:p w14:paraId="7F99211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1340B">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jZmNjFkNjNhMDdlN2U0YTczMGU3ZmFhYTkxOTAifQ=="/>
  </w:docVars>
  <w:rsids>
    <w:rsidRoot w:val="00000000"/>
    <w:rsid w:val="4BA4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仿宋_GB2312"/>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仿宋_GB2312"/>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2024-11-11T09:38:45Z</dcterms:created>
  <dc:creator>Administrator</dc:creator>
  <cp:lastModifiedBy>张永强</cp:lastModifiedBy>
  <dcterms:modified xsi:type="dcterms:W3CDTF">2024-11-11T09:39:11Z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2BC74F06D5A748B7A08C615C00E38C58_12</vt:lpwstr>
  </property>
</Properties>
</file>