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3</w:t>
      </w:r>
      <w:bookmarkStart w:id="0" w:name="_GoBack"/>
      <w:bookmarkEnd w:id="0"/>
    </w:p>
    <w:p>
      <w:pPr>
        <w:spacing w:line="600" w:lineRule="exact"/>
        <w:rPr>
          <w:rFonts w:ascii="Nimbus Roman" w:hAnsi="Nimbus Roman" w:eastAsia="宋体" w:cs="Nimbus Roman"/>
          <w:b/>
          <w:bCs/>
          <w:color w:val="000000" w:themeColor="text1"/>
          <w:sz w:val="32"/>
          <w:szCs w:val="32"/>
          <w14:textFill>
            <w14:solidFill>
              <w14:schemeClr w14:val="tx1"/>
            </w14:solidFill>
          </w14:textFill>
        </w:rPr>
      </w:pPr>
    </w:p>
    <w:p>
      <w:pPr>
        <w:spacing w:line="600" w:lineRule="exact"/>
        <w:jc w:val="cente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pStyle w:val="7"/>
        <w:numPr>
          <w:ilvl w:val="0"/>
          <w:numId w:val="1"/>
        </w:numPr>
        <w:spacing w:line="60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政策背景</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14:textFill>
            <w14:solidFill>
              <w14:schemeClr w14:val="tx1"/>
            </w14:solidFill>
          </w14:textFill>
        </w:rPr>
        <w:t>医疗服务价格项目是医疗服务项目定价和价格管理的基础和依据,</w:t>
      </w:r>
      <w:r>
        <w:rPr>
          <w:rFonts w:hint="eastAsia" w:ascii="Times New Roman" w:hAnsi="Times New Roman" w:eastAsia="仿宋_GB2312" w:cs="Nimbus Roman"/>
          <w:color w:val="000000" w:themeColor="text1"/>
          <w:sz w:val="32"/>
          <w:szCs w:val="32"/>
          <w:lang w:eastAsia="zh-CN"/>
          <w14:textFill>
            <w14:solidFill>
              <w14:schemeClr w14:val="tx1"/>
            </w14:solidFill>
          </w14:textFill>
        </w:rPr>
        <w:t>为贯彻落实国家医保局等八部委印发的</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《深化医疗服务价格改革试点方案》（医保发〔2021〕41号）、《国家医疗保障局办公室关于进一步做好医疗服务价格管理工作的通知》（医保办发〔2022〕16号）等文件精神</w:t>
      </w:r>
      <w:r>
        <w:rPr>
          <w:rFonts w:hint="eastAsia" w:ascii="Times New Roman" w:hAnsi="Times New Roman" w:eastAsia="仿宋_GB2312" w:cs="Nimbus Roman"/>
          <w:color w:val="000000" w:themeColor="text1"/>
          <w:sz w:val="32"/>
          <w:szCs w:val="32"/>
          <w:lang w:eastAsia="zh-CN"/>
          <w14:textFill>
            <w14:solidFill>
              <w14:schemeClr w14:val="tx1"/>
            </w14:solidFill>
          </w14:textFill>
        </w:rPr>
        <w:t>，根据《广东省医疗保障局新增医疗服务价格项目管理办法》（粤医保规〔202</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Nimbus Roman"/>
          <w:color w:val="000000" w:themeColor="text1"/>
          <w:sz w:val="32"/>
          <w:szCs w:val="32"/>
          <w:lang w:eastAsia="zh-CN"/>
          <w14:textFill>
            <w14:solidFill>
              <w14:schemeClr w14:val="tx1"/>
            </w14:solidFill>
          </w14:textFill>
        </w:rPr>
        <w:t>号），</w:t>
      </w:r>
      <w:r>
        <w:rPr>
          <w:rFonts w:hint="default" w:ascii="Nimbus Roman" w:hAnsi="Nimbus Roman" w:eastAsia="仿宋_GB2312" w:cs="Nimbus Roman"/>
          <w:color w:val="000000"/>
          <w:sz w:val="32"/>
          <w:szCs w:val="32"/>
          <w:u w:val="none"/>
          <w:lang w:val="en-US" w:eastAsia="zh-CN"/>
        </w:rPr>
        <w:t>我局对新增试行的医疗服务价格项目进行了转归论证审核</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p>
    <w:p>
      <w:pPr>
        <w:pStyle w:val="7"/>
        <w:numPr>
          <w:ilvl w:val="0"/>
          <w:numId w:val="1"/>
        </w:numPr>
        <w:spacing w:line="60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（三）《广东省医疗保障局新增医疗服务价格项目管理办法》（粤医保规〔202</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Nimbus Roman"/>
          <w:color w:val="000000" w:themeColor="text1"/>
          <w:sz w:val="32"/>
          <w:szCs w:val="32"/>
          <w:lang w:eastAsia="zh-CN"/>
          <w14:textFill>
            <w14:solidFill>
              <w14:schemeClr w14:val="tx1"/>
            </w14:solidFill>
          </w14:textFill>
        </w:rPr>
        <w:t>号）</w:t>
      </w:r>
    </w:p>
    <w:p>
      <w:pPr>
        <w:pStyle w:val="7"/>
        <w:numPr>
          <w:ilvl w:val="0"/>
          <w:numId w:val="1"/>
        </w:numPr>
        <w:spacing w:line="56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ascii="Nimbus Roman" w:hAnsi="Nimbus Roman" w:eastAsia="黑体" w:cs="Nimbus Roman"/>
          <w:color w:val="000000" w:themeColor="text1"/>
          <w:sz w:val="32"/>
          <w:szCs w:val="32"/>
          <w14:textFill>
            <w14:solidFill>
              <w14:schemeClr w14:val="tx1"/>
            </w14:solidFill>
          </w14:textFill>
        </w:rPr>
        <w:t>主要</w:t>
      </w:r>
      <w:r>
        <w:rPr>
          <w:rFonts w:hint="eastAsia" w:ascii="Nimbus Roman" w:hAnsi="Nimbus Roman" w:eastAsia="黑体" w:cs="Nimbus Roman"/>
          <w:color w:val="000000" w:themeColor="text1"/>
          <w:sz w:val="32"/>
          <w:szCs w:val="32"/>
          <w:lang w:eastAsia="zh-CN"/>
          <w14:textFill>
            <w14:solidFill>
              <w14:schemeClr w14:val="tx1"/>
            </w14:solidFill>
          </w14:textFill>
        </w:rPr>
        <w:t>内容</w:t>
      </w:r>
    </w:p>
    <w:p>
      <w:pPr>
        <w:spacing w:line="600" w:lineRule="exact"/>
        <w:ind w:firstLine="640" w:firstLineChars="200"/>
        <w:rPr>
          <w:rFonts w:hint="eastAsia" w:ascii="Times New Roman" w:hAnsi="Times New Roman" w:eastAsia="仿宋_GB2312" w:cs="Nimbus Roman"/>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color w:val="000000" w:themeColor="text1"/>
          <w:sz w:val="32"/>
          <w:szCs w:val="32"/>
          <w14:textFill>
            <w14:solidFill>
              <w14:schemeClr w14:val="tx1"/>
            </w14:solidFill>
          </w14:textFill>
        </w:rPr>
        <w:t>本次</w:t>
      </w:r>
      <w:r>
        <w:rPr>
          <w:rFonts w:hint="eastAsia" w:ascii="Times New Roman" w:hAnsi="Times New Roman" w:eastAsia="仿宋_GB2312" w:cs="Nimbus Roman"/>
          <w:color w:val="000000" w:themeColor="text1"/>
          <w:sz w:val="32"/>
          <w:szCs w:val="32"/>
          <w:lang w:eastAsia="zh-CN"/>
          <w14:textFill>
            <w14:solidFill>
              <w14:schemeClr w14:val="tx1"/>
            </w14:solidFill>
          </w14:textFill>
        </w:rPr>
        <w:t>转归</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69个医疗服务价格项目，</w:t>
      </w:r>
      <w:r>
        <w:rPr>
          <w:rFonts w:hint="eastAsia" w:ascii="Times New Roman" w:hAnsi="Times New Roman" w:eastAsia="仿宋_GB2312" w:cs="Nimbus Roman"/>
          <w:color w:val="000000" w:themeColor="text1"/>
          <w:sz w:val="32"/>
          <w:szCs w:val="32"/>
          <w:lang w:eastAsia="zh-CN"/>
          <w14:textFill>
            <w14:solidFill>
              <w14:schemeClr w14:val="tx1"/>
            </w14:solidFill>
          </w14:textFill>
        </w:rPr>
        <w:t>其中“药物基因多态性检测”等</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56项</w:t>
      </w:r>
      <w:r>
        <w:rPr>
          <w:rFonts w:hint="eastAsia" w:ascii="Times New Roman" w:hAnsi="Times New Roman" w:eastAsia="仿宋_GB2312" w:cs="Nimbus Roman"/>
          <w:color w:val="000000" w:themeColor="text1"/>
          <w:sz w:val="32"/>
          <w:szCs w:val="32"/>
          <w:lang w:eastAsia="zh-CN"/>
          <w14:textFill>
            <w14:solidFill>
              <w14:schemeClr w14:val="tx1"/>
            </w14:solidFill>
          </w14:textFill>
        </w:rPr>
        <w:t>医疗服务价格项目纳入基本医疗服务价格项目表，</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“葡萄糖-6-磷酸脱氢酶基因突变检测”等13项医疗服务价格项目纳入市场调节价医疗服务价格项目表。</w:t>
      </w:r>
    </w:p>
    <w:p>
      <w:pPr>
        <w:spacing w:line="600" w:lineRule="exact"/>
        <w:ind w:firstLine="640" w:firstLineChars="200"/>
        <w:rPr>
          <w:rFonts w:hint="default" w:ascii="Times New Roman" w:hAnsi="Times New Roman" w:eastAsia="仿宋_GB2312" w:cs="Nimbus Roman"/>
          <w:color w:val="000000" w:themeColor="text1"/>
          <w:sz w:val="32"/>
          <w:szCs w:val="32"/>
          <w:lang w:val="en-US" w:eastAsia="zh-CN"/>
          <w14:textFill>
            <w14:solidFill>
              <w14:schemeClr w14:val="tx1"/>
            </w14:solidFill>
          </w14:textFill>
        </w:rPr>
      </w:pPr>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Nimbus Roman">
    <w:panose1 w:val="00000500000000000000"/>
    <w:charset w:val="00"/>
    <w:family w:val="auto"/>
    <w:pitch w:val="default"/>
    <w:sig w:usb0="00000287" w:usb1="000008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D6894"/>
    <w:multiLevelType w:val="multilevel"/>
    <w:tmpl w:val="616D6894"/>
    <w:lvl w:ilvl="0" w:tentative="0">
      <w:start w:val="1"/>
      <w:numFmt w:val="japaneseCounting"/>
      <w:lvlText w:val="%1、"/>
      <w:lvlJc w:val="left"/>
      <w:pPr>
        <w:ind w:left="1350" w:hanging="720"/>
      </w:pPr>
      <w:rPr>
        <w:rFonts w:hint="eastAsia"/>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FBB1E6E"/>
    <w:rsid w:val="11114515"/>
    <w:rsid w:val="1182036D"/>
    <w:rsid w:val="11C71F12"/>
    <w:rsid w:val="11D3426A"/>
    <w:rsid w:val="16575D9C"/>
    <w:rsid w:val="17272996"/>
    <w:rsid w:val="1BA87379"/>
    <w:rsid w:val="1BBD5B28"/>
    <w:rsid w:val="1BC32AA9"/>
    <w:rsid w:val="1C7F79C9"/>
    <w:rsid w:val="1CFF70D1"/>
    <w:rsid w:val="1FEEA1F9"/>
    <w:rsid w:val="1FEF3AB2"/>
    <w:rsid w:val="21192AAA"/>
    <w:rsid w:val="217C0ED7"/>
    <w:rsid w:val="234D351C"/>
    <w:rsid w:val="277B360C"/>
    <w:rsid w:val="27AA1FE9"/>
    <w:rsid w:val="28925D46"/>
    <w:rsid w:val="28FF44AC"/>
    <w:rsid w:val="2B0319AF"/>
    <w:rsid w:val="2BEF7A55"/>
    <w:rsid w:val="2F7782CD"/>
    <w:rsid w:val="2FDB8853"/>
    <w:rsid w:val="2FE39C71"/>
    <w:rsid w:val="3232438D"/>
    <w:rsid w:val="35144DB9"/>
    <w:rsid w:val="37740704"/>
    <w:rsid w:val="37D452D1"/>
    <w:rsid w:val="39457F60"/>
    <w:rsid w:val="39470B2A"/>
    <w:rsid w:val="39783F40"/>
    <w:rsid w:val="39DC6C22"/>
    <w:rsid w:val="3A324001"/>
    <w:rsid w:val="3ADFDA6A"/>
    <w:rsid w:val="3C156351"/>
    <w:rsid w:val="3CDF1EEC"/>
    <w:rsid w:val="3CEF5B74"/>
    <w:rsid w:val="3D3D4EC9"/>
    <w:rsid w:val="3DA3BB69"/>
    <w:rsid w:val="3E90085F"/>
    <w:rsid w:val="3FDB8F39"/>
    <w:rsid w:val="3FE45593"/>
    <w:rsid w:val="40D573E7"/>
    <w:rsid w:val="4136427F"/>
    <w:rsid w:val="44003D81"/>
    <w:rsid w:val="47837708"/>
    <w:rsid w:val="4B1F0EF2"/>
    <w:rsid w:val="4BDFCA88"/>
    <w:rsid w:val="4E0538DC"/>
    <w:rsid w:val="5087164D"/>
    <w:rsid w:val="50D63AF7"/>
    <w:rsid w:val="524A3FB4"/>
    <w:rsid w:val="537E38FB"/>
    <w:rsid w:val="54534E5F"/>
    <w:rsid w:val="5663FDC4"/>
    <w:rsid w:val="57B9097D"/>
    <w:rsid w:val="58BF0736"/>
    <w:rsid w:val="5D347AD0"/>
    <w:rsid w:val="5DBE5856"/>
    <w:rsid w:val="5DCD9999"/>
    <w:rsid w:val="5F2E11C1"/>
    <w:rsid w:val="5FF701CC"/>
    <w:rsid w:val="5FFF38CA"/>
    <w:rsid w:val="601D24C2"/>
    <w:rsid w:val="63B975BD"/>
    <w:rsid w:val="67FF3FF0"/>
    <w:rsid w:val="69BEF020"/>
    <w:rsid w:val="69F60AE9"/>
    <w:rsid w:val="6B77C008"/>
    <w:rsid w:val="6BFEE0F0"/>
    <w:rsid w:val="6C2B319D"/>
    <w:rsid w:val="6CBFEDE3"/>
    <w:rsid w:val="6CFCEA0F"/>
    <w:rsid w:val="6F7B9B6B"/>
    <w:rsid w:val="6FCFF403"/>
    <w:rsid w:val="6FDF2C46"/>
    <w:rsid w:val="6FFC191E"/>
    <w:rsid w:val="71FF22F7"/>
    <w:rsid w:val="72BFC6BF"/>
    <w:rsid w:val="72DE698F"/>
    <w:rsid w:val="735F75D1"/>
    <w:rsid w:val="74EF03DF"/>
    <w:rsid w:val="757AFDA2"/>
    <w:rsid w:val="76790A7B"/>
    <w:rsid w:val="767F607C"/>
    <w:rsid w:val="769493BF"/>
    <w:rsid w:val="76ADE600"/>
    <w:rsid w:val="77A60D1A"/>
    <w:rsid w:val="7902148D"/>
    <w:rsid w:val="7925600D"/>
    <w:rsid w:val="79B7D700"/>
    <w:rsid w:val="7A3E7DCF"/>
    <w:rsid w:val="7A965476"/>
    <w:rsid w:val="7B4EA43E"/>
    <w:rsid w:val="7BFDFEBB"/>
    <w:rsid w:val="7BFE6220"/>
    <w:rsid w:val="7BFECA70"/>
    <w:rsid w:val="7BFFE282"/>
    <w:rsid w:val="7CEB0AC5"/>
    <w:rsid w:val="7D5D0E2B"/>
    <w:rsid w:val="7D65D63E"/>
    <w:rsid w:val="7E33A012"/>
    <w:rsid w:val="7E5D4D48"/>
    <w:rsid w:val="7E7FC47E"/>
    <w:rsid w:val="7EDB5E87"/>
    <w:rsid w:val="7EEF5A65"/>
    <w:rsid w:val="7F3F227A"/>
    <w:rsid w:val="7F5FA603"/>
    <w:rsid w:val="7FD964A1"/>
    <w:rsid w:val="7FDDA412"/>
    <w:rsid w:val="7FDDECBD"/>
    <w:rsid w:val="7FEF5E64"/>
    <w:rsid w:val="7FFBD79D"/>
    <w:rsid w:val="7FFF0C37"/>
    <w:rsid w:val="9A5FCFF7"/>
    <w:rsid w:val="AEF242B6"/>
    <w:rsid w:val="B3FD8E97"/>
    <w:rsid w:val="B43F2C4F"/>
    <w:rsid w:val="B5FF2B61"/>
    <w:rsid w:val="BA37D40D"/>
    <w:rsid w:val="BB77F5AF"/>
    <w:rsid w:val="BBFF542D"/>
    <w:rsid w:val="BCB200FF"/>
    <w:rsid w:val="BF7F7491"/>
    <w:rsid w:val="BFDD2FB3"/>
    <w:rsid w:val="BFEFF2E6"/>
    <w:rsid w:val="BFF6A651"/>
    <w:rsid w:val="CFBA4FA0"/>
    <w:rsid w:val="D5FEB252"/>
    <w:rsid w:val="D74D3761"/>
    <w:rsid w:val="DD5BF2C9"/>
    <w:rsid w:val="DDF7E498"/>
    <w:rsid w:val="DDFE3B85"/>
    <w:rsid w:val="DEFF153A"/>
    <w:rsid w:val="DF9AE382"/>
    <w:rsid w:val="DFA3DEC3"/>
    <w:rsid w:val="DFD76C04"/>
    <w:rsid w:val="DFDB8958"/>
    <w:rsid w:val="DFFB1D92"/>
    <w:rsid w:val="E37FA25D"/>
    <w:rsid w:val="E3BE5657"/>
    <w:rsid w:val="E75AEF85"/>
    <w:rsid w:val="E7FEFCA6"/>
    <w:rsid w:val="E9A94260"/>
    <w:rsid w:val="ED4CEE34"/>
    <w:rsid w:val="EF0F7CEB"/>
    <w:rsid w:val="F377CD8D"/>
    <w:rsid w:val="F378D4B5"/>
    <w:rsid w:val="F3FE534D"/>
    <w:rsid w:val="F4F74566"/>
    <w:rsid w:val="F4FEC093"/>
    <w:rsid w:val="F564839F"/>
    <w:rsid w:val="F76DB244"/>
    <w:rsid w:val="F7FD79F2"/>
    <w:rsid w:val="F7FEB75E"/>
    <w:rsid w:val="FBFF8FB6"/>
    <w:rsid w:val="FCFE0BC6"/>
    <w:rsid w:val="FDFEE767"/>
    <w:rsid w:val="FDFFC11E"/>
    <w:rsid w:val="FEEF9279"/>
    <w:rsid w:val="FF3DF7C1"/>
    <w:rsid w:val="FF7E0E19"/>
    <w:rsid w:val="FFA71897"/>
    <w:rsid w:val="FFAE0A70"/>
    <w:rsid w:val="FFD3E1F1"/>
    <w:rsid w:val="FFDD5F59"/>
    <w:rsid w:val="FFF94EDA"/>
    <w:rsid w:val="FFFE58BA"/>
    <w:rsid w:val="FFF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Char Char Char Char1 Char Char Char"/>
    <w:basedOn w:val="1"/>
    <w:qFormat/>
    <w:uiPriority w:val="0"/>
    <w:rPr>
      <w:rFonts w:ascii="Times New Roman" w:hAnsi="Times New Roman" w:eastAsia="宋体" w:cs="Times New Roman"/>
      <w:szCs w:val="24"/>
    </w:rPr>
  </w:style>
  <w:style w:type="paragraph" w:styleId="7">
    <w:name w:val="List Paragraph"/>
    <w:basedOn w:val="1"/>
    <w:qFormat/>
    <w:uiPriority w:val="34"/>
    <w:pPr>
      <w:ind w:firstLine="420" w:firstLineChars="200"/>
    </w:pPr>
  </w:style>
  <w:style w:type="paragraph" w:customStyle="1" w:styleId="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0</TotalTime>
  <ScaleCrop>false</ScaleCrop>
  <LinksUpToDate>false</LinksUpToDate>
  <CharactersWithSpaces>2795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2022-11-24T09:22:00Z</dcterms:created>
  <dc:creator>He Bingjie</dc:creator>
  <cp:lastModifiedBy>陈雪莹</cp:lastModifiedBy>
  <cp:lastPrinted>2024-03-29T22:18:00Z</cp:lastPrinted>
  <dcterms:modified xsi:type="dcterms:W3CDTF">2024-11-05T19:22:18Z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ribbonExt">
    <vt:lpwstr>{"WPSExtOfficeTab":{"OnGetEnabled":false,"OnGetVisible":false}}</vt:lpwstr>
  </property>
  <property fmtid="{D5CDD505-2E9C-101B-9397-08002B2CF9AE}" pid="4" name="ICV">
    <vt:lpwstr>655C644113E8C1FDD1E95666D4D9F12B</vt:lpwstr>
  </property>
  <property fmtid="{D5CDD505-2E9C-101B-9397-08002B2CF9AE}" pid="5" name="showFlag">
    <vt:bool>true</vt:bool>
  </property>
  <property fmtid="{D5CDD505-2E9C-101B-9397-08002B2CF9AE}" pid="6" name="userName">
    <vt:lpwstr>陈小玲</vt:lpwstr>
  </property>
</Properties>
</file>