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附件2</w:t>
      </w:r>
    </w:p>
    <w:p>
      <w:pPr>
        <w:spacing w:line="600" w:lineRule="exact"/>
        <w:rPr>
          <w:rFonts w:ascii="Nimbus Roman" w:hAnsi="Nimbus Roman" w:eastAsia="宋体" w:cs="Nimbus Roman"/>
          <w:b/>
          <w:bCs/>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医疗服务价格项目是医疗服务项目定价和价格管理的基础和依据,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为贯彻落实国家医保局等八部委印发的</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《深化医疗服务价格改革试点方案》（医保发〔2021〕41号）、《国家医疗保障局办公室关于进一步做好医疗服务价格管理工作的通知》（医保办发〔2022〕16号）等文件精神</w:t>
      </w:r>
      <w:r>
        <w:rPr>
          <w:rFonts w:hint="eastAsia" w:ascii="Times New Roman" w:hAnsi="Times New Roman" w:eastAsia="仿宋_GB2312" w:cs="Nimbus Roman"/>
          <w:color w:val="000000" w:themeColor="text1"/>
          <w:sz w:val="32"/>
          <w:szCs w:val="32"/>
          <w:lang w:eastAsia="zh-CN"/>
          <w14:textFill>
            <w14:solidFill>
              <w14:schemeClr w14:val="tx1"/>
            </w14:solidFill>
          </w14:textFill>
        </w:rPr>
        <w:t>，根据《广东省医疗保障局新增医疗服务价格项目管理办法》（粤医保规〔202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r>
        <w:rPr>
          <w:rFonts w:hint="default" w:ascii="Times New Roman" w:hAnsi="Times New Roman" w:eastAsia="仿宋_GB2312" w:cs="Nimbus Roman"/>
          <w:b w:val="0"/>
          <w:i w:val="0"/>
          <w:snapToGrid/>
          <w:color w:val="000000"/>
          <w:sz w:val="32"/>
          <w:szCs w:val="32"/>
          <w:shd w:val="clear" w:fill="auto"/>
          <w:lang w:val="en-US" w:eastAsia="zh-CN" w:bidi="ar"/>
        </w:rPr>
        <w:t>我局对申请修订的医疗服务价格项目开展了专家论证审核</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p>
    <w:p>
      <w:pPr>
        <w:pStyle w:val="7"/>
        <w:numPr>
          <w:ilvl w:val="0"/>
          <w:numId w:val="1"/>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p>
    <w:p>
      <w:pPr>
        <w:pStyle w:val="7"/>
        <w:numPr>
          <w:ilvl w:val="0"/>
          <w:numId w:val="1"/>
        </w:numPr>
        <w:spacing w:line="56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ascii="Nimbus Roman" w:hAnsi="Nimbus Roman" w:eastAsia="黑体" w:cs="Nimbus Roman"/>
          <w:color w:val="000000" w:themeColor="text1"/>
          <w:sz w:val="32"/>
          <w:szCs w:val="32"/>
          <w14:textFill>
            <w14:solidFill>
              <w14:schemeClr w14:val="tx1"/>
            </w14:solidFill>
          </w14:textFill>
        </w:rPr>
        <w:t>主要</w:t>
      </w:r>
      <w:r>
        <w:rPr>
          <w:rFonts w:hint="eastAsia" w:ascii="Nimbus Roman" w:hAnsi="Nimbus Roman" w:eastAsia="黑体" w:cs="Nimbus Roman"/>
          <w:color w:val="000000" w:themeColor="text1"/>
          <w:sz w:val="32"/>
          <w:szCs w:val="32"/>
          <w:lang w:eastAsia="zh-CN"/>
          <w14:textFill>
            <w14:solidFill>
              <w14:schemeClr w14:val="tx1"/>
            </w14:solidFill>
          </w14:textFill>
        </w:rPr>
        <w:t>内容</w:t>
      </w:r>
    </w:p>
    <w:p>
      <w:pPr>
        <w:spacing w:line="600" w:lineRule="exact"/>
        <w:ind w:firstLine="640" w:firstLineChars="200"/>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本次</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对</w:t>
      </w:r>
      <w:r>
        <w:rPr>
          <w:rFonts w:hint="default" w:ascii="Times New Roman" w:hAnsi="Times New Roman" w:eastAsia="仿宋_GB2312" w:cs="Nimbus Roman"/>
          <w:b w:val="0"/>
          <w:i w:val="0"/>
          <w:snapToGrid/>
          <w:color w:val="000000"/>
          <w:sz w:val="32"/>
          <w:szCs w:val="32"/>
          <w:shd w:val="clear" w:fill="auto"/>
          <w:lang w:val="en-US" w:eastAsia="zh-CN" w:bidi="ar"/>
        </w:rPr>
        <w:t>“高强度超声聚焦刀治疗”等13项医疗服务价格项目</w:t>
      </w:r>
      <w:r>
        <w:rPr>
          <w:rFonts w:hint="eastAsia" w:ascii="Times New Roman" w:hAnsi="Times New Roman" w:eastAsia="仿宋_GB2312" w:cs="Nimbus Roman"/>
          <w:b w:val="0"/>
          <w:i w:val="0"/>
          <w:snapToGrid/>
          <w:color w:val="000000"/>
          <w:sz w:val="32"/>
          <w:szCs w:val="32"/>
          <w:shd w:val="clear" w:fill="auto"/>
          <w:lang w:val="en-US" w:eastAsia="zh-CN" w:bidi="ar"/>
        </w:rPr>
        <w:t>的</w:t>
      </w:r>
      <w:r>
        <w:rPr>
          <w:rFonts w:hint="eastAsia" w:ascii="Times New Roman" w:hAnsi="Times New Roman" w:eastAsia="仿宋_GB2312" w:cs="Nimbus Roman"/>
          <w:color w:val="000000" w:themeColor="text1"/>
          <w:sz w:val="32"/>
          <w:szCs w:val="32"/>
          <w:lang w:eastAsia="zh-CN"/>
          <w14:textFill>
            <w14:solidFill>
              <w14:schemeClr w14:val="tx1"/>
            </w14:solidFill>
          </w14:textFill>
        </w:rPr>
        <w:t>项目</w:t>
      </w:r>
      <w:r>
        <w:rPr>
          <w:rFonts w:hint="eastAsia" w:ascii="Times New Roman" w:hAnsi="Times New Roman" w:eastAsia="仿宋_GB2312" w:cs="Nimbus Roman"/>
          <w:color w:val="000000" w:themeColor="text1"/>
          <w:sz w:val="32"/>
          <w:szCs w:val="32"/>
          <w14:textFill>
            <w14:solidFill>
              <w14:schemeClr w14:val="tx1"/>
            </w14:solidFill>
          </w14:textFill>
        </w:rPr>
        <w:t>内涵、说明、除外收费</w:t>
      </w:r>
      <w:r>
        <w:rPr>
          <w:rFonts w:hint="eastAsia" w:ascii="Times New Roman" w:hAnsi="Times New Roman" w:eastAsia="仿宋_GB2312" w:cs="Nimbus Roman"/>
          <w:color w:val="000000" w:themeColor="text1"/>
          <w:sz w:val="32"/>
          <w:szCs w:val="32"/>
          <w:lang w:eastAsia="zh-CN"/>
          <w14:textFill>
            <w14:solidFill>
              <w14:schemeClr w14:val="tx1"/>
            </w14:solidFill>
          </w14:textFill>
        </w:rPr>
        <w:t>、计价单位</w:t>
      </w:r>
      <w:r>
        <w:rPr>
          <w:rFonts w:hint="eastAsia" w:ascii="Times New Roman" w:hAnsi="Times New Roman" w:eastAsia="仿宋_GB2312" w:cs="Nimbus Roman"/>
          <w:color w:val="000000" w:themeColor="text1"/>
          <w:sz w:val="32"/>
          <w:szCs w:val="32"/>
          <w14:textFill>
            <w14:solidFill>
              <w14:schemeClr w14:val="tx1"/>
            </w14:solidFill>
          </w14:textFill>
        </w:rPr>
        <w:t>等内容进行修订完善</w:t>
      </w:r>
      <w:r>
        <w:rPr>
          <w:rFonts w:hint="eastAsia" w:ascii="Times New Roman" w:hAnsi="Times New Roman" w:eastAsia="仿宋_GB2312" w:cs="Nimbus Roman"/>
          <w:color w:val="000000" w:themeColor="text1"/>
          <w:sz w:val="32"/>
          <w:szCs w:val="32"/>
          <w:lang w:eastAsia="zh-CN"/>
          <w14:textFill>
            <w14:solidFill>
              <w14:schemeClr w14:val="tx1"/>
            </w14:solidFill>
          </w14:textFill>
        </w:rPr>
        <w:t>并制定项目价格，同时制定了</w:t>
      </w:r>
      <w:bookmarkStart w:id="0" w:name="_GoBack"/>
      <w:bookmarkEnd w:id="0"/>
      <w:r>
        <w:rPr>
          <w:rFonts w:hint="default" w:ascii="Times New Roman" w:hAnsi="Times New Roman" w:eastAsia="仿宋_GB2312" w:cs="Nimbus Roman"/>
          <w:b w:val="0"/>
          <w:i w:val="0"/>
          <w:snapToGrid/>
          <w:color w:val="000000"/>
          <w:sz w:val="32"/>
          <w:szCs w:val="32"/>
          <w:shd w:val="clear" w:fill="auto"/>
          <w:lang w:val="en-US" w:eastAsia="zh-CN" w:bidi="ar"/>
        </w:rPr>
        <w:t>“常规药敏定性试验”等30项</w:t>
      </w:r>
      <w:r>
        <w:rPr>
          <w:rFonts w:hint="eastAsia" w:ascii="Times New Roman" w:hAnsi="Times New Roman" w:eastAsia="仿宋_GB2312" w:cs="Nimbus Roman"/>
          <w:b w:val="0"/>
          <w:i w:val="0"/>
          <w:snapToGrid/>
          <w:color w:val="000000"/>
          <w:sz w:val="32"/>
          <w:szCs w:val="32"/>
          <w:shd w:val="clear" w:fill="auto"/>
          <w:lang w:val="en-US" w:eastAsia="zh-CN" w:bidi="ar"/>
        </w:rPr>
        <w:t>修订</w:t>
      </w:r>
      <w:r>
        <w:rPr>
          <w:rFonts w:hint="default" w:ascii="Times New Roman" w:hAnsi="Times New Roman" w:eastAsia="仿宋_GB2312" w:cs="Nimbus Roman"/>
          <w:b w:val="0"/>
          <w:i w:val="0"/>
          <w:snapToGrid/>
          <w:color w:val="000000"/>
          <w:sz w:val="32"/>
          <w:szCs w:val="32"/>
          <w:shd w:val="clear" w:fill="auto"/>
          <w:lang w:val="en-US" w:eastAsia="zh-CN" w:bidi="ar"/>
        </w:rPr>
        <w:t>医疗服务价格项目价格</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p>
    <w:p>
      <w:pPr>
        <w:spacing w:line="600" w:lineRule="exact"/>
        <w:ind w:firstLine="640" w:firstLineChars="200"/>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D6894"/>
    <w:multiLevelType w:val="multilevel"/>
    <w:tmpl w:val="616D6894"/>
    <w:lvl w:ilvl="0" w:tentative="0">
      <w:start w:val="1"/>
      <w:numFmt w:val="japaneseCounting"/>
      <w:lvlText w:val="%1、"/>
      <w:lvlJc w:val="left"/>
      <w:pPr>
        <w:ind w:left="1350" w:hanging="72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FBB1E6E"/>
    <w:rsid w:val="11114515"/>
    <w:rsid w:val="1182036D"/>
    <w:rsid w:val="11C71F12"/>
    <w:rsid w:val="11D3426A"/>
    <w:rsid w:val="16575D9C"/>
    <w:rsid w:val="17272996"/>
    <w:rsid w:val="1BA87379"/>
    <w:rsid w:val="1BBD5B28"/>
    <w:rsid w:val="1BC32AA9"/>
    <w:rsid w:val="1C7F79C9"/>
    <w:rsid w:val="1CFF70D1"/>
    <w:rsid w:val="1FEEA1F9"/>
    <w:rsid w:val="1FEF3AB2"/>
    <w:rsid w:val="21192AAA"/>
    <w:rsid w:val="217C0ED7"/>
    <w:rsid w:val="234D351C"/>
    <w:rsid w:val="277B360C"/>
    <w:rsid w:val="27AA1FE9"/>
    <w:rsid w:val="28925D46"/>
    <w:rsid w:val="28FF44AC"/>
    <w:rsid w:val="2B0319AF"/>
    <w:rsid w:val="2BEF7A55"/>
    <w:rsid w:val="2BFF7F4F"/>
    <w:rsid w:val="2F7782CD"/>
    <w:rsid w:val="2FDB8853"/>
    <w:rsid w:val="2FE39C71"/>
    <w:rsid w:val="3232438D"/>
    <w:rsid w:val="35144DB9"/>
    <w:rsid w:val="37740704"/>
    <w:rsid w:val="37D452D1"/>
    <w:rsid w:val="39457F60"/>
    <w:rsid w:val="39470B2A"/>
    <w:rsid w:val="39783F40"/>
    <w:rsid w:val="39DC6C22"/>
    <w:rsid w:val="3A324001"/>
    <w:rsid w:val="3ADFDA6A"/>
    <w:rsid w:val="3C156351"/>
    <w:rsid w:val="3CDF1EEC"/>
    <w:rsid w:val="3CEF5B74"/>
    <w:rsid w:val="3D3D4EC9"/>
    <w:rsid w:val="3DA3BB69"/>
    <w:rsid w:val="3E90085F"/>
    <w:rsid w:val="3F963D8F"/>
    <w:rsid w:val="3FDB8F39"/>
    <w:rsid w:val="3FE45593"/>
    <w:rsid w:val="40D573E7"/>
    <w:rsid w:val="4136427F"/>
    <w:rsid w:val="44003D81"/>
    <w:rsid w:val="47837708"/>
    <w:rsid w:val="4B1F0EF2"/>
    <w:rsid w:val="4BDFCA88"/>
    <w:rsid w:val="4E0538DC"/>
    <w:rsid w:val="5087164D"/>
    <w:rsid w:val="50D63AF7"/>
    <w:rsid w:val="524A3FB4"/>
    <w:rsid w:val="537E38FB"/>
    <w:rsid w:val="54534E5F"/>
    <w:rsid w:val="5663FDC4"/>
    <w:rsid w:val="57B9097D"/>
    <w:rsid w:val="58BF0736"/>
    <w:rsid w:val="5D347AD0"/>
    <w:rsid w:val="5DBE5856"/>
    <w:rsid w:val="5DCD9999"/>
    <w:rsid w:val="5F2E11C1"/>
    <w:rsid w:val="5FF701CC"/>
    <w:rsid w:val="5FFF38CA"/>
    <w:rsid w:val="601D24C2"/>
    <w:rsid w:val="63B975BD"/>
    <w:rsid w:val="67FF3FF0"/>
    <w:rsid w:val="69BEF020"/>
    <w:rsid w:val="69F60AE9"/>
    <w:rsid w:val="6B77C008"/>
    <w:rsid w:val="6BFEE0F0"/>
    <w:rsid w:val="6C2B319D"/>
    <w:rsid w:val="6CBFEDE3"/>
    <w:rsid w:val="6CFCEA0F"/>
    <w:rsid w:val="6F7B9B6B"/>
    <w:rsid w:val="6FCFF403"/>
    <w:rsid w:val="6FDF2C46"/>
    <w:rsid w:val="6FFC191E"/>
    <w:rsid w:val="71FF22F7"/>
    <w:rsid w:val="72BFC6BF"/>
    <w:rsid w:val="72DE698F"/>
    <w:rsid w:val="735F75D1"/>
    <w:rsid w:val="74EF03DF"/>
    <w:rsid w:val="757AFDA2"/>
    <w:rsid w:val="76790A7B"/>
    <w:rsid w:val="767F607C"/>
    <w:rsid w:val="769493BF"/>
    <w:rsid w:val="76ADE600"/>
    <w:rsid w:val="77A60D1A"/>
    <w:rsid w:val="7902148D"/>
    <w:rsid w:val="7925600D"/>
    <w:rsid w:val="79B7D700"/>
    <w:rsid w:val="7A3E7DCF"/>
    <w:rsid w:val="7A965476"/>
    <w:rsid w:val="7B4EA43E"/>
    <w:rsid w:val="7BFDFEBB"/>
    <w:rsid w:val="7BFE6220"/>
    <w:rsid w:val="7BFECA70"/>
    <w:rsid w:val="7BFFE282"/>
    <w:rsid w:val="7CEB0AC5"/>
    <w:rsid w:val="7D5D0E2B"/>
    <w:rsid w:val="7D65D63E"/>
    <w:rsid w:val="7E33A012"/>
    <w:rsid w:val="7E5D4D48"/>
    <w:rsid w:val="7E7FC47E"/>
    <w:rsid w:val="7EDB5E87"/>
    <w:rsid w:val="7EEF5A65"/>
    <w:rsid w:val="7F3D6956"/>
    <w:rsid w:val="7F3F227A"/>
    <w:rsid w:val="7F5FA603"/>
    <w:rsid w:val="7FD964A1"/>
    <w:rsid w:val="7FDDA412"/>
    <w:rsid w:val="7FDDECBD"/>
    <w:rsid w:val="7FEF5E64"/>
    <w:rsid w:val="7FFBD79D"/>
    <w:rsid w:val="7FFF0C37"/>
    <w:rsid w:val="9A5FCFF7"/>
    <w:rsid w:val="AEF242B6"/>
    <w:rsid w:val="B3FD8E97"/>
    <w:rsid w:val="B43F2C4F"/>
    <w:rsid w:val="B5FF2B61"/>
    <w:rsid w:val="BA37D40D"/>
    <w:rsid w:val="BB77F5AF"/>
    <w:rsid w:val="BBFF542D"/>
    <w:rsid w:val="BCB200FF"/>
    <w:rsid w:val="BF7F7491"/>
    <w:rsid w:val="BFDD2FB3"/>
    <w:rsid w:val="BFEFF2E6"/>
    <w:rsid w:val="BFF6A651"/>
    <w:rsid w:val="CFBA4FA0"/>
    <w:rsid w:val="D5FEB252"/>
    <w:rsid w:val="D74D3761"/>
    <w:rsid w:val="DD5BF2C9"/>
    <w:rsid w:val="DDF7E498"/>
    <w:rsid w:val="DDFE3B85"/>
    <w:rsid w:val="DEFF153A"/>
    <w:rsid w:val="DF9AE382"/>
    <w:rsid w:val="DFA3DEC3"/>
    <w:rsid w:val="DFD76C04"/>
    <w:rsid w:val="DFDB8958"/>
    <w:rsid w:val="DFFB1D92"/>
    <w:rsid w:val="E37FA25D"/>
    <w:rsid w:val="E3BE5657"/>
    <w:rsid w:val="E7FEFCA6"/>
    <w:rsid w:val="E9A94260"/>
    <w:rsid w:val="ED4CEE34"/>
    <w:rsid w:val="EF0F7CEB"/>
    <w:rsid w:val="F377CD8D"/>
    <w:rsid w:val="F378D4B5"/>
    <w:rsid w:val="F3FE534D"/>
    <w:rsid w:val="F4F74566"/>
    <w:rsid w:val="F4FEC093"/>
    <w:rsid w:val="F564839F"/>
    <w:rsid w:val="F76DB244"/>
    <w:rsid w:val="F7FD79F2"/>
    <w:rsid w:val="F7FEB75E"/>
    <w:rsid w:val="FBFF8FB6"/>
    <w:rsid w:val="FCFE0BC6"/>
    <w:rsid w:val="FDFEE767"/>
    <w:rsid w:val="FDFFC11E"/>
    <w:rsid w:val="FEEF9279"/>
    <w:rsid w:val="FF3DF7C1"/>
    <w:rsid w:val="FF7E0E19"/>
    <w:rsid w:val="FFA71897"/>
    <w:rsid w:val="FFAE0A70"/>
    <w:rsid w:val="FFD3E1F1"/>
    <w:rsid w:val="FFDD5F59"/>
    <w:rsid w:val="FFF94EDA"/>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Char Char Char Char1 Char Char Char"/>
    <w:basedOn w:val="1"/>
    <w:qFormat/>
    <w:uiPriority w:val="0"/>
    <w:rPr>
      <w:rFonts w:ascii="Times New Roman" w:hAnsi="Times New Roman" w:eastAsia="宋体" w:cs="Times New Roman"/>
      <w:szCs w:val="24"/>
    </w:rPr>
  </w:style>
  <w:style w:type="paragraph" w:styleId="7">
    <w:name w:val="List Paragraph"/>
    <w:basedOn w:val="1"/>
    <w:qFormat/>
    <w:uiPriority w:val="34"/>
    <w:pPr>
      <w:ind w:firstLine="420" w:firstLineChars="200"/>
    </w:p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0">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3</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2022-11-25T01:22:00Z</dcterms:created>
  <dc:creator>He Bingjie</dc:creator>
  <cp:lastModifiedBy>陈雪莹</cp:lastModifiedBy>
  <cp:lastPrinted>2024-03-30T14:18:00Z</cp:lastPrinted>
  <dcterms:modified xsi:type="dcterms:W3CDTF">2024-11-05T19:17:31Z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655C644113E8C1FDD1E95666D4D9F12B</vt:lpwstr>
  </property>
  <property fmtid="{D5CDD505-2E9C-101B-9397-08002B2CF9AE}" pid="5" name="showFlag">
    <vt:bool>true</vt:bool>
  </property>
  <property fmtid="{D5CDD505-2E9C-101B-9397-08002B2CF9AE}" pid="6" name="userName">
    <vt:lpwstr>陈小玲</vt:lpwstr>
  </property>
</Properties>
</file>