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24656">
      <w:pPr>
        <w:adjustRightInd w:val="0"/>
        <w:snapToGrid w:val="0"/>
        <w:jc w:val="left"/>
        <w:rPr>
          <w:rFonts w:ascii="Times New Roman" w:hAnsi="Times New Roman" w:eastAsia="黑体"/>
          <w:spacing w:val="10"/>
          <w:szCs w:val="32"/>
        </w:rPr>
      </w:pPr>
      <w:r>
        <w:rPr>
          <w:rFonts w:hint="eastAsia" w:ascii="黑体" w:hAnsi="黑体" w:eastAsia="黑体" w:cs="黑体"/>
          <w:snapToGrid w:val="0"/>
          <w:sz w:val="32"/>
          <w:szCs w:val="32"/>
          <w:lang w:eastAsia="zh-CN"/>
        </w:rPr>
        <w:t>附件</w:t>
      </w:r>
      <w:r>
        <w:rPr>
          <w:rFonts w:hint="eastAsia" w:ascii="黑体" w:hAnsi="黑体" w:eastAsia="黑体" w:cs="黑体"/>
          <w:snapToGrid w:val="0"/>
          <w:sz w:val="32"/>
          <w:szCs w:val="32"/>
          <w:lang w:val="en-US" w:eastAsia="zh-CN"/>
        </w:rPr>
        <w:t>2</w:t>
      </w:r>
    </w:p>
    <w:p w14:paraId="0C23D687">
      <w:pPr>
        <w:adjustRightInd w:val="0"/>
        <w:snapToGrid w:val="0"/>
        <w:spacing w:line="540" w:lineRule="exact"/>
        <w:rPr>
          <w:rFonts w:ascii="Times New Roman" w:hAnsi="Times New Roman" w:eastAsia="黑体"/>
          <w:spacing w:val="10"/>
          <w:szCs w:val="32"/>
        </w:rPr>
      </w:pPr>
    </w:p>
    <w:p w14:paraId="29801702">
      <w:pPr>
        <w:adjustRightInd w:val="0"/>
        <w:snapToGrid w:val="0"/>
        <w:spacing w:line="540" w:lineRule="exact"/>
        <w:jc w:val="center"/>
        <w:rPr>
          <w:rFonts w:hint="eastAsia" w:ascii="方正小标宋_GBK" w:hAnsi="方正小标宋_GBK" w:eastAsia="方正小标宋_GBK" w:cs="方正小标宋_GBK"/>
          <w:spacing w:val="10"/>
          <w:sz w:val="44"/>
          <w:szCs w:val="44"/>
        </w:rPr>
      </w:pPr>
      <w:r>
        <w:rPr>
          <w:rFonts w:hint="eastAsia" w:ascii="方正小标宋_GBK" w:hAnsi="方正小标宋_GBK" w:eastAsia="方正小标宋_GBK" w:cs="方正小标宋_GBK"/>
          <w:spacing w:val="10"/>
          <w:sz w:val="44"/>
          <w:szCs w:val="44"/>
        </w:rPr>
        <w:t>遂宁市</w:t>
      </w:r>
      <w:r>
        <w:rPr>
          <w:rFonts w:hint="default" w:ascii="Times New Roman" w:hAnsi="Times New Roman" w:eastAsia="方正小标宋_GBK" w:cs="Times New Roman"/>
          <w:spacing w:val="10"/>
          <w:sz w:val="44"/>
          <w:szCs w:val="44"/>
        </w:rPr>
        <w:t>2024</w:t>
      </w:r>
      <w:r>
        <w:rPr>
          <w:rFonts w:hint="eastAsia" w:ascii="方正小标宋_GBK" w:hAnsi="方正小标宋_GBK" w:eastAsia="方正小标宋_GBK" w:cs="方正小标宋_GBK"/>
          <w:spacing w:val="10"/>
          <w:sz w:val="44"/>
          <w:szCs w:val="44"/>
        </w:rPr>
        <w:t>年上半年转规医疗服务价格项目拟定价明细表</w:t>
      </w:r>
    </w:p>
    <w:tbl>
      <w:tblPr>
        <w:tblStyle w:val="3"/>
        <w:tblW w:w="15585" w:type="dxa"/>
        <w:tblInd w:w="-9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695"/>
        <w:gridCol w:w="2080"/>
        <w:gridCol w:w="3770"/>
        <w:gridCol w:w="1230"/>
        <w:gridCol w:w="1170"/>
        <w:gridCol w:w="1331"/>
        <w:gridCol w:w="694"/>
        <w:gridCol w:w="765"/>
        <w:gridCol w:w="675"/>
        <w:gridCol w:w="675"/>
        <w:gridCol w:w="750"/>
      </w:tblGrid>
      <w:tr w14:paraId="2C280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012E1F">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14:paraId="0980A920">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项目编码</w:t>
            </w:r>
          </w:p>
        </w:tc>
        <w:tc>
          <w:tcPr>
            <w:tcW w:w="2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1DE7A5A">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项目名称</w:t>
            </w:r>
          </w:p>
        </w:tc>
        <w:tc>
          <w:tcPr>
            <w:tcW w:w="377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FB4FA4">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项目内涵</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CC524A">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除外内容</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14:paraId="53B3B693">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lang w:eastAsia="zh-CN"/>
              </w:rPr>
            </w:pPr>
            <w:r>
              <w:rPr>
                <w:rFonts w:hint="eastAsia" w:ascii="黑体" w:hAnsi="黑体" w:eastAsia="黑体" w:cs="黑体"/>
                <w:b w:val="0"/>
                <w:bCs w:val="0"/>
                <w:i w:val="0"/>
                <w:iCs w:val="0"/>
                <w:color w:val="000000"/>
                <w:sz w:val="22"/>
                <w:szCs w:val="22"/>
                <w:u w:val="none"/>
                <w:lang w:eastAsia="zh-CN"/>
              </w:rPr>
              <w:t>计价单位</w:t>
            </w:r>
          </w:p>
        </w:tc>
        <w:tc>
          <w:tcPr>
            <w:tcW w:w="1331" w:type="dxa"/>
            <w:vMerge w:val="restart"/>
            <w:tcBorders>
              <w:top w:val="single" w:color="000000" w:sz="4" w:space="0"/>
              <w:left w:val="single" w:color="000000" w:sz="4" w:space="0"/>
              <w:bottom w:val="single" w:color="000000" w:sz="4" w:space="0"/>
              <w:right w:val="single" w:color="000000" w:sz="4" w:space="0"/>
            </w:tcBorders>
            <w:noWrap w:val="0"/>
            <w:vAlign w:val="center"/>
          </w:tcPr>
          <w:p w14:paraId="3FECC970">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计价说明</w:t>
            </w:r>
          </w:p>
        </w:tc>
        <w:tc>
          <w:tcPr>
            <w:tcW w:w="694" w:type="dxa"/>
            <w:vMerge w:val="restart"/>
            <w:tcBorders>
              <w:top w:val="single" w:color="000000" w:sz="4" w:space="0"/>
              <w:left w:val="single" w:color="000000" w:sz="4" w:space="0"/>
              <w:bottom w:val="single" w:color="000000" w:sz="4" w:space="0"/>
              <w:right w:val="single" w:color="000000" w:sz="4" w:space="0"/>
            </w:tcBorders>
            <w:noWrap w:val="0"/>
            <w:vAlign w:val="center"/>
          </w:tcPr>
          <w:p w14:paraId="532574BE">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三甲</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75F589">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三乙</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1612951">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二甲</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63AD11C">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二乙</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B52858">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二乙以下</w:t>
            </w:r>
          </w:p>
        </w:tc>
      </w:tr>
      <w:tr w14:paraId="6797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40A13">
            <w:pPr>
              <w:jc w:val="center"/>
              <w:rPr>
                <w:rFonts w:hint="default" w:ascii="方正宋黑简体" w:hAnsi="方正宋黑简体" w:eastAsia="方正宋黑简体" w:cs="方正宋黑简体"/>
                <w:b/>
                <w:bCs/>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A7FDF">
            <w:pPr>
              <w:jc w:val="center"/>
              <w:rPr>
                <w:rFonts w:hint="default" w:ascii="方正宋黑简体" w:hAnsi="方正宋黑简体" w:eastAsia="方正宋黑简体" w:cs="方正宋黑简体"/>
                <w:b/>
                <w:bCs/>
                <w:i w:val="0"/>
                <w:iCs w:val="0"/>
                <w:color w:val="000000"/>
                <w:sz w:val="22"/>
                <w:szCs w:val="22"/>
                <w:u w:val="none"/>
              </w:rPr>
            </w:pPr>
          </w:p>
        </w:tc>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ECABC4">
            <w:pPr>
              <w:jc w:val="center"/>
              <w:rPr>
                <w:rFonts w:hint="default" w:ascii="方正宋黑简体" w:hAnsi="方正宋黑简体" w:eastAsia="方正宋黑简体" w:cs="方正宋黑简体"/>
                <w:b/>
                <w:bCs/>
                <w:i w:val="0"/>
                <w:iCs w:val="0"/>
                <w:color w:val="000000"/>
                <w:sz w:val="22"/>
                <w:szCs w:val="22"/>
                <w:u w:val="none"/>
              </w:rPr>
            </w:pPr>
          </w:p>
        </w:tc>
        <w:tc>
          <w:tcPr>
            <w:tcW w:w="3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57884">
            <w:pPr>
              <w:jc w:val="center"/>
              <w:rPr>
                <w:rFonts w:hint="default" w:ascii="方正宋黑简体" w:hAnsi="方正宋黑简体" w:eastAsia="方正宋黑简体" w:cs="方正宋黑简体"/>
                <w:b/>
                <w:bCs/>
                <w:i w:val="0"/>
                <w:iCs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5DFC7">
            <w:pPr>
              <w:jc w:val="center"/>
              <w:rPr>
                <w:rFonts w:hint="default" w:ascii="方正宋黑简体" w:hAnsi="方正宋黑简体" w:eastAsia="方正宋黑简体" w:cs="方正宋黑简体"/>
                <w:b/>
                <w:bCs/>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979D3">
            <w:pPr>
              <w:jc w:val="center"/>
              <w:rPr>
                <w:rFonts w:hint="default" w:ascii="方正宋黑简体" w:hAnsi="方正宋黑简体" w:eastAsia="方正宋黑简体" w:cs="方正宋黑简体"/>
                <w:b/>
                <w:bCs/>
                <w:i w:val="0"/>
                <w:iCs w:val="0"/>
                <w:color w:val="000000"/>
                <w:sz w:val="22"/>
                <w:szCs w:val="22"/>
                <w:u w:val="none"/>
              </w:rPr>
            </w:pPr>
          </w:p>
        </w:tc>
        <w:tc>
          <w:tcPr>
            <w:tcW w:w="13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5C5BE">
            <w:pPr>
              <w:jc w:val="center"/>
              <w:rPr>
                <w:rFonts w:hint="default" w:ascii="方正宋黑简体" w:hAnsi="方正宋黑简体" w:eastAsia="方正宋黑简体" w:cs="方正宋黑简体"/>
                <w:b/>
                <w:bCs/>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793FF7">
            <w:pPr>
              <w:jc w:val="center"/>
              <w:rPr>
                <w:rFonts w:hint="eastAsia" w:ascii="黑体" w:hAnsi="宋体" w:eastAsia="黑体" w:cs="黑体"/>
                <w:i w:val="0"/>
                <w:iCs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E2F3F">
            <w:pPr>
              <w:jc w:val="center"/>
              <w:rPr>
                <w:rFonts w:hint="eastAsia" w:ascii="黑体" w:hAnsi="宋体" w:eastAsia="黑体" w:cs="黑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89AF3">
            <w:pPr>
              <w:jc w:val="center"/>
              <w:rPr>
                <w:rFonts w:hint="eastAsia" w:ascii="黑体" w:hAnsi="宋体" w:eastAsia="黑体" w:cs="黑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E5198">
            <w:pPr>
              <w:jc w:val="center"/>
              <w:rPr>
                <w:rFonts w:hint="eastAsia" w:ascii="黑体" w:hAnsi="宋体" w:eastAsia="黑体" w:cs="黑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BB12EB">
            <w:pPr>
              <w:jc w:val="center"/>
              <w:rPr>
                <w:rFonts w:hint="eastAsia" w:ascii="黑体" w:hAnsi="宋体" w:eastAsia="黑体" w:cs="黑体"/>
                <w:i w:val="0"/>
                <w:iCs w:val="0"/>
                <w:color w:val="000000"/>
                <w:sz w:val="22"/>
                <w:szCs w:val="22"/>
                <w:u w:val="none"/>
              </w:rPr>
            </w:pPr>
          </w:p>
        </w:tc>
      </w:tr>
      <w:tr w14:paraId="4872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785EB">
            <w:pPr>
              <w:jc w:val="center"/>
              <w:rPr>
                <w:rFonts w:hint="default" w:ascii="方正宋黑简体" w:hAnsi="方正宋黑简体" w:eastAsia="方正宋黑简体" w:cs="方正宋黑简体"/>
                <w:b/>
                <w:bCs/>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B5D74">
            <w:pPr>
              <w:jc w:val="center"/>
              <w:rPr>
                <w:rFonts w:hint="default" w:ascii="方正宋黑简体" w:hAnsi="方正宋黑简体" w:eastAsia="方正宋黑简体" w:cs="方正宋黑简体"/>
                <w:b/>
                <w:bCs/>
                <w:i w:val="0"/>
                <w:iCs w:val="0"/>
                <w:color w:val="000000"/>
                <w:sz w:val="22"/>
                <w:szCs w:val="22"/>
                <w:u w:val="none"/>
              </w:rPr>
            </w:pPr>
          </w:p>
        </w:tc>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D2ECC">
            <w:pPr>
              <w:jc w:val="center"/>
              <w:rPr>
                <w:rFonts w:hint="default" w:ascii="方正宋黑简体" w:hAnsi="方正宋黑简体" w:eastAsia="方正宋黑简体" w:cs="方正宋黑简体"/>
                <w:b/>
                <w:bCs/>
                <w:i w:val="0"/>
                <w:iCs w:val="0"/>
                <w:color w:val="000000"/>
                <w:sz w:val="22"/>
                <w:szCs w:val="22"/>
                <w:u w:val="none"/>
              </w:rPr>
            </w:pPr>
          </w:p>
        </w:tc>
        <w:tc>
          <w:tcPr>
            <w:tcW w:w="3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0B43D">
            <w:pPr>
              <w:jc w:val="center"/>
              <w:rPr>
                <w:rFonts w:hint="default" w:ascii="方正宋黑简体" w:hAnsi="方正宋黑简体" w:eastAsia="方正宋黑简体" w:cs="方正宋黑简体"/>
                <w:b/>
                <w:bCs/>
                <w:i w:val="0"/>
                <w:iCs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350FC">
            <w:pPr>
              <w:jc w:val="center"/>
              <w:rPr>
                <w:rFonts w:hint="default" w:ascii="方正宋黑简体" w:hAnsi="方正宋黑简体" w:eastAsia="方正宋黑简体" w:cs="方正宋黑简体"/>
                <w:b/>
                <w:bCs/>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EF259">
            <w:pPr>
              <w:jc w:val="center"/>
              <w:rPr>
                <w:rFonts w:hint="default" w:ascii="方正宋黑简体" w:hAnsi="方正宋黑简体" w:eastAsia="方正宋黑简体" w:cs="方正宋黑简体"/>
                <w:b/>
                <w:bCs/>
                <w:i w:val="0"/>
                <w:iCs w:val="0"/>
                <w:color w:val="000000"/>
                <w:sz w:val="22"/>
                <w:szCs w:val="22"/>
                <w:u w:val="none"/>
              </w:rPr>
            </w:pPr>
          </w:p>
        </w:tc>
        <w:tc>
          <w:tcPr>
            <w:tcW w:w="13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D3CB30">
            <w:pPr>
              <w:jc w:val="center"/>
              <w:rPr>
                <w:rFonts w:hint="default" w:ascii="方正宋黑简体" w:hAnsi="方正宋黑简体" w:eastAsia="方正宋黑简体" w:cs="方正宋黑简体"/>
                <w:b/>
                <w:bCs/>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92114">
            <w:pPr>
              <w:jc w:val="center"/>
              <w:rPr>
                <w:rFonts w:hint="eastAsia" w:ascii="黑体" w:hAnsi="宋体" w:eastAsia="黑体" w:cs="黑体"/>
                <w:i w:val="0"/>
                <w:iCs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847BE">
            <w:pPr>
              <w:jc w:val="center"/>
              <w:rPr>
                <w:rFonts w:hint="eastAsia" w:ascii="黑体" w:hAnsi="宋体" w:eastAsia="黑体" w:cs="黑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12729">
            <w:pPr>
              <w:jc w:val="center"/>
              <w:rPr>
                <w:rFonts w:hint="eastAsia" w:ascii="黑体" w:hAnsi="宋体" w:eastAsia="黑体" w:cs="黑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7B040D">
            <w:pPr>
              <w:jc w:val="center"/>
              <w:rPr>
                <w:rFonts w:hint="eastAsia" w:ascii="黑体" w:hAnsi="宋体" w:eastAsia="黑体" w:cs="黑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9E60F">
            <w:pPr>
              <w:jc w:val="center"/>
              <w:rPr>
                <w:rFonts w:hint="eastAsia" w:ascii="黑体" w:hAnsi="宋体" w:eastAsia="黑体" w:cs="黑体"/>
                <w:i w:val="0"/>
                <w:iCs w:val="0"/>
                <w:color w:val="000000"/>
                <w:sz w:val="22"/>
                <w:szCs w:val="22"/>
                <w:u w:val="none"/>
              </w:rPr>
            </w:pPr>
          </w:p>
        </w:tc>
      </w:tr>
      <w:tr w14:paraId="121A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2845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r>
              <w:rPr>
                <w:rFonts w:hint="eastAsia" w:ascii="宋体" w:hAnsi="宋体" w:eastAsia="宋体" w:cs="宋体"/>
                <w:i w:val="0"/>
                <w:iCs w:val="0"/>
                <w:color w:val="000000"/>
                <w:kern w:val="0"/>
                <w:sz w:val="22"/>
                <w:szCs w:val="22"/>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39CE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210300001-6</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424C3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320排（640层）动态容积CT平扫</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09D5B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包括128排（256层）动态容积CT平扫</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9E161D9">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3047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DE5A47B">
            <w:pP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39651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3E46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885B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D4A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9590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r>
      <w:tr w14:paraId="5137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30A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0AB3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210300002-4</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BF30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320排（640层）动态容积CT增强扫描</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0FE7E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包括128排（256层）动态容积CT增强扫描</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43FDB43">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9241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每个部位</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F4DD6F8">
            <w:pP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4493D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5ECC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7D07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9B4F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4383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174 </w:t>
            </w:r>
          </w:p>
        </w:tc>
      </w:tr>
      <w:tr w14:paraId="2776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8A4C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72DF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MBBZX003</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E872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持续性被动关节活动范围训练（CPM）</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4A9F9C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利用持续被动关节活动范围训练专用设备，对患者肩、肘、腕、髋、膝、踝关节，设定持续被动关节活动范围训练的时间、阻力、速度和间歇时间等参数，在监测的状况下，进行被动关节活动范围训练。</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8B5B284">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D889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BA1F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治疗师1；耗时30分钟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2621A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F538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FC50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2426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589E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r>
      <w:tr w14:paraId="4880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D8A5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9439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MBZRG002</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1F1E4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肠道功能训练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6D0C5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治疗师对患者腹部及其周围部位通过手法进行被动的、辅助的放松和相应的刺激，加强患者肠道蠕动和排空。</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5404582">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0CD5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4F62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治疗师1名；耗时20分钟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7E027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9B39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8D43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F17B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65FC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r>
      <w:tr w14:paraId="755F0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1052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1EF2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PBCD1502</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11CD7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砭石治疗</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1EE0F1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服务产出：由医务人员使用砭石等同类功能的器具，通过各类手法作用在人体各部位，以发挥促进疏通疏通经络、活血理气等各类作用。</w:t>
            </w:r>
          </w:p>
          <w:p w14:paraId="4E4CA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价格构成：所定价格涵盖局部消莓，确定部位、运用点、压、揉、雄、刮、擦等各类手法，清洁，处理用物所需的人力资源和基本物质资源消耗，含设备投入及维护成本。</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704CD07">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D320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62E093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0-6周岁儿童加收20%</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7EE4B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01E0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FC0D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B9ED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5116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r>
      <w:tr w14:paraId="6E52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1101D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06EF5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PBCD1502-1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72398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砭石疗法（0-6周岁儿童加收）</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4EBDB8E3">
            <w:pPr>
              <w:rPr>
                <w:rFonts w:hint="eastAsia" w:ascii="宋体" w:hAnsi="宋体" w:eastAsia="宋体" w:cs="宋体"/>
                <w:i w:val="0"/>
                <w:iCs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224C884">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40A2E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4687C138">
            <w:pP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048A71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AD9A8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E609D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E2627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10AD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1737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E00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499C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MACZY003</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60C2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动静态平衡功能评定</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17EBE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治疗师利用动静态平衡训练系统对患者进行智能化、情景互动化平衡功能定量、精确评定。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B0F793C">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1DD8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44C70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治疗师2名；耗时1--2小时</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F0A9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347D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9763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32FE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382E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 </w:t>
            </w:r>
          </w:p>
        </w:tc>
      </w:tr>
      <w:tr w14:paraId="78CA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613F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0000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MBDZX008</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F72EF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发声障碍训练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087C6A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通过体位与呼吸功能的改善训练、放松训练、持续发声训练，改善异常音调、音量、音质训练以及正确用声方法的指导和发声障碍后的治疗。</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C18D070">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8042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DAAF0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治疗师1；耗时20分钟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6A7E0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0493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C3EB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EFDC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496D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r>
      <w:tr w14:paraId="0A8C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512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589B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MBBZX012</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6C3E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功率自行车康复训练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39B87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治疗师根据患者具体情况，采用可调速度、可调功率的功率车对患者进行康复训练。训练中对心率进行监测。</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83A502D">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F143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B21E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治疗师1；耗时30分钟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22675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9D13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4143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A4F9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D875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r>
      <w:tr w14:paraId="48345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BDA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E448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MAGAZ003</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FE852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构音障碍筛查</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332C3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使用构音障碍筛查表对患者进行会话、单词检查、喉功能检查、构音器官等方面的测查，人工报告。</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73D6ECA">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B059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1A8F1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医1/治疗师1；耗时20-30分钟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461BA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87A3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292E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269F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ED7E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r>
      <w:tr w14:paraId="40A8B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B5D4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1697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LEBZX046</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A67D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骨质疏松治疗</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3624C1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采用骨质疏松治疗仪，预防骨质疏松，治疗骨质疏松症。</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73366F5">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93C1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4E6DF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FD1E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FFF7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2BF6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62B7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C6F0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 </w:t>
            </w:r>
          </w:p>
        </w:tc>
      </w:tr>
      <w:tr w14:paraId="05BB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05CA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4BD5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MABX7002</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3CA47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关节活动度测定</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6FD10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治疗师利用三维关节活动测量仪的方式，摆放不同体位，让患者被动或主动地进行关节活动，根据动作完成的状况与质量，利用传感器准确地摆放传感器的位置，记录关节的活动度。人工报告。</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1440D72">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9DC9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D022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治疗师2；耗时20分钟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79170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8873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731F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E104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EE74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 </w:t>
            </w:r>
          </w:p>
        </w:tc>
      </w:tr>
      <w:tr w14:paraId="2B7E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6E3C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C8B0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MBBZX023</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5DD65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肌力训练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4D14D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治疗师利用各种力量训练器增强患者不同部位的肌肉力量，如股四头肌训练器等。</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8858FEC">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0F05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B30F9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72FF4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7C73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FBD6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B934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6B43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r>
      <w:tr w14:paraId="68774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2A7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D88D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LEEZX006</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6F1E6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经颅重复磁刺激治疗</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53ABF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治疗师利用经颅磁刺激仪技术刺激患者中枢神经系统。对精神、神经、慢性疼痛、慢性疲劳、认知障碍、儿童发育缺陷等疾病具备良好治疗效果。</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1EE3E90">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59C0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8B5DD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治疗师1名；耗时20分钟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05482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548E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5230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BF80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6CBE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r>
      <w:tr w14:paraId="29EF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8AF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41EB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MBDZX014</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1D093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口肌训练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33BD93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治疗师利用主动口肌训练、被动口肌训练、感知训练提高口部肌肉的感知、力度、控制活动能力使各种口肌功能正常化。</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0502C63">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7E9E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F9DD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治疗师1名；耗时20分钟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63B71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3E51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14BE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1D04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F41B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r>
      <w:tr w14:paraId="49DF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C708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BC78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LEEZX007</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6C2CB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脑磁治疗</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69CFD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治疗师利用脑磁治疗仪系统对以下病种进行治疗：1缺血性脑血管病 ：脑血栓形成  腔隙性梗塞  脑供血不足  脑动脉硬化。2脑损伤性疾病：颅脑损伤 脑出血的恢复期  颅脑术后需要脑功能康复者 癫痫病  小儿脑瘫功能恢复。3精神障碍 神经性头痛  失眠  脑疲劳综合症。</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97B2D7F">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73B5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9C757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治疗师1名；耗时20分钟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4AEDB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1482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2A21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3928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55F1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 </w:t>
            </w:r>
          </w:p>
        </w:tc>
      </w:tr>
      <w:tr w14:paraId="7021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CBD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64E4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MBBZX011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5472B8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跑台康复训练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22132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治疗师根据患者具体情况，采用可调速度、可调坡度的康复训练跑台对患者进行康复训练。</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696A779">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804B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3DA22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治疗师1；耗时30分钟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DF70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036E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5E0D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3D56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DB0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r>
      <w:tr w14:paraId="01AD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C2D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7101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MAKZY002</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0740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器械职业能力评定</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311C89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利用仪器或器械模拟进行与职业功能状态相关的技术能力评定，含对患者日常生活中与职业相关的各种运动技能和操作技能的评定。人工报告。</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6FF978F">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F1AE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978A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治疗师1；耗时30分钟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49D51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0200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D8E1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185E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FDA8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r>
      <w:tr w14:paraId="2408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5CAD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9792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MBKZX009</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191D12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情景互动训练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0FC0ED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治疗师利用情景互动训练仪，根据患者存在的功能障碍情况，选择训练配件，利用视觉、声觉的反馈进行运动、认知的训练。</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0958F7B">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9E6F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4DAE3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621F4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8605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00A8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69B6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117E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r>
      <w:tr w14:paraId="77B8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2638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43FB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MBKZX010</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632BD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躯体智能作业系统训练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6C211C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利用BTE智能训练系统，对患者作出准确评估后设定相应训练程序。针对性的恢复患者的肌力、耐力、移动、四肢控制及心肺功能，逐步恢复患者的职业能力与水平。甚至可以用于正常特殊工种人群的身体机能训练。</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680C9FE">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1E3E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5B77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6A2C4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EE3F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78A7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8C14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5DAE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 </w:t>
            </w:r>
          </w:p>
        </w:tc>
      </w:tr>
      <w:tr w14:paraId="1D589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F6D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0CF6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MBKZX008</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C7C3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人机界面训练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684ED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治疗师利用多媒体设备，对患者进行情景互动训练，增强患者的运动功能和能力</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B9F3084">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3E99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4D587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治疗师1名；耗时30-45分钟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0EB29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0351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5C90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08B9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F43C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 </w:t>
            </w:r>
          </w:p>
        </w:tc>
      </w:tr>
      <w:tr w14:paraId="4D17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AED6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8EA5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MAGAZ021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25C30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认知-学习能力评定</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51C18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是指治疗师运用认知知觉功能障碍评估系统对患者进行包括记忆、语言、视空间、执行、计算和理解判断等方面进行测试，并通过患者的表现，结合临床诊断和测试结果进行总结，判断出患者的认知水平。</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0427EEC">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3106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1DA9F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治疗师1名；耗时1.5小时</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0A94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071E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EAD9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F39D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1030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 </w:t>
            </w:r>
          </w:p>
        </w:tc>
      </w:tr>
      <w:tr w14:paraId="09314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637B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384A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MABXA004</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5397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三维步态分析检查</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5DE8D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步态分析系统进行检查操作，在躯干、骨盆、髋、膝、踝及第5趾骨等关节处贴标志点，采集步态视频，图像后处理，对步行速度、站立相与摆动相比例百分比，步长、步态对称性，步行周期中各环节特征识别，步宽、下肢诸关节运动曲线及数据进行处理分析。图文报告。</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5F53797">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607B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BDED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治疗师2-3；耗时1.5小时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27496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DA30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0555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59B1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AE00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 </w:t>
            </w:r>
          </w:p>
        </w:tc>
      </w:tr>
      <w:tr w14:paraId="7172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B496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FB84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MBBZX020</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6441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上下肢协调功能训练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72175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治疗师根据患者病情不同，让患者上肢运动带动下肢运动，促进患者下肢力量提升与上下肢协调运动。</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F5CE9F0">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1FA5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6625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治疗师1名；耗时20分钟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7995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3010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18F8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5469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7DD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 </w:t>
            </w:r>
          </w:p>
        </w:tc>
      </w:tr>
      <w:tr w14:paraId="43EB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AB6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C897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MBKZX011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CAB2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上肢智能反馈训练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42151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运用计算机技术实时模拟上肢运动规律，配备可调节的上肢支撑系统，配套训练软件提供的吸引力和激励性游戏，针对上肢某一关节进行特定训练。对患者产生实时的、针对性的运动信息反馈，使患者主动参与训练。</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9A7CE98">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5EA1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F711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治疗师1名；耗时35分钟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7327F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82AA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C436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1D62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0FC3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 </w:t>
            </w:r>
          </w:p>
        </w:tc>
      </w:tr>
      <w:tr w14:paraId="1A4E3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2A0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6DC0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MBFZX004</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1C779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视觉感觉统合训练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223A9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治疗师利用一整套先进视觉、感觉统合训练系统对儿童康复患者进行感觉、视觉、知觉等高级功能训练。</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1C23D03">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DC1F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ACB4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治疗师1--2名；时间30分钟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33FCB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519B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7981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D21B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D895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r>
      <w:tr w14:paraId="089CC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F526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1AB4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MBDZX011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53814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视听音乐综合训练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346E5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治疗师利用视听音乐综合训练系统，通过视觉、听觉刺激改变受训者的情绪以，调节神经兴奋性，促进受训者的认知能力，情绪控制能力的提升。</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E31CAC0">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A3FE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EDFA1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7A123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5A52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63D8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4A7E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556F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r>
      <w:tr w14:paraId="7162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E26B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5D90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MBBZX022</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5F8B1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体适能训练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1F0DE9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治疗师利用徒手或简单器材，通过综合性地组织有氧训练、力量训练、耐力训练和整理活动等，增强和改善患者的体适能。</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D589395">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9AAC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D42BA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治疗师1名；耗时20分钟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37D2C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84FB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5090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7EC1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3B71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r>
      <w:tr w14:paraId="66D8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336A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FE03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MAGAZ020</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28DD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听觉能力评定</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47C06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评估患者的自然环境声，声母、韵母、声调，单音节词，双音节词，三音节词和短句的识别率，以及在嘈杂环境中对语音的识别率。</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DA6FD3F">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2EBF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1609FC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治疗师1名；耗时1.5小时</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279E9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1547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6DC7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9BBC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8C9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 </w:t>
            </w:r>
          </w:p>
        </w:tc>
      </w:tr>
      <w:tr w14:paraId="5458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CEB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04B1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MBDZX010</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D7AC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吞咽障碍电刺激训练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0AD90F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利用电刺激治疗仪对患者的吞咽肌群进行低频电刺激，同时进行冰刺激、舌唇、下颌运动训练、进食训练。</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7328BF1">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6C47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C639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治疗师1；耗时40分钟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2AEAA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74CB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19DE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EDA5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0474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 </w:t>
            </w:r>
          </w:p>
        </w:tc>
      </w:tr>
      <w:tr w14:paraId="47C61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2EDA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8702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MBBZX021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FBEE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下肢功能步行反馈训练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10D63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治疗师利用下肢康复器械对不同原因导致的步行功能障碍的患者进行步行反馈训练</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BD9E11F">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16C9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0DAE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治疗师2名；耗时30分钟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B03E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F7AB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39CC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BE2A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7452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 </w:t>
            </w:r>
          </w:p>
        </w:tc>
      </w:tr>
      <w:tr w14:paraId="5CB7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7B53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2D8E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MAGAZ018</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37CF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言语测量</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6A55E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治疗师利用实时言语测量仪，采用人机对话的形式，寓教于乐，对言语呼吸功能的实时测量与训练。</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3350FFF">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9DE2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5918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63EBC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1787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DF79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7ACB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4338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r>
      <w:tr w14:paraId="33C3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879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C31C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MBDZZ001</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25528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言语矫正治疗</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242620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言语治疗医师对患者呼吸功能评估、发声功能评估、共鸣功能评估和构音功能进行有针对性的训练和矫正，可通过计算机软件，患者应用耳机和麦克风，通过人机对话方式进行训练。</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1715E94">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46AF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1D2AC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治疗师1；耗时30分钟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E5CA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E07A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87C3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2EFE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5DF3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r>
      <w:tr w14:paraId="6B41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C3B9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E73C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MAGAZ019</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58D0F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语言能力评定</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19EC18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照正常幼儿在各年龄段上的语言发育指标，对患儿进行包括词汇量、模仿句长、听话识图、看图说话、主题对话、语音清晰度六项以了解小儿掌握的词汇量、语法能力、理解能力、表达能力、言语使用及发音水平能力等。</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0E0C56E">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CF7C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E7B3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治疗师1名；耗时60分钟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39B64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67C1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2FD3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EF6F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3E08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 </w:t>
            </w:r>
          </w:p>
        </w:tc>
      </w:tr>
      <w:tr w14:paraId="74AF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4AB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BE36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MBDZX012</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61F0FC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言语语言综合训练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06DCBC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治疗师利用言语语言综合训练系统对各类言语障碍的患者进行治疗与训练。</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90058B0">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BDAB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CE35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0DDD9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BFEC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E52C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13B8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7E96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r>
      <w:tr w14:paraId="0EE0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5B7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ADD1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MBDZX015</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7272B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音乐疗法</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0CDFB1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通过同频率的音乐，帮助如自闭症患者调整身体状况，改进孤僻的生活状态，减少抵触心理；通过评估及计划制定与实施，可改善特殊人群（儿童与成人）的肢体、情绪、认知等社会功能，消除不良症状，提高自我觉察力。</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FCFC0A0">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C11F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44E2F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9298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D49A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5B3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A1ED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1CEA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r>
      <w:tr w14:paraId="0E2D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B18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5BF2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MBDZX013</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1F20F5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早期语言干预训练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3BC255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早期语言评估与训练系统，进行非语言沟通能力的训练、前语言阶段的辅助沟通能力训练功能，词语、词组、句子、短文理解与表达能力的训练，电声门图发声训练。可根据语言及韵律功能评估标准提供个别化康复建议。采用单一被试技术对言语康复效果进行全程监控。</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8131484">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00A9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A3827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治疗师1名；耗时30分钟</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425E8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DE7F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53CA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8539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878A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r>
      <w:tr w14:paraId="71AA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D2FC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EA7D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MBBZX024</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7572A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智能步态训练</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5457C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治疗师利用康复机器人、情景模拟及减重训练系统对成人患者进行下肢主被动步态训练。</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2040A18">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413C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43C15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治疗师2名；耗时30分钟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03F71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48EC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5466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C755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1F5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 </w:t>
            </w:r>
          </w:p>
        </w:tc>
      </w:tr>
      <w:tr w14:paraId="174BE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719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25A9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MAMZY006</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9D805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咨询与培训</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187162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治疗师对患者或其家属进行康复相关常识的培训，增强其对康复的正确认识，以便更好地开展家庭康复。</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90032DD">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65FA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BFFC3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治疗师1名；耗时30分钟</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4DEB1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61DF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AE8C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A77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08F5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r>
    </w:tbl>
    <w:p w14:paraId="7EFEC66C">
      <w:pPr>
        <w:rPr>
          <w:rFonts w:hint="eastAsia" w:ascii="宋体" w:hAnsi="宋体" w:eastAsia="宋体" w:cs="宋体"/>
        </w:rPr>
      </w:pPr>
    </w:p>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3D334D-84E9-404C-8161-350AFD861A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AA7F6D56-5CE6-482C-9409-DBA54A4DA8FB}"/>
  </w:font>
  <w:font w:name="方正宋黑简体">
    <w:altName w:val="宋体"/>
    <w:panose1 w:val="00000000000000000000"/>
    <w:charset w:val="00"/>
    <w:family w:val="auto"/>
    <w:pitch w:val="default"/>
    <w:sig w:usb0="00000000" w:usb1="00000000" w:usb2="00000000" w:usb3="00000000" w:csb0="00040001" w:csb1="00000000"/>
    <w:embedRegular r:id="rId3" w:fontKey="{F7F40285-C88A-44B3-B3C3-0E0211CBE84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NWQyNjM5MWE4NzUwNmY4NDJmNzVkY2IzZjY1NTUifQ=="/>
  </w:docVars>
  <w:rsids>
    <w:rsidRoot w:val="6FCF49EF"/>
    <w:rsid w:val="6FCF4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2024-11-01T06:28:00Z</dcterms:created>
  <dc:creator>123321</dc:creator>
  <cp:lastModifiedBy>123321</cp:lastModifiedBy>
  <dcterms:modified xsi:type="dcterms:W3CDTF">2024-11-01T06:28:46Z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90543F63C9BF46169DE8901DE14E38F0_11</vt:lpwstr>
  </property>
</Properties>
</file>