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031FAF">
      <w:pPr>
        <w:pStyle w:val="8"/>
        <w:ind w:firstLine="0"/>
        <w:rPr>
          <w:rFonts w:eastAsia="方正小标宋简体"/>
          <w:b/>
          <w:bCs/>
          <w:sz w:val="44"/>
          <w:szCs w:val="44"/>
          <w:highlight w:val="none"/>
          <w:lang w:bidi="ar"/>
        </w:rPr>
      </w:pPr>
    </w:p>
    <w:p w14:paraId="427A7A7D">
      <w:pPr>
        <w:pStyle w:val="8"/>
        <w:ind w:firstLine="0"/>
        <w:rPr>
          <w:rFonts w:eastAsia="方正小标宋简体"/>
          <w:b/>
          <w:bCs/>
          <w:sz w:val="44"/>
          <w:szCs w:val="44"/>
          <w:highlight w:val="none"/>
          <w:lang w:bidi="ar"/>
        </w:rPr>
      </w:pPr>
    </w:p>
    <w:p w14:paraId="65EDBB05">
      <w:pPr>
        <w:pStyle w:val="8"/>
        <w:ind w:firstLine="0"/>
        <w:rPr>
          <w:rFonts w:eastAsia="方正小标宋简体"/>
          <w:b/>
          <w:bCs/>
          <w:sz w:val="44"/>
          <w:szCs w:val="44"/>
          <w:highlight w:val="none"/>
          <w:lang w:bidi="ar"/>
        </w:rPr>
      </w:pPr>
      <w:bookmarkStart w:id="1" w:name="_GoBack"/>
    </w:p>
    <w:bookmarkEnd w:id="1"/>
    <w:p w14:paraId="27C8429D">
      <w:pPr>
        <w:pStyle w:val="8"/>
        <w:ind w:firstLine="0"/>
        <w:rPr>
          <w:rFonts w:eastAsia="方正小标宋简体"/>
          <w:b/>
          <w:bCs/>
          <w:sz w:val="44"/>
          <w:szCs w:val="44"/>
          <w:highlight w:val="none"/>
          <w:lang w:bidi="ar"/>
        </w:rPr>
      </w:pPr>
    </w:p>
    <w:p w14:paraId="2001B776">
      <w:pPr>
        <w:pStyle w:val="8"/>
        <w:ind w:firstLine="0"/>
        <w:rPr>
          <w:rFonts w:eastAsia="方正小标宋简体"/>
          <w:b/>
          <w:bCs/>
          <w:sz w:val="44"/>
          <w:szCs w:val="44"/>
          <w:highlight w:val="none"/>
          <w:lang w:bidi="ar"/>
        </w:rPr>
      </w:pPr>
    </w:p>
    <w:p w14:paraId="23584EC8">
      <w:pPr>
        <w:pStyle w:val="8"/>
        <w:ind w:firstLine="0"/>
        <w:rPr>
          <w:rFonts w:eastAsia="方正小标宋简体"/>
          <w:b/>
          <w:bCs/>
          <w:sz w:val="44"/>
          <w:szCs w:val="44"/>
          <w:highlight w:val="none"/>
          <w:lang w:bidi="ar"/>
        </w:rPr>
      </w:pPr>
    </w:p>
    <w:p w14:paraId="49AC4DC6">
      <w:pPr>
        <w:spacing w:line="600" w:lineRule="exact"/>
        <w:jc w:val="center"/>
        <w:rPr>
          <w:rFonts w:hint="eastAsia" w:ascii="Times New Roman" w:hAnsi="Times New Roman" w:eastAsia="方正小标宋简体" w:cs="Times New Roman"/>
          <w:b/>
          <w:bCs/>
          <w:kern w:val="0"/>
          <w:sz w:val="52"/>
          <w:szCs w:val="52"/>
          <w:highlight w:val="none"/>
          <w:lang w:bidi="ar"/>
        </w:rPr>
      </w:pPr>
      <w:r>
        <w:rPr>
          <w:rFonts w:hint="eastAsia" w:ascii="Times New Roman" w:hAnsi="Times New Roman" w:eastAsia="方正小标宋简体" w:cs="Times New Roman"/>
          <w:b/>
          <w:bCs/>
          <w:kern w:val="0"/>
          <w:sz w:val="52"/>
          <w:szCs w:val="52"/>
          <w:highlight w:val="none"/>
          <w:lang w:bidi="ar"/>
        </w:rPr>
        <w:t>京津冀</w:t>
      </w:r>
      <w:bookmarkStart w:id="0" w:name="_Hlk143954439"/>
      <w:r>
        <w:rPr>
          <w:rFonts w:ascii="Times New Roman" w:hAnsi="Times New Roman" w:eastAsia="方正小标宋简体" w:cs="Times New Roman"/>
          <w:b/>
          <w:bCs/>
          <w:sz w:val="52"/>
          <w:szCs w:val="52"/>
          <w:highlight w:val="none"/>
        </w:rPr>
        <w:t>“3+N”</w:t>
      </w:r>
      <w:bookmarkEnd w:id="0"/>
      <w:r>
        <w:rPr>
          <w:rFonts w:hint="eastAsia" w:ascii="Times New Roman" w:hAnsi="Times New Roman" w:eastAsia="方正小标宋简体" w:cs="Times New Roman"/>
          <w:b/>
          <w:bCs/>
          <w:kern w:val="0"/>
          <w:sz w:val="52"/>
          <w:szCs w:val="52"/>
          <w:highlight w:val="none"/>
          <w:lang w:bidi="ar"/>
        </w:rPr>
        <w:t>联盟肝功生化类医用耗材</w:t>
      </w:r>
    </w:p>
    <w:p w14:paraId="49AC0D2D">
      <w:pPr>
        <w:spacing w:line="600" w:lineRule="exact"/>
        <w:jc w:val="center"/>
        <w:rPr>
          <w:rFonts w:hint="eastAsia" w:ascii="Times New Roman" w:hAnsi="Times New Roman" w:eastAsia="方正小标宋简体" w:cs="Times New Roman"/>
          <w:b/>
          <w:bCs/>
          <w:kern w:val="0"/>
          <w:sz w:val="52"/>
          <w:szCs w:val="52"/>
          <w:highlight w:val="none"/>
          <w:lang w:bidi="ar"/>
        </w:rPr>
      </w:pPr>
    </w:p>
    <w:p w14:paraId="64B7C964">
      <w:pPr>
        <w:spacing w:line="600" w:lineRule="exact"/>
        <w:jc w:val="center"/>
        <w:rPr>
          <w:rFonts w:hint="eastAsia" w:ascii="Times New Roman" w:hAnsi="Times New Roman" w:eastAsia="方正小标宋简体" w:cs="Times New Roman"/>
          <w:b/>
          <w:bCs/>
          <w:kern w:val="0"/>
          <w:sz w:val="52"/>
          <w:szCs w:val="52"/>
          <w:highlight w:val="none"/>
          <w:lang w:bidi="ar"/>
        </w:rPr>
      </w:pPr>
    </w:p>
    <w:p w14:paraId="4B004A36">
      <w:pPr>
        <w:spacing w:line="600" w:lineRule="exact"/>
        <w:jc w:val="center"/>
        <w:rPr>
          <w:rFonts w:ascii="Times New Roman" w:hAnsi="Times New Roman" w:eastAsia="方正小标宋简体" w:cs="Times New Roman"/>
          <w:b/>
          <w:bCs/>
          <w:kern w:val="0"/>
          <w:sz w:val="52"/>
          <w:szCs w:val="52"/>
          <w:highlight w:val="none"/>
          <w:lang w:bidi="ar"/>
        </w:rPr>
      </w:pPr>
      <w:r>
        <w:rPr>
          <w:rFonts w:hint="eastAsia" w:ascii="Times New Roman" w:hAnsi="Times New Roman" w:eastAsia="方正小标宋简体" w:cs="Times New Roman"/>
          <w:b/>
          <w:bCs/>
          <w:kern w:val="0"/>
          <w:sz w:val="52"/>
          <w:szCs w:val="52"/>
          <w:highlight w:val="none"/>
          <w:lang w:val="en-US" w:eastAsia="zh-CN" w:bidi="ar"/>
        </w:rPr>
        <w:t>需求量分配操作手册</w:t>
      </w:r>
    </w:p>
    <w:p w14:paraId="1D1F1F1E">
      <w:pPr>
        <w:wordWrap w:val="0"/>
        <w:spacing w:line="600" w:lineRule="exact"/>
        <w:jc w:val="center"/>
        <w:rPr>
          <w:rFonts w:ascii="Times New Roman" w:hAnsi="Times New Roman" w:eastAsia="方正小标宋简体" w:cs="Times New Roman"/>
          <w:sz w:val="52"/>
          <w:szCs w:val="52"/>
          <w:highlight w:val="none"/>
        </w:rPr>
      </w:pPr>
    </w:p>
    <w:p w14:paraId="59EB24FB">
      <w:pPr>
        <w:pStyle w:val="2"/>
        <w:wordWrap w:val="0"/>
        <w:jc w:val="right"/>
        <w:rPr>
          <w:rFonts w:ascii="Times New Roman" w:hAnsi="Times New Roman" w:eastAsia="仿宋_GB2312" w:cs="Times New Roman"/>
          <w:sz w:val="52"/>
          <w:szCs w:val="52"/>
          <w:highlight w:val="none"/>
        </w:rPr>
      </w:pPr>
    </w:p>
    <w:p w14:paraId="608EE7CB">
      <w:pPr>
        <w:widowControl/>
        <w:jc w:val="right"/>
        <w:rPr>
          <w:highlight w:val="none"/>
        </w:rPr>
      </w:pPr>
      <w:r>
        <w:rPr>
          <w:rFonts w:ascii="Times New Roman" w:hAnsi="Times New Roman" w:eastAsia="仿宋_GB2312" w:cs="Times New Roman"/>
          <w:kern w:val="0"/>
          <w:sz w:val="32"/>
          <w:szCs w:val="32"/>
          <w:highlight w:val="none"/>
          <w:lang w:bidi="ar"/>
        </w:rPr>
        <w:t xml:space="preserve">  </w:t>
      </w:r>
    </w:p>
    <w:p w14:paraId="5C49B6E3"/>
    <w:p w14:paraId="187506A6"/>
    <w:p w14:paraId="30C67799"/>
    <w:p w14:paraId="34F19DB2"/>
    <w:p w14:paraId="71B33157"/>
    <w:p w14:paraId="016C3790"/>
    <w:p w14:paraId="70E43F48"/>
    <w:p w14:paraId="1257CF07"/>
    <w:p w14:paraId="1536B02D"/>
    <w:p w14:paraId="7EF11CC1"/>
    <w:p w14:paraId="4A6A0B93"/>
    <w:p w14:paraId="151A3D3B"/>
    <w:p w14:paraId="59D5D8CF"/>
    <w:p w14:paraId="53C93DD2"/>
    <w:p w14:paraId="036AB121"/>
    <w:p w14:paraId="5A086702"/>
    <w:p w14:paraId="782D70E9"/>
    <w:p w14:paraId="65438D55">
      <w:pPr>
        <w:widowControl/>
        <w:numPr>
          <w:ilvl w:val="0"/>
          <w:numId w:val="1"/>
        </w:numPr>
        <w:spacing w:line="600" w:lineRule="exact"/>
        <w:rPr>
          <w:rFonts w:hint="eastAsia" w:ascii="Times New Roman" w:hAnsi="Times New Roman" w:eastAsia="黑体" w:cs="Times New Roman"/>
          <w:kern w:val="0"/>
          <w:sz w:val="32"/>
          <w:szCs w:val="32"/>
          <w:highlight w:val="none"/>
          <w:lang w:val="en-US" w:eastAsia="zh-CN" w:bidi="ar"/>
        </w:rPr>
      </w:pPr>
      <w:r>
        <w:rPr>
          <w:rFonts w:hint="eastAsia" w:ascii="Times New Roman" w:hAnsi="Times New Roman" w:eastAsia="黑体" w:cs="Times New Roman"/>
          <w:kern w:val="0"/>
          <w:sz w:val="32"/>
          <w:szCs w:val="32"/>
          <w:highlight w:val="none"/>
          <w:lang w:val="en-US" w:eastAsia="zh-CN" w:bidi="ar"/>
        </w:rPr>
        <w:t>医院选择分配量</w:t>
      </w:r>
    </w:p>
    <w:p w14:paraId="4826A5CB">
      <w:pPr>
        <w:widowControl/>
        <w:numPr>
          <w:ilvl w:val="0"/>
          <w:numId w:val="2"/>
        </w:numPr>
        <w:ind w:firstLine="640"/>
        <w:rPr>
          <w:rFonts w:hint="eastAsia" w:ascii="Times New Roman" w:hAnsi="Times New Roman" w:eastAsia="仿宋_GB2312" w:cs="Times New Roman"/>
          <w:b/>
          <w:bCs/>
          <w:color w:val="FF0000"/>
          <w:kern w:val="0"/>
          <w:sz w:val="32"/>
          <w:szCs w:val="32"/>
          <w:highlight w:val="none"/>
          <w:lang w:val="en-US" w:eastAsia="zh-CN" w:bidi="ar"/>
        </w:rPr>
      </w:pPr>
      <w:r>
        <w:rPr>
          <w:rFonts w:hint="eastAsia" w:ascii="Times New Roman" w:hAnsi="Times New Roman" w:eastAsia="仿宋_GB2312" w:cs="Times New Roman"/>
          <w:color w:val="000000"/>
          <w:kern w:val="0"/>
          <w:sz w:val="32"/>
          <w:szCs w:val="32"/>
          <w:highlight w:val="none"/>
          <w:lang w:val="en-US" w:eastAsia="zh-CN" w:bidi="ar"/>
        </w:rPr>
        <w:t>当前页面展示本医院肝功生化类不同品种及不同注册单位的填报需求量数据及分配量相关数据</w:t>
      </w:r>
      <w:r>
        <w:rPr>
          <w:rFonts w:hint="eastAsia" w:ascii="Times New Roman" w:hAnsi="Times New Roman" w:eastAsia="仿宋_GB2312" w:cs="Times New Roman"/>
          <w:b/>
          <w:bCs/>
          <w:color w:val="FF0000"/>
          <w:kern w:val="0"/>
          <w:sz w:val="32"/>
          <w:szCs w:val="32"/>
          <w:highlight w:val="none"/>
          <w:lang w:val="en-US" w:eastAsia="zh-CN" w:bidi="ar"/>
        </w:rPr>
        <w:t>（填报需求量产品为范围外，需求量不计算在内，也无需分量）</w:t>
      </w:r>
      <w:r>
        <w:rPr>
          <w:rFonts w:hint="eastAsia" w:ascii="Times New Roman" w:hAnsi="Times New Roman" w:eastAsia="仿宋_GB2312" w:cs="Times New Roman"/>
          <w:b/>
          <w:bCs/>
          <w:color w:val="auto"/>
          <w:kern w:val="0"/>
          <w:sz w:val="32"/>
          <w:szCs w:val="32"/>
          <w:highlight w:val="none"/>
          <w:lang w:val="en-US" w:eastAsia="zh-CN" w:bidi="ar"/>
        </w:rPr>
        <w:t>；</w:t>
      </w:r>
      <w:r>
        <w:rPr>
          <w:rFonts w:hint="eastAsia" w:ascii="Times New Roman" w:hAnsi="Times New Roman" w:eastAsia="仿宋_GB2312" w:cs="Times New Roman"/>
          <w:color w:val="000000"/>
          <w:kern w:val="0"/>
          <w:sz w:val="32"/>
          <w:szCs w:val="32"/>
          <w:highlight w:val="none"/>
          <w:lang w:val="en-US" w:eastAsia="zh-CN" w:bidi="ar"/>
        </w:rPr>
        <w:t>点击操作列‘详情’按钮，跳转到具体的分量页面；如剩余分配量列等于0，则无需操作分量，如大于0，则需进行分量操作；</w:t>
      </w:r>
    </w:p>
    <w:p w14:paraId="46BE5697">
      <w:pPr>
        <w:widowControl/>
        <w:numPr>
          <w:ilvl w:val="0"/>
          <w:numId w:val="0"/>
        </w:numPr>
      </w:pPr>
      <w:r>
        <w:drawing>
          <wp:inline distT="0" distB="0" distL="114300" distR="114300">
            <wp:extent cx="5567680" cy="2370455"/>
            <wp:effectExtent l="0" t="0" r="10160"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5567680" cy="2370455"/>
                    </a:xfrm>
                    <a:prstGeom prst="rect">
                      <a:avLst/>
                    </a:prstGeom>
                    <a:noFill/>
                    <a:ln>
                      <a:noFill/>
                    </a:ln>
                  </pic:spPr>
                </pic:pic>
              </a:graphicData>
            </a:graphic>
          </wp:inline>
        </w:drawing>
      </w:r>
    </w:p>
    <w:p w14:paraId="180590D3">
      <w:pPr>
        <w:widowControl/>
        <w:numPr>
          <w:ilvl w:val="0"/>
          <w:numId w:val="0"/>
        </w:numPr>
      </w:pPr>
      <w:r>
        <w:drawing>
          <wp:inline distT="0" distB="0" distL="114300" distR="114300">
            <wp:extent cx="5574665" cy="2085340"/>
            <wp:effectExtent l="0" t="0" r="3175"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5574665" cy="2085340"/>
                    </a:xfrm>
                    <a:prstGeom prst="rect">
                      <a:avLst/>
                    </a:prstGeom>
                    <a:noFill/>
                    <a:ln>
                      <a:noFill/>
                    </a:ln>
                  </pic:spPr>
                </pic:pic>
              </a:graphicData>
            </a:graphic>
          </wp:inline>
        </w:drawing>
      </w:r>
    </w:p>
    <w:p w14:paraId="4689407B">
      <w:pPr>
        <w:widowControl/>
        <w:numPr>
          <w:ilvl w:val="0"/>
          <w:numId w:val="0"/>
        </w:numPr>
        <w:rPr>
          <w:rFonts w:hint="default" w:eastAsiaTheme="minorEastAsia"/>
          <w:color w:val="FF0000"/>
          <w:lang w:val="en-US" w:eastAsia="zh-CN"/>
        </w:rPr>
      </w:pPr>
      <w:r>
        <w:rPr>
          <w:rFonts w:hint="eastAsia" w:ascii="Times New Roman" w:hAnsi="Times New Roman" w:eastAsia="仿宋_GB2312" w:cs="Times New Roman"/>
          <w:color w:val="000000"/>
          <w:kern w:val="0"/>
          <w:sz w:val="32"/>
          <w:szCs w:val="32"/>
          <w:highlight w:val="none"/>
          <w:lang w:val="en-US" w:eastAsia="zh-CN" w:bidi="ar"/>
        </w:rPr>
        <w:t>2.上边提示框中剩余待分配量‘ml’前数字大于0，需要分量，如等于0，则无需分量；点击编辑需求量按钮,进行需求量填写,填写完成后进行保存.</w:t>
      </w:r>
      <w:r>
        <w:rPr>
          <w:rFonts w:hint="eastAsia" w:ascii="Times New Roman" w:hAnsi="Times New Roman" w:eastAsia="仿宋_GB2312" w:cs="Times New Roman"/>
          <w:color w:val="FF0000"/>
          <w:kern w:val="0"/>
          <w:sz w:val="32"/>
          <w:szCs w:val="32"/>
          <w:highlight w:val="none"/>
          <w:lang w:val="en-US" w:eastAsia="zh-CN" w:bidi="ar"/>
        </w:rPr>
        <w:t>注：填写数据单位为‘盒’</w:t>
      </w:r>
    </w:p>
    <w:p w14:paraId="287BFA57">
      <w:pPr>
        <w:widowControl/>
        <w:numPr>
          <w:ilvl w:val="0"/>
          <w:numId w:val="0"/>
        </w:numPr>
      </w:pPr>
    </w:p>
    <w:p w14:paraId="402E6480">
      <w:pPr>
        <w:widowControl/>
        <w:numPr>
          <w:ilvl w:val="0"/>
          <w:numId w:val="0"/>
        </w:numPr>
      </w:pPr>
      <w:r>
        <w:drawing>
          <wp:inline distT="0" distB="0" distL="114300" distR="114300">
            <wp:extent cx="5571490" cy="2270760"/>
            <wp:effectExtent l="0" t="0" r="635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7"/>
                    <a:stretch>
                      <a:fillRect/>
                    </a:stretch>
                  </pic:blipFill>
                  <pic:spPr>
                    <a:xfrm>
                      <a:off x="0" y="0"/>
                      <a:ext cx="5571490" cy="2270760"/>
                    </a:xfrm>
                    <a:prstGeom prst="rect">
                      <a:avLst/>
                    </a:prstGeom>
                    <a:noFill/>
                    <a:ln>
                      <a:noFill/>
                    </a:ln>
                  </pic:spPr>
                </pic:pic>
              </a:graphicData>
            </a:graphic>
          </wp:inline>
        </w:drawing>
      </w:r>
    </w:p>
    <w:p w14:paraId="49757E34">
      <w:pPr>
        <w:widowControl/>
        <w:numPr>
          <w:ilvl w:val="0"/>
          <w:numId w:val="0"/>
        </w:numPr>
      </w:pPr>
      <w:r>
        <w:drawing>
          <wp:inline distT="0" distB="0" distL="114300" distR="114300">
            <wp:extent cx="5567680" cy="1648460"/>
            <wp:effectExtent l="0" t="0" r="10160" b="1270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8"/>
                    <a:stretch>
                      <a:fillRect/>
                    </a:stretch>
                  </pic:blipFill>
                  <pic:spPr>
                    <a:xfrm>
                      <a:off x="0" y="0"/>
                      <a:ext cx="5567680" cy="1648460"/>
                    </a:xfrm>
                    <a:prstGeom prst="rect">
                      <a:avLst/>
                    </a:prstGeom>
                    <a:noFill/>
                    <a:ln>
                      <a:noFill/>
                    </a:ln>
                  </pic:spPr>
                </pic:pic>
              </a:graphicData>
            </a:graphic>
          </wp:inline>
        </w:drawing>
      </w:r>
    </w:p>
    <w:p w14:paraId="1B3DD301">
      <w:pPr>
        <w:widowControl/>
        <w:numPr>
          <w:ilvl w:val="0"/>
          <w:numId w:val="0"/>
        </w:numPr>
        <w:rPr>
          <w:rFonts w:hint="default"/>
          <w:lang w:val="en-US" w:eastAsia="zh-CN"/>
        </w:rPr>
      </w:pPr>
      <w:r>
        <w:drawing>
          <wp:inline distT="0" distB="0" distL="114300" distR="114300">
            <wp:extent cx="5574030" cy="2138680"/>
            <wp:effectExtent l="0" t="0" r="3810" b="1016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9"/>
                    <a:stretch>
                      <a:fillRect/>
                    </a:stretch>
                  </pic:blipFill>
                  <pic:spPr>
                    <a:xfrm>
                      <a:off x="0" y="0"/>
                      <a:ext cx="5574030" cy="2138680"/>
                    </a:xfrm>
                    <a:prstGeom prst="rect">
                      <a:avLst/>
                    </a:prstGeom>
                    <a:noFill/>
                    <a:ln>
                      <a:noFill/>
                    </a:ln>
                  </pic:spPr>
                </pic:pic>
              </a:graphicData>
            </a:graphic>
          </wp:inline>
        </w:drawing>
      </w:r>
    </w:p>
    <w:p w14:paraId="472DCC41">
      <w:pPr>
        <w:numPr>
          <w:ilvl w:val="0"/>
          <w:numId w:val="0"/>
        </w:numPr>
        <w:rPr>
          <w:rFonts w:hint="default" w:ascii="Times New Roman" w:hAnsi="Times New Roman" w:cs="Times New Roman"/>
          <w:color w:val="auto"/>
          <w:lang w:val="en-US" w:eastAsia="zh-CN"/>
        </w:rPr>
      </w:pPr>
    </w:p>
    <w:p w14:paraId="4C57EA5D">
      <w:pPr>
        <w:widowControl/>
        <w:ind w:firstLine="640"/>
        <w:rPr>
          <w:rFonts w:hint="default" w:ascii="Times New Roman" w:hAnsi="Times New Roman" w:eastAsia="仿宋_GB2312" w:cs="Times New Roman"/>
          <w:color w:val="auto"/>
          <w:kern w:val="0"/>
          <w:sz w:val="32"/>
          <w:szCs w:val="32"/>
          <w:highlight w:val="none"/>
          <w:lang w:val="en-US" w:eastAsia="zh-CN" w:bidi="ar"/>
        </w:rPr>
      </w:pPr>
      <w:r>
        <w:rPr>
          <w:rFonts w:hint="eastAsia" w:ascii="Times New Roman" w:hAnsi="Times New Roman" w:eastAsia="仿宋_GB2312" w:cs="Times New Roman"/>
          <w:color w:val="auto"/>
          <w:kern w:val="0"/>
          <w:sz w:val="32"/>
          <w:szCs w:val="32"/>
          <w:highlight w:val="none"/>
          <w:lang w:val="en-US" w:eastAsia="zh-CN" w:bidi="ar"/>
        </w:rPr>
        <w:t>2.如二次分配量填写错误,医院需撤销重新填写,则点击重置按钮,取消对该产品的二次分配量;点击确定,则可以取消该产品的二次分配量</w:t>
      </w:r>
    </w:p>
    <w:p w14:paraId="4176378A">
      <w:pPr>
        <w:keepNext w:val="0"/>
        <w:keepLines w:val="0"/>
        <w:pageBreakBefore w:val="0"/>
        <w:widowControl/>
        <w:kinsoku/>
        <w:wordWrap/>
        <w:overflowPunct/>
        <w:topLinePunct w:val="0"/>
        <w:autoSpaceDE/>
        <w:autoSpaceDN/>
        <w:bidi w:val="0"/>
        <w:adjustRightInd/>
        <w:snapToGrid/>
        <w:ind w:firstLine="0"/>
        <w:jc w:val="center"/>
        <w:textAlignment w:val="auto"/>
      </w:pPr>
      <w:r>
        <w:drawing>
          <wp:inline distT="0" distB="0" distL="114300" distR="114300">
            <wp:extent cx="5570855" cy="1428115"/>
            <wp:effectExtent l="0" t="0" r="6985" b="44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0"/>
                    <a:stretch>
                      <a:fillRect/>
                    </a:stretch>
                  </pic:blipFill>
                  <pic:spPr>
                    <a:xfrm>
                      <a:off x="0" y="0"/>
                      <a:ext cx="5570855" cy="1428115"/>
                    </a:xfrm>
                    <a:prstGeom prst="rect">
                      <a:avLst/>
                    </a:prstGeom>
                    <a:noFill/>
                    <a:ln>
                      <a:noFill/>
                    </a:ln>
                  </pic:spPr>
                </pic:pic>
              </a:graphicData>
            </a:graphic>
          </wp:inline>
        </w:drawing>
      </w:r>
    </w:p>
    <w:p w14:paraId="52B91ED7">
      <w:pPr>
        <w:widowControl/>
        <w:ind w:firstLine="640"/>
        <w:rPr>
          <w:rFonts w:hint="eastAsia" w:ascii="Times New Roman" w:hAnsi="Times New Roman" w:eastAsia="仿宋_GB2312" w:cs="Times New Roman"/>
          <w:color w:val="auto"/>
          <w:kern w:val="0"/>
          <w:sz w:val="32"/>
          <w:szCs w:val="32"/>
          <w:highlight w:val="none"/>
          <w:lang w:val="en-US" w:eastAsia="zh-CN" w:bidi="ar"/>
        </w:rPr>
      </w:pPr>
      <w:r>
        <w:rPr>
          <w:rFonts w:hint="eastAsia" w:ascii="Times New Roman" w:hAnsi="Times New Roman" w:eastAsia="仿宋_GB2312" w:cs="Times New Roman"/>
          <w:color w:val="auto"/>
          <w:kern w:val="0"/>
          <w:sz w:val="32"/>
          <w:szCs w:val="32"/>
          <w:highlight w:val="none"/>
          <w:lang w:val="en-US" w:eastAsia="zh-CN" w:bidi="ar"/>
        </w:rPr>
        <w:t>3.提交:剩余待分配量为0时,医院可以提交,点击上方的提交按钮,确认提示信息后,则可以提交</w:t>
      </w:r>
    </w:p>
    <w:p w14:paraId="6F70A5D4">
      <w:pPr>
        <w:keepNext w:val="0"/>
        <w:keepLines w:val="0"/>
        <w:pageBreakBefore w:val="0"/>
        <w:widowControl/>
        <w:numPr>
          <w:ilvl w:val="0"/>
          <w:numId w:val="0"/>
        </w:numPr>
        <w:kinsoku/>
        <w:wordWrap/>
        <w:overflowPunct/>
        <w:topLinePunct w:val="0"/>
        <w:autoSpaceDE/>
        <w:autoSpaceDN/>
        <w:bidi w:val="0"/>
        <w:adjustRightInd/>
        <w:snapToGrid/>
        <w:ind w:left="0" w:leftChars="0"/>
        <w:textAlignment w:val="auto"/>
        <w:rPr>
          <w:rFonts w:hint="default" w:ascii="Times New Roman" w:hAnsi="Times New Roman" w:eastAsia="仿宋_GB2312" w:cs="Times New Roman"/>
          <w:color w:val="auto"/>
          <w:kern w:val="0"/>
          <w:sz w:val="32"/>
          <w:szCs w:val="32"/>
          <w:highlight w:val="none"/>
          <w:lang w:val="en-US" w:eastAsia="zh-CN" w:bidi="ar"/>
        </w:rPr>
      </w:pPr>
      <w:r>
        <w:drawing>
          <wp:inline distT="0" distB="0" distL="114300" distR="114300">
            <wp:extent cx="5574030" cy="1997075"/>
            <wp:effectExtent l="0" t="0" r="3810" b="1460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1"/>
                    <a:stretch>
                      <a:fillRect/>
                    </a:stretch>
                  </pic:blipFill>
                  <pic:spPr>
                    <a:xfrm>
                      <a:off x="0" y="0"/>
                      <a:ext cx="5574030" cy="1997075"/>
                    </a:xfrm>
                    <a:prstGeom prst="rect">
                      <a:avLst/>
                    </a:prstGeom>
                    <a:noFill/>
                    <a:ln>
                      <a:noFill/>
                    </a:ln>
                  </pic:spPr>
                </pic:pic>
              </a:graphicData>
            </a:graphic>
          </wp:inline>
        </w:drawing>
      </w:r>
    </w:p>
    <w:sectPr>
      <w:footerReference r:id="rId3" w:type="default"/>
      <w:pgSz w:w="11906" w:h="16838"/>
      <w:pgMar w:top="2041" w:right="1559" w:bottom="1701" w:left="1559"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D78F0C">
    <w:pPr>
      <w:spacing w:line="177" w:lineRule="auto"/>
      <w:ind w:left="7247"/>
      <w:rPr>
        <w:rFonts w:ascii="仿宋_GB2312" w:hAnsi="仿宋_GB2312" w:eastAsia="仿宋_GB2312" w:cs="仿宋_GB2312"/>
        <w:sz w:val="18"/>
        <w:szCs w:val="1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6E2005"/>
    <w:multiLevelType w:val="singleLevel"/>
    <w:tmpl w:val="E66E2005"/>
    <w:lvl w:ilvl="0" w:tentative="0">
      <w:start w:val="1"/>
      <w:numFmt w:val="decimal"/>
      <w:lvlText w:val="%1."/>
      <w:lvlJc w:val="left"/>
      <w:pPr>
        <w:tabs>
          <w:tab w:val="left" w:pos="312"/>
        </w:tabs>
      </w:pPr>
      <w:rPr>
        <w:rFonts w:hint="default"/>
        <w:color w:val="auto"/>
      </w:rPr>
    </w:lvl>
  </w:abstractNum>
  <w:abstractNum w:abstractNumId="1">
    <w:nsid w:val="1D355DCC"/>
    <w:multiLevelType w:val="singleLevel"/>
    <w:tmpl w:val="1D355DCC"/>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5NmU3ZWI2ODg2ZDBiYjk3N2ZkYjE5MjBjOTA4NTgifQ=="/>
  </w:docVars>
  <w:rsids>
    <w:rsidRoot w:val="00000000"/>
    <w:rsid w:val="01483EBE"/>
    <w:rsid w:val="01C46E0C"/>
    <w:rsid w:val="03020DE8"/>
    <w:rsid w:val="1C75552E"/>
    <w:rsid w:val="2AF945C5"/>
    <w:rsid w:val="2FE61D59"/>
    <w:rsid w:val="51AF04FB"/>
    <w:rsid w:val="76CD7C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oa heading"/>
    <w:basedOn w:val="1"/>
    <w:next w:val="1"/>
    <w:qFormat/>
    <w:uiPriority w:val="0"/>
    <w:pPr>
      <w:spacing w:before="120"/>
    </w:pPr>
    <w:rPr>
      <w:rFonts w:ascii="Arial" w:hAnsi="Arial"/>
      <w:sz w:val="24"/>
    </w:rPr>
  </w:style>
  <w:style w:type="paragraph" w:styleId="3">
    <w:name w:val="footer"/>
    <w:basedOn w:val="1"/>
    <w:qFormat/>
    <w:uiPriority w:val="99"/>
    <w:pPr>
      <w:tabs>
        <w:tab w:val="center" w:pos="4153"/>
        <w:tab w:val="right" w:pos="8306"/>
      </w:tabs>
      <w:snapToGrid w:val="0"/>
      <w:jc w:val="left"/>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qFormat/>
    <w:uiPriority w:val="0"/>
    <w:rPr>
      <w:color w:val="3D3C3C"/>
      <w:u w:val="none"/>
    </w:rPr>
  </w:style>
  <w:style w:type="paragraph" w:customStyle="1" w:styleId="8">
    <w:name w:val="Default"/>
    <w:qFormat/>
    <w:uiPriority w:val="0"/>
    <w:pPr>
      <w:widowControl w:val="0"/>
      <w:autoSpaceDE w:val="0"/>
      <w:autoSpaceDN w:val="0"/>
      <w:adjustRightInd w:val="0"/>
      <w:spacing w:line="578" w:lineRule="exact"/>
      <w:ind w:firstLine="720"/>
      <w:jc w:val="both"/>
    </w:pPr>
    <w:rPr>
      <w:rFonts w:ascii="Times New Roman" w:hAnsi="Times New Roman" w:eastAsia="仿宋_GB2312" w:cs="Times New Roman"/>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343</Words>
  <Characters>351</Characters>
  <Lines>0</Lines>
  <Paragraphs>0</Paragraphs>
  <TotalTime>6</TotalTime>
  <ScaleCrop>false</ScaleCrop>
  <LinksUpToDate>false</LinksUpToDate>
  <CharactersWithSpaces>353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2024-06-18T02:46:00Z</dcterms:created>
  <dc:creator>ACER</dc:creator>
  <cp:lastModifiedBy>你的好朋友</cp:lastModifiedBy>
  <dcterms:modified xsi:type="dcterms:W3CDTF">2024-10-31T01:20:34Z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0765AD33880541A48E8CA939C66F4B14_13</vt:lpwstr>
  </property>
</Properties>
</file>