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山西省数据流通交易管理办法（试行）</w:t>
      </w:r>
    </w:p>
    <w:p>
      <w:pPr>
        <w:spacing w:line="640" w:lineRule="exact"/>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（征求意见稿）</w:t>
      </w:r>
    </w:p>
    <w:p>
      <w:pPr>
        <w:spacing w:line="640" w:lineRule="exact"/>
        <w:jc w:val="center"/>
        <w:rPr>
          <w:rFonts w:hint="eastAsia" w:ascii="方正小标宋简体" w:hAnsi="方正小标宋简体" w:eastAsia="方正小标宋简体" w:cs="方正小标宋简体"/>
          <w:sz w:val="44"/>
          <w:szCs w:val="44"/>
        </w:rPr>
      </w:pPr>
    </w:p>
    <w:p>
      <w:pPr>
        <w:jc w:val="center"/>
        <w:rPr>
          <w:rFonts w:hint="eastAsia" w:ascii="黑体" w:hAnsi="黑体" w:eastAsia="黑体" w:cs="黑体"/>
          <w:sz w:val="32"/>
          <w:szCs w:val="32"/>
        </w:rPr>
      </w:pPr>
      <w:r>
        <w:rPr>
          <w:rFonts w:hint="eastAsia" w:ascii="黑体" w:hAnsi="黑体" w:eastAsia="黑体" w:cs="黑体"/>
          <w:sz w:val="32"/>
          <w:szCs w:val="32"/>
        </w:rPr>
        <w:t>第一章 总则</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目的依据】为规范数据流通交易活动，促进数据合规有序流通、公平高效配置，壮大数据要素市场，根据《中华人民共和国网络安全法》《中华人民共和国数据安全法》《中华人民共和国个人信息保护法》《山西省数据工作管理办法》及有关法律法规，结合本省实际，制定本办法。</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【适用范围】本省行政区域内数据流通交易及相关活动，适用本办法。</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【基本原则】数据流通交易应当坚持政府引导、市场主导、分类引导、场景牵引、公平开放、安全合规的原则，应遵守市场规律、商业道德和公序良俗。</w:t>
      </w:r>
    </w:p>
    <w:p>
      <w:pPr>
        <w:ind w:firstLine="643" w:firstLineChars="200"/>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【部门职责】省数据局是省数据流通交易的主管部门，负责统筹本省行政区域内的数据流通交易管理工作，指导数据交易场所的经营活动，培育数据流通交易产业生态，壮大数据要素市场。 </w:t>
      </w:r>
    </w:p>
    <w:p>
      <w:pPr>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县级以上</w:t>
      </w:r>
      <w:r>
        <w:rPr>
          <w:rFonts w:hint="eastAsia" w:ascii="仿宋_GB2312" w:hAnsi="仿宋_GB2312" w:eastAsia="仿宋_GB2312" w:cs="仿宋_GB2312"/>
          <w:sz w:val="32"/>
          <w:szCs w:val="32"/>
        </w:rPr>
        <w:t>数据</w:t>
      </w:r>
      <w:r>
        <w:rPr>
          <w:rFonts w:ascii="仿宋_GB2312" w:hAnsi="仿宋_GB2312" w:eastAsia="仿宋_GB2312" w:cs="仿宋_GB2312"/>
          <w:sz w:val="32"/>
          <w:szCs w:val="32"/>
        </w:rPr>
        <w:t>主管部门负责统筹协调本行政区域内数据交易管理具体工作。</w:t>
      </w:r>
    </w:p>
    <w:p>
      <w:pPr>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县级以上网信、发展改革、公安、金融</w:t>
      </w:r>
      <w:r>
        <w:rPr>
          <w:rFonts w:hint="eastAsia" w:ascii="仿宋_GB2312" w:hAnsi="仿宋_GB2312" w:eastAsia="仿宋_GB2312" w:cs="仿宋_GB2312"/>
          <w:sz w:val="32"/>
          <w:szCs w:val="32"/>
        </w:rPr>
        <w:t>管理</w:t>
      </w:r>
      <w:r>
        <w:rPr>
          <w:rFonts w:ascii="仿宋_GB2312" w:hAnsi="仿宋_GB2312" w:eastAsia="仿宋_GB2312" w:cs="仿宋_GB2312"/>
          <w:sz w:val="32"/>
          <w:szCs w:val="32"/>
        </w:rPr>
        <w:t>、市场监管、安全、通信管理等部门在各自职责范围内做好数据流通交易市场秩序维护、安全保护和监督管理等相关工作。</w:t>
      </w:r>
    </w:p>
    <w:p>
      <w:pPr>
        <w:jc w:val="center"/>
        <w:rPr>
          <w:rFonts w:hint="eastAsia" w:ascii="黑体" w:hAnsi="黑体" w:eastAsia="黑体" w:cs="黑体"/>
          <w:sz w:val="32"/>
          <w:szCs w:val="32"/>
        </w:rPr>
      </w:pPr>
      <w:r>
        <w:rPr>
          <w:rFonts w:hint="eastAsia" w:ascii="黑体" w:hAnsi="黑体" w:eastAsia="黑体" w:cs="黑体"/>
          <w:sz w:val="32"/>
          <w:szCs w:val="32"/>
        </w:rPr>
        <w:t>第二章 交易标的</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【交易标的】数据交易标的包括合法合规形成的数据产品、数据服务、数据工具、第三方专业服务、数据应用以及省数据流通交易主管部门同意的其他交易标的。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数据产品包括用于交易的原始数据和加工处理后形成的数据集、数据报告、API接口、算法模型等数据衍生产品。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数据服务包括但不限于</w:t>
      </w:r>
      <w:r>
        <w:rPr>
          <w:rStyle w:val="13"/>
          <w:rFonts w:hint="default" w:ascii="Times New Roman" w:hAnsi="Times New Roman" w:cs="Times New Roman"/>
          <w:sz w:val="30"/>
          <w:szCs w:val="30"/>
          <w:lang/>
        </w:rPr>
        <w:t>数据采集和预处理、数据加工、数据清洗、数据标注、数据建模、分析处理、数据可视化、数据安全等一系列与数据处理相关的服务</w:t>
      </w:r>
      <w:r>
        <w:rPr>
          <w:rFonts w:hint="eastAsia" w:ascii="仿宋_GB2312" w:hAnsi="仿宋_GB2312" w:eastAsia="仿宋_GB2312" w:cs="仿宋_GB2312"/>
          <w:sz w:val="32"/>
          <w:szCs w:val="32"/>
        </w:rPr>
        <w:t>。</w:t>
      </w:r>
    </w:p>
    <w:p>
      <w:pPr>
        <w:ind w:firstLine="640" w:firstLineChars="200"/>
      </w:pPr>
      <w:r>
        <w:rPr>
          <w:rFonts w:hint="eastAsia" w:ascii="仿宋_GB2312" w:hAnsi="仿宋_GB2312" w:eastAsia="仿宋_GB2312" w:cs="仿宋_GB2312"/>
          <w:sz w:val="32"/>
          <w:szCs w:val="32"/>
        </w:rPr>
        <w:t>数据工具是指数据开发利用过程中所使用的工具或者辅助执行的工具，包括但不限于数据存储和管理工具、数据采集工具、数据清洗工具、数据分析工具、数据可视化工具、数据安全工具。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第三方专业服务包括数据集成、数据评估、数据经纪服务、数据托管服务、数据咨询服务、数据保险服务、数据公证服务、人才培训服务等。</w:t>
      </w:r>
      <w:r>
        <w:rPr>
          <w:rFonts w:ascii="仿宋_GB2312" w:hAnsi="仿宋_GB2312" w:eastAsia="仿宋_GB2312" w:cs="仿宋_GB2312"/>
          <w:sz w:val="32"/>
          <w:szCs w:val="32"/>
        </w:rPr>
        <w:t xml:space="preserve"> </w:t>
      </w:r>
    </w:p>
    <w:p>
      <w:pPr>
        <w:ind w:firstLine="640" w:firstLineChars="200"/>
        <w:rPr>
          <w:rFonts w:eastAsia="仿宋_GB2312"/>
        </w:rPr>
      </w:pPr>
      <w:r>
        <w:rPr>
          <w:rFonts w:hint="eastAsia" w:ascii="仿宋_GB2312" w:hAnsi="仿宋_GB2312" w:eastAsia="仿宋_GB2312" w:cs="仿宋_GB2312"/>
          <w:sz w:val="32"/>
          <w:szCs w:val="32"/>
        </w:rPr>
        <w:t>数据应用是指数据资源经过软件、算法、模型等工具处理后，形成的解决方案。</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【进场清单】有以下情形之一的、合法合规形成的数据产品和服务，原则上应当通过山西省转型组建的数据交易场所进行交易：</w:t>
      </w:r>
    </w:p>
    <w:p>
      <w:pPr>
        <w:numPr>
          <w:ilvl w:val="0"/>
          <w:numId w:val="1"/>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涉及公共数据的；</w:t>
      </w:r>
    </w:p>
    <w:p>
      <w:pPr>
        <w:numPr>
          <w:ilvl w:val="0"/>
          <w:numId w:val="1"/>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省数据流通交易的主管部门认为需要进场交易的；</w:t>
      </w:r>
    </w:p>
    <w:p>
      <w:pPr>
        <w:numPr>
          <w:ilvl w:val="0"/>
          <w:numId w:val="1"/>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其他法律、法规、规章规定的。</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【鼓励进场清单】有以下情形之一且合法合规形成的数据产品和服务，鼓励通过山西省转型组建的数据交易场所进行交易：</w:t>
      </w:r>
    </w:p>
    <w:p>
      <w:pPr>
        <w:numPr>
          <w:ilvl w:val="0"/>
          <w:numId w:val="2"/>
        </w:num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国有、国有控股、国有实际控制企业形成的或购买的；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（二）使用财政资金购买的；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（三）基于个人信息加工处理形成的；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（四）平台型企业将具有公共属性的数据加工处理形成的；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（五）涉及商业秘密和知识产权的；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（六）省数据流通交易的主管部门认为需要鼓励进场交易的。</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【禁止清单】有以下情形之一的数据产品和服务，禁止交易：</w:t>
      </w:r>
    </w:p>
    <w:p>
      <w:pPr>
        <w:numPr>
          <w:ilvl w:val="0"/>
          <w:numId w:val="3"/>
        </w:num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涉及国家秘密的；</w:t>
      </w:r>
    </w:p>
    <w:p>
      <w:pPr>
        <w:numPr>
          <w:ilvl w:val="0"/>
          <w:numId w:val="3"/>
        </w:num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危害国家安全和社会稳定的；</w:t>
      </w:r>
    </w:p>
    <w:p>
      <w:pPr>
        <w:numPr>
          <w:ilvl w:val="0"/>
          <w:numId w:val="3"/>
        </w:num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侵犯个人隐私和合法权益的；</w:t>
      </w:r>
    </w:p>
    <w:p>
      <w:pPr>
        <w:numPr>
          <w:ilvl w:val="0"/>
          <w:numId w:val="3"/>
        </w:num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涉及未经授权的企业、组织非公开数据的；</w:t>
      </w:r>
    </w:p>
    <w:p>
      <w:pPr>
        <w:numPr>
          <w:ilvl w:val="0"/>
          <w:numId w:val="3"/>
        </w:num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侵犯商业秘密的和知识产权的；</w:t>
      </w:r>
    </w:p>
    <w:p>
      <w:pPr>
        <w:numPr>
          <w:ilvl w:val="0"/>
          <w:numId w:val="3"/>
        </w:numPr>
        <w:ind w:firstLine="640"/>
        <w:rPr>
          <w:rFonts w:hint="eastAsia" w:ascii="仿宋_GB2312" w:hAnsi="仿宋_GB2312" w:eastAsia="仿宋_GB2312" w:cs="仿宋_GB2312"/>
          <w:sz w:val="32"/>
          <w:szCs w:val="32"/>
        </w:rPr>
      </w:pPr>
      <w:r>
        <w:rPr>
          <w:rFonts w:ascii="仿宋_GB2312" w:hAnsi="仿宋_GB2312" w:eastAsia="仿宋_GB2312" w:cs="仿宋_GB2312"/>
          <w:sz w:val="32"/>
          <w:szCs w:val="32"/>
        </w:rPr>
        <w:t>从非法、违规渠道获取的；</w:t>
      </w:r>
    </w:p>
    <w:p>
      <w:pPr>
        <w:numPr>
          <w:ilvl w:val="0"/>
          <w:numId w:val="3"/>
        </w:num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未明确具体用途和应用场景的；</w:t>
      </w:r>
    </w:p>
    <w:p>
      <w:pPr>
        <w:numPr>
          <w:ilvl w:val="0"/>
          <w:numId w:val="3"/>
        </w:numPr>
        <w:ind w:firstLine="640"/>
        <w:rPr>
          <w:rFonts w:hint="eastAsia" w:ascii="仿宋_GB2312" w:hAnsi="仿宋_GB2312" w:eastAsia="仿宋_GB2312" w:cs="仿宋_GB2312"/>
          <w:sz w:val="32"/>
          <w:szCs w:val="32"/>
        </w:rPr>
      </w:pPr>
      <w:r>
        <w:rPr>
          <w:rFonts w:ascii="仿宋_GB2312" w:hAnsi="仿宋_GB2312" w:eastAsia="仿宋_GB2312" w:cs="仿宋_GB2312"/>
          <w:sz w:val="32"/>
          <w:szCs w:val="32"/>
        </w:rPr>
        <w:t>其他法律、法规、规章或者合法约定明确禁止交易的。</w:t>
      </w:r>
    </w:p>
    <w:p>
      <w:pPr>
        <w:jc w:val="center"/>
        <w:rPr>
          <w:rFonts w:hint="eastAsia" w:ascii="黑体" w:hAnsi="黑体" w:eastAsia="黑体" w:cs="黑体"/>
          <w:sz w:val="32"/>
          <w:szCs w:val="32"/>
        </w:rPr>
      </w:pPr>
      <w:r>
        <w:rPr>
          <w:rFonts w:hint="eastAsia" w:ascii="黑体" w:hAnsi="黑体" w:eastAsia="黑体" w:cs="黑体"/>
          <w:sz w:val="32"/>
          <w:szCs w:val="32"/>
        </w:rPr>
        <w:t>第三章 数据登记</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【数据登记类型】数据登记包括数据产权合规登记和数据知识产权登记两种。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数据局负责会同有关部门统筹建设全省数据产权合规登记管理体系，承担数据产权合规登记服务平台建设和管理工作，建立健全数据持有权、使用权、经营权三权分置运行机制，各地市数据主管部门基于该平台开展数据产权合规登记工作。具体办法由省数据局牵头制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市场监督管理部门负责会同有关部门统筹建立数据知识产权登记管理体系，承担数据知识产权登记平台建设和管理工作，提高登记质量，加强数据知识产权保护和运用。具体办法由省市场监督管理部门牵头制定。</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【数据登记凭证应用】 数据产权合规登记凭证是登记主体依法持有数据并对数据行使权利的合法凭证，享有依法依规加工使用、获取收益等权益。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数据知识产权登记凭证是登记主体对其依法持有的、经过一定规则处理形成的、具有实用价值和智力成果属性的数据集合，并对其行使权利的合法凭证。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省数据局应协同省市场监督管理等部门，建立健全登记信息共享机制，共同推动数据产权合规登记凭证、数据知识产权登记凭证在数据流通交易、融资质押、数据资产入表、数据权益保护等场景中的高效应用。</w:t>
      </w:r>
    </w:p>
    <w:p>
      <w:pPr>
        <w:pStyle w:val="2"/>
        <w:spacing w:before="0" w:beforeLines="0" w:after="0" w:afterLines="0" w:line="240" w:lineRule="auto"/>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【登记机构】省数据局根据工作需要，可授权政府有关部门或者其他机构开展数据产权合规登记工作，有关部门或机构需定期向省数据局备案，省数据局履行登记备案管理职责。</w:t>
      </w:r>
    </w:p>
    <w:p>
      <w:pPr>
        <w:ind w:firstLine="640" w:firstLineChars="200"/>
        <w:rPr>
          <w:rFonts w:ascii="仿宋_GB2312" w:eastAsia="仿宋_GB2312" w:cs="Times New Roman"/>
          <w:color w:val="000000"/>
          <w:sz w:val="32"/>
          <w:szCs w:val="32"/>
        </w:rPr>
      </w:pPr>
      <w:r>
        <w:rPr>
          <w:rFonts w:hint="eastAsia" w:ascii="仿宋_GB2312" w:hAnsi="仿宋_GB2312" w:eastAsia="仿宋_GB2312" w:cs="仿宋_GB2312"/>
          <w:sz w:val="32"/>
          <w:szCs w:val="32"/>
        </w:rPr>
        <w:t>省数据局应当推动建立跨省数据登记规则、登记凭证互认机制，促进数据跨区便捷、有序流通</w:t>
      </w:r>
      <w:r>
        <w:rPr>
          <w:rFonts w:hint="eastAsia" w:ascii="仿宋_GB2312" w:eastAsia="仿宋_GB2312" w:cs="Times New Roman"/>
          <w:color w:val="000000"/>
          <w:sz w:val="32"/>
          <w:szCs w:val="32"/>
        </w:rPr>
        <w:t>。</w:t>
      </w:r>
    </w:p>
    <w:p>
      <w:pPr>
        <w:jc w:val="center"/>
        <w:rPr>
          <w:rFonts w:hint="eastAsia" w:ascii="黑体" w:hAnsi="黑体" w:eastAsia="黑体" w:cs="黑体"/>
          <w:sz w:val="32"/>
          <w:szCs w:val="32"/>
        </w:rPr>
      </w:pPr>
      <w:r>
        <w:rPr>
          <w:rFonts w:hint="eastAsia" w:ascii="黑体" w:hAnsi="黑体" w:eastAsia="黑体" w:cs="黑体"/>
          <w:sz w:val="32"/>
          <w:szCs w:val="32"/>
        </w:rPr>
        <w:t>第三章 数据交易场所</w:t>
      </w:r>
    </w:p>
    <w:p>
      <w:pPr>
        <w:ind w:firstLine="643"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bCs/>
          <w:sz w:val="32"/>
          <w:szCs w:val="32"/>
        </w:rPr>
        <w:t>第十二条</w:t>
      </w:r>
      <w:r>
        <w:rPr>
          <w:rFonts w:hint="eastAsia" w:ascii="Times New Roman" w:hAnsi="Times New Roman" w:eastAsia="仿宋_GB2312" w:cs="Times New Roman"/>
          <w:sz w:val="32"/>
          <w:szCs w:val="32"/>
        </w:rPr>
        <w:t>【数据交易场所设立】在本省设立数据交易场所，原则上应当采取公司制组织形式，并符合《中华人民共和国公司法》《国务院关于清理整顿各类交易场所切实防范金融风险的决定》（国发〔2011〕38号）、《国务院办公厅关于清理整顿各类交易场所的实施意见》（国发〔2012〕37号）、《山西省交易场所监督管理办法》等规定。</w:t>
      </w:r>
    </w:p>
    <w:p>
      <w:pPr>
        <w:ind w:firstLine="640" w:firstLineChars="200"/>
      </w:pPr>
      <w:r>
        <w:rPr>
          <w:rFonts w:hint="eastAsia" w:ascii="仿宋_GB2312" w:hAnsi="仿宋_GB2312" w:eastAsia="仿宋_GB2312" w:cs="仿宋_GB2312"/>
          <w:sz w:val="32"/>
          <w:szCs w:val="32"/>
        </w:rPr>
        <w:t>数据交易场所应当按照相关法律、法规以及国家和省有关规定，制定交易规则、业务流程、登记结算、合规审查、价格生成、风险控制、重大事项监测与报告、信息披露、安全管理等制度规则，构建体系完备的数据交易市场体系。</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数据交易场所定位与服务】数据交易所应当明确公共属性、强化公益定位，突出数据交易基础服务功能，按市场监督管理部门批准的经营范围依法合规经营，保证数据交易活动的正常进行，为交易主体提供以下服务：</w:t>
      </w:r>
    </w:p>
    <w:p>
      <w:pPr>
        <w:numPr>
          <w:ilvl w:val="0"/>
          <w:numId w:val="4"/>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提供交易场所、数据流通交易平台等数据交易基础设施；</w:t>
      </w:r>
    </w:p>
    <w:p>
      <w:pPr>
        <w:numPr>
          <w:ilvl w:val="0"/>
          <w:numId w:val="4"/>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提供数据商、数据供需主体注册核验和登记凭证服务、数据交易合同登记服务。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（三）组织数据交易活动，提供数据产品和服务登记与挂牌、供需撮合、交易签约、交易资金结算、交易凭证出具、信息披露、交易纠纷调解等服务；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（四）组织提供数据公证、质量评估、数据经纪、合规审查、资产评估、价格评估、争议仲裁、人才培训、法律咨询等第三方专业配套服务。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（五）其他与数据流通交易活动相关的配套服务。</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【数据价格公示】省数据局会同价格主管部门建立健全数据交易场所价格公示制度，研究编制数据要素成本和价格评估的指引。</w:t>
      </w:r>
    </w:p>
    <w:p>
      <w:pPr>
        <w:jc w:val="center"/>
        <w:rPr>
          <w:rFonts w:hint="eastAsia" w:ascii="黑体" w:hAnsi="黑体" w:eastAsia="黑体" w:cs="黑体"/>
          <w:sz w:val="32"/>
          <w:szCs w:val="32"/>
        </w:rPr>
      </w:pPr>
      <w:r>
        <w:rPr>
          <w:rFonts w:hint="eastAsia" w:ascii="黑体" w:hAnsi="黑体" w:eastAsia="黑体" w:cs="黑体"/>
          <w:sz w:val="32"/>
          <w:szCs w:val="32"/>
        </w:rPr>
        <w:t>第四章 数据交易主体</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rPr>
        <w:t>【数据交易主体】数据交易主体包括数据供给主体、数据需求主体、数据商。</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rPr>
        <w:t>【数据供给主体】数据供给主体是指提供数据交易标的的公民、法人和其他非法人组织，在数据交易活动中，应保证数据交易标的真实性、数据来源的合法性、权利清晰无争议，并向需求方安全交付标的。数据供给主体如需经数据交易场所开展数据交易，应符合下列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（一）提供数据来源说明，保证数据完整性、真实性、合法性、合规性等；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（二）遵守山西省数据流通交易的规章制度；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（三）法律、法规规定的其他要求。</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rPr>
        <w:t>【数据需求主体】数据需求主体是指有数据购买需求的公民、法人和其他非法人组织，在数据交易活动中，应按照数据交易约定使用数据，并能够对交易标的进行安全保护。数据需求主体如需经数据交易场所购买数据产品和服务，应当符合下列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（一）在安全可控的前提下，规范使用数据；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（二）具备对数据进行安全保护和应用的技术能力；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（三）遵守山西省数据流通交易的规章制度；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（四）法律、法规规定的其他要求。</w:t>
      </w:r>
    </w:p>
    <w:p>
      <w:pPr>
        <w:pStyle w:val="2"/>
        <w:spacing w:before="0" w:beforeLines="0" w:after="0" w:afterLines="0" w:line="240" w:lineRule="auto"/>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sz w:val="32"/>
          <w:szCs w:val="32"/>
        </w:rPr>
        <w:t>【数据商主体】数据商是指依法设立，以数据为生产经营关键要素的企业，包括从事数据产品开发、发布、承销和数据资产合规化、标准化、增值化的服务型数据商，从事利用数据赋能相关产业，推动产出增加和效率提升的应用型数据商，以及从事数据采集、传输、管理等支撑服务的技术型数据商。</w:t>
      </w:r>
    </w:p>
    <w:p>
      <w:pPr>
        <w:pStyle w:val="2"/>
        <w:spacing w:before="0" w:beforeLines="0" w:after="0" w:afterLines="0" w:line="24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据商应当具备相关数据、技术和商务资质，履行数据安全保护义务，承担社会责任，在安全可信的环境下提供相应专业化服务。数据商在数据交易场所注册并获得数据商凭证后，方可在数据交易场所内提供专业化服务。数据商注册应当符合下列要求：</w:t>
      </w:r>
    </w:p>
    <w:p>
      <w:pPr>
        <w:pStyle w:val="2"/>
        <w:spacing w:before="0" w:beforeLines="0" w:after="0" w:afterLines="0" w:line="240" w:lineRule="auto"/>
        <w:ind w:firstLine="640" w:firstLineChars="200"/>
        <w:jc w:val="both"/>
        <w:rPr>
          <w:rFonts w:hint="eastAsia" w:ascii="仿宋_GB2312" w:hAnsi="仿宋_GB2312" w:eastAsia="仿宋_GB2312" w:cs="仿宋_GB2312"/>
          <w:sz w:val="32"/>
          <w:szCs w:val="32"/>
        </w:rPr>
      </w:pPr>
      <w:r>
        <w:rPr>
          <w:rFonts w:ascii="仿宋_GB2312" w:hAnsi="仿宋_GB2312" w:eastAsia="仿宋_GB2312" w:cs="仿宋_GB2312"/>
          <w:sz w:val="32"/>
          <w:szCs w:val="32"/>
        </w:rPr>
        <w:t>（一）提供数据来源说明，保证数据来源合法合规；</w:t>
      </w:r>
    </w:p>
    <w:p>
      <w:pPr>
        <w:pStyle w:val="2"/>
        <w:spacing w:before="0" w:beforeLines="0" w:after="0" w:afterLines="0" w:line="240" w:lineRule="auto"/>
        <w:ind w:firstLine="640" w:firstLineChars="200"/>
        <w:jc w:val="both"/>
        <w:rPr>
          <w:rFonts w:hint="eastAsia" w:ascii="仿宋_GB2312" w:hAnsi="仿宋_GB2312" w:eastAsia="仿宋_GB2312" w:cs="仿宋_GB2312"/>
          <w:sz w:val="32"/>
          <w:szCs w:val="32"/>
        </w:rPr>
      </w:pPr>
      <w:r>
        <w:rPr>
          <w:rFonts w:ascii="仿宋_GB2312" w:hAnsi="仿宋_GB2312" w:eastAsia="仿宋_GB2312" w:cs="仿宋_GB2312"/>
          <w:sz w:val="32"/>
          <w:szCs w:val="32"/>
        </w:rPr>
        <w:t>（二）具备从事相关业务的技术能力和经验；</w:t>
      </w:r>
    </w:p>
    <w:p>
      <w:pPr>
        <w:pStyle w:val="2"/>
        <w:spacing w:before="0" w:beforeLines="0" w:after="0" w:afterLines="0" w:line="240" w:lineRule="auto"/>
        <w:ind w:firstLine="640" w:firstLineChars="200"/>
        <w:jc w:val="both"/>
        <w:rPr>
          <w:rFonts w:hint="eastAsia" w:ascii="仿宋_GB2312" w:hAnsi="仿宋_GB2312" w:eastAsia="仿宋_GB2312" w:cs="仿宋_GB2312"/>
          <w:sz w:val="32"/>
          <w:szCs w:val="32"/>
        </w:rPr>
      </w:pPr>
      <w:r>
        <w:rPr>
          <w:rFonts w:ascii="仿宋_GB2312" w:hAnsi="仿宋_GB2312" w:eastAsia="仿宋_GB2312" w:cs="仿宋_GB2312"/>
          <w:sz w:val="32"/>
          <w:szCs w:val="32"/>
        </w:rPr>
        <w:t>（三）在安全可控的前提下，对数据进行开发利用；</w:t>
      </w:r>
    </w:p>
    <w:p>
      <w:pPr>
        <w:pStyle w:val="2"/>
        <w:spacing w:before="0" w:beforeLines="0" w:after="0" w:afterLines="0" w:line="240" w:lineRule="auto"/>
        <w:ind w:firstLine="640" w:firstLineChars="200"/>
        <w:jc w:val="both"/>
        <w:rPr>
          <w:rFonts w:hint="eastAsia" w:ascii="仿宋_GB2312" w:hAnsi="仿宋_GB2312" w:eastAsia="仿宋_GB2312" w:cs="仿宋_GB2312"/>
          <w:sz w:val="32"/>
          <w:szCs w:val="32"/>
        </w:rPr>
      </w:pPr>
      <w:r>
        <w:rPr>
          <w:rFonts w:ascii="仿宋_GB2312" w:hAnsi="仿宋_GB2312" w:eastAsia="仿宋_GB2312" w:cs="仿宋_GB2312"/>
          <w:sz w:val="32"/>
          <w:szCs w:val="32"/>
        </w:rPr>
        <w:t>（四）遵守</w:t>
      </w:r>
      <w:r>
        <w:rPr>
          <w:rFonts w:hint="eastAsia" w:ascii="仿宋_GB2312" w:hAnsi="仿宋_GB2312" w:eastAsia="仿宋_GB2312" w:cs="仿宋_GB2312"/>
          <w:sz w:val="32"/>
          <w:szCs w:val="32"/>
        </w:rPr>
        <w:t>山西</w:t>
      </w:r>
      <w:r>
        <w:rPr>
          <w:rFonts w:ascii="仿宋_GB2312" w:hAnsi="仿宋_GB2312" w:eastAsia="仿宋_GB2312" w:cs="仿宋_GB2312"/>
          <w:sz w:val="32"/>
          <w:szCs w:val="32"/>
        </w:rPr>
        <w:t>省数据流通交易的规章制度；</w:t>
      </w:r>
    </w:p>
    <w:p>
      <w:pPr>
        <w:pStyle w:val="2"/>
        <w:spacing w:before="0" w:beforeLines="0" w:after="0" w:afterLines="0" w:line="240" w:lineRule="auto"/>
        <w:ind w:firstLine="640" w:firstLineChars="200"/>
        <w:jc w:val="both"/>
      </w:pPr>
      <w:r>
        <w:rPr>
          <w:rFonts w:ascii="仿宋_GB2312" w:hAnsi="仿宋_GB2312" w:eastAsia="仿宋_GB2312" w:cs="仿宋_GB2312"/>
          <w:sz w:val="32"/>
          <w:szCs w:val="32"/>
        </w:rPr>
        <w:t>（五）其他满足监管机构审慎监管原则规定的要求。</w:t>
      </w:r>
    </w:p>
    <w:p>
      <w:pPr>
        <w:pStyle w:val="2"/>
        <w:spacing w:before="0" w:beforeLines="0" w:after="0" w:afterLines="0" w:line="24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其中，服务型数据商，还应</w:t>
      </w:r>
      <w:r>
        <w:rPr>
          <w:rFonts w:ascii="仿宋_GB2312" w:hAnsi="仿宋_GB2312" w:eastAsia="仿宋_GB2312" w:cs="仿宋_GB2312"/>
          <w:sz w:val="32"/>
          <w:szCs w:val="32"/>
        </w:rPr>
        <w:t>当符合下列要求</w:t>
      </w:r>
      <w:r>
        <w:rPr>
          <w:rFonts w:hint="eastAsia" w:ascii="仿宋_GB2312" w:hAnsi="仿宋_GB2312" w:eastAsia="仿宋_GB2312" w:cs="仿宋_GB2312"/>
          <w:sz w:val="32"/>
          <w:szCs w:val="32"/>
        </w:rPr>
        <w:t>：</w:t>
      </w:r>
    </w:p>
    <w:p>
      <w:pPr>
        <w:pStyle w:val="2"/>
        <w:spacing w:before="0" w:beforeLines="0" w:after="0" w:afterLines="0" w:line="240" w:lineRule="auto"/>
        <w:ind w:firstLine="640" w:firstLineChars="200"/>
        <w:jc w:val="both"/>
        <w:rPr>
          <w:rFonts w:hint="eastAsia" w:ascii="仿宋_GB2312" w:hAnsi="仿宋_GB2312" w:eastAsia="仿宋_GB2312" w:cs="仿宋_GB2312"/>
          <w:sz w:val="32"/>
          <w:szCs w:val="32"/>
        </w:rPr>
      </w:pPr>
      <w:r>
        <w:rPr>
          <w:rFonts w:ascii="仿宋_GB2312" w:hAnsi="仿宋_GB2312" w:eastAsia="仿宋_GB2312" w:cs="仿宋_GB2312"/>
          <w:sz w:val="32"/>
          <w:szCs w:val="32"/>
        </w:rPr>
        <w:t>（一）依法设立，并有与其开展业务相适应的固定场所和相应的工作人员；</w:t>
      </w:r>
    </w:p>
    <w:p>
      <w:pPr>
        <w:pStyle w:val="2"/>
        <w:spacing w:before="0" w:beforeLines="0" w:after="0" w:afterLines="0" w:line="240" w:lineRule="auto"/>
        <w:ind w:firstLine="640" w:firstLineChars="200"/>
        <w:jc w:val="both"/>
        <w:rPr>
          <w:rFonts w:hint="eastAsia" w:ascii="仿宋_GB2312" w:hAnsi="仿宋_GB2312" w:eastAsia="仿宋_GB2312" w:cs="仿宋_GB2312"/>
          <w:sz w:val="32"/>
          <w:szCs w:val="32"/>
        </w:rPr>
      </w:pPr>
      <w:r>
        <w:rPr>
          <w:rFonts w:ascii="仿宋_GB2312" w:hAnsi="仿宋_GB2312" w:eastAsia="仿宋_GB2312" w:cs="仿宋_GB2312"/>
          <w:sz w:val="32"/>
          <w:szCs w:val="32"/>
        </w:rPr>
        <w:t>（二）具备法律、法规要求的资质、资格或其他许可条件；</w:t>
      </w:r>
    </w:p>
    <w:p>
      <w:pPr>
        <w:pStyle w:val="2"/>
        <w:spacing w:before="0" w:beforeLines="0" w:after="0" w:afterLines="0" w:line="240" w:lineRule="auto"/>
        <w:ind w:firstLine="640" w:firstLineChars="200"/>
        <w:jc w:val="both"/>
        <w:rPr>
          <w:rFonts w:hint="eastAsia" w:ascii="仿宋_GB2312" w:hAnsi="仿宋_GB2312" w:eastAsia="仿宋_GB2312" w:cs="仿宋_GB2312"/>
          <w:sz w:val="32"/>
          <w:szCs w:val="32"/>
        </w:rPr>
      </w:pPr>
      <w:r>
        <w:rPr>
          <w:rFonts w:ascii="仿宋_GB2312" w:hAnsi="仿宋_GB2312" w:eastAsia="仿宋_GB2312" w:cs="仿宋_GB2312"/>
          <w:sz w:val="32"/>
          <w:szCs w:val="32"/>
        </w:rPr>
        <w:t>（三）执业人员具有所从事的中介活动相适应的知识、技能和职业操守；</w:t>
      </w:r>
    </w:p>
    <w:p>
      <w:pPr>
        <w:pStyle w:val="2"/>
        <w:spacing w:before="0" w:beforeLines="0" w:after="0" w:afterLines="0" w:line="240" w:lineRule="auto"/>
        <w:ind w:firstLine="640" w:firstLineChars="200"/>
        <w:jc w:val="both"/>
        <w:rPr>
          <w:rFonts w:hint="eastAsia" w:ascii="仿宋_GB2312" w:hAnsi="仿宋_GB2312" w:eastAsia="仿宋_GB2312" w:cs="仿宋_GB2312"/>
          <w:sz w:val="32"/>
          <w:szCs w:val="32"/>
        </w:rPr>
      </w:pPr>
      <w:r>
        <w:rPr>
          <w:rFonts w:ascii="仿宋_GB2312" w:hAnsi="仿宋_GB2312" w:eastAsia="仿宋_GB2312" w:cs="仿宋_GB2312"/>
          <w:sz w:val="32"/>
          <w:szCs w:val="32"/>
        </w:rPr>
        <w:t>（四）在安全可控的前提下开展第三方中介服务</w:t>
      </w:r>
      <w:r>
        <w:rPr>
          <w:rFonts w:hint="eastAsia" w:ascii="仿宋_GB2312" w:hAnsi="仿宋_GB2312" w:eastAsia="仿宋_GB2312" w:cs="仿宋_GB2312"/>
          <w:sz w:val="32"/>
          <w:szCs w:val="32"/>
        </w:rPr>
        <w:t>。</w:t>
      </w:r>
    </w:p>
    <w:p>
      <w:pPr>
        <w:jc w:val="center"/>
        <w:rPr>
          <w:rFonts w:hint="eastAsia" w:ascii="黑体" w:hAnsi="黑体" w:eastAsia="黑体" w:cs="黑体"/>
          <w:sz w:val="32"/>
          <w:szCs w:val="32"/>
        </w:rPr>
      </w:pPr>
      <w:r>
        <w:rPr>
          <w:rFonts w:hint="eastAsia" w:ascii="黑体" w:hAnsi="黑体" w:eastAsia="黑体" w:cs="黑体"/>
          <w:sz w:val="32"/>
          <w:szCs w:val="32"/>
        </w:rPr>
        <w:t>第五章 数据交易行为</w:t>
      </w:r>
    </w:p>
    <w:p>
      <w:pPr>
        <w:ind w:firstLine="643" w:firstLineChars="200"/>
      </w:pP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sz w:val="32"/>
          <w:szCs w:val="32"/>
        </w:rPr>
        <w:t>【数据交易行为】省数据局应会同有关部门规范引导场外交易，培育壮大场内交易，建立合规高效、场内外结合的数据要素流通和交易体系。</w:t>
      </w:r>
    </w:p>
    <w:p>
      <w:pPr>
        <w:pStyle w:val="2"/>
        <w:spacing w:before="0" w:beforeLines="0" w:after="0" w:afterLines="0" w:line="240" w:lineRule="auto"/>
        <w:ind w:firstLine="64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场内交易是指通过数据交易场所开展的数据买卖活动。</w:t>
      </w:r>
    </w:p>
    <w:p>
      <w:pPr>
        <w:pStyle w:val="2"/>
        <w:spacing w:before="0" w:beforeLines="0" w:after="0" w:afterLines="0" w:line="240" w:lineRule="auto"/>
        <w:ind w:firstLine="64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场外交易是指在数据交易场所之外开展的数据买卖活动。</w:t>
      </w:r>
    </w:p>
    <w:p>
      <w:pPr>
        <w:pStyle w:val="2"/>
        <w:spacing w:before="0" w:beforeLines="0" w:after="0" w:afterLines="0" w:line="240" w:lineRule="auto"/>
        <w:ind w:firstLine="642"/>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【场内数据交易】场内交易一般包括主体登记、标的登记、交易磋商、交易定价、合同签订、标的交付、交易结算、争议处理、交易备案等环节。</w:t>
      </w:r>
    </w:p>
    <w:p>
      <w:pPr>
        <w:pStyle w:val="2"/>
        <w:numPr>
          <w:ilvl w:val="0"/>
          <w:numId w:val="5"/>
        </w:numPr>
        <w:spacing w:before="0" w:beforeLines="0" w:after="0" w:afterLines="0" w:line="240" w:lineRule="auto"/>
        <w:ind w:firstLine="64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交易主体、标的登记。数据交易场所应当在省数据局指导下，制定交易主体登记规则，审核交易主体相关信息，对通过审核的交易主体颁发相应登记凭证。</w:t>
      </w:r>
    </w:p>
    <w:p>
      <w:pPr>
        <w:pStyle w:val="2"/>
        <w:spacing w:before="0" w:beforeLines="0" w:after="0" w:afterLines="0" w:line="240" w:lineRule="auto"/>
        <w:ind w:firstLine="640" w:firstLineChars="200"/>
        <w:jc w:val="left"/>
      </w:pPr>
      <w:r>
        <w:rPr>
          <w:rFonts w:hint="eastAsia" w:ascii="仿宋_GB2312" w:hAnsi="仿宋_GB2312" w:eastAsia="仿宋_GB2312" w:cs="仿宋_GB2312"/>
          <w:sz w:val="32"/>
          <w:szCs w:val="32"/>
        </w:rPr>
        <w:t>数据交易场所应当在省数据局指导下，制定交易标的登记规则，审核交易标的相关信息，对通过审核的交易标的颁发相应登记凭证。</w:t>
      </w:r>
    </w:p>
    <w:p>
      <w:pPr>
        <w:pStyle w:val="2"/>
        <w:numPr>
          <w:ilvl w:val="0"/>
          <w:numId w:val="5"/>
        </w:numPr>
        <w:spacing w:before="0" w:beforeLines="0" w:after="0" w:afterLines="0" w:line="240" w:lineRule="auto"/>
        <w:ind w:firstLine="64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交易磋商。交易双方就交易标的内容、用途、适用范围、使用期限、交付质量、交付方式、交易金额、安全责任、保密条款等进行协商和约定。</w:t>
      </w:r>
    </w:p>
    <w:p>
      <w:pPr>
        <w:pStyle w:val="2"/>
        <w:numPr>
          <w:ilvl w:val="0"/>
          <w:numId w:val="5"/>
        </w:numPr>
        <w:spacing w:before="0" w:beforeLines="0" w:after="0" w:afterLines="0" w:line="240" w:lineRule="auto"/>
        <w:ind w:firstLine="64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交易定价。交易双方可选择采用协商定价、评估定价或使用交易场所提供的定价工具等方式形成交易价格，执行政府定价、政府指导价的交易标的除外。</w:t>
      </w:r>
    </w:p>
    <w:p>
      <w:pPr>
        <w:pStyle w:val="2"/>
        <w:spacing w:before="0" w:beforeLines="0" w:after="0" w:afterLines="0" w:line="240" w:lineRule="auto"/>
        <w:ind w:firstLine="64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（四）合同签订。经双方友好磋商，形成交易订单的，数据交易场所应对交易合同进行审核并备份存证，确保合同约定内容符合相关法律、法规、规章和标准等要求。</w:t>
      </w:r>
    </w:p>
    <w:p>
      <w:pPr>
        <w:pStyle w:val="2"/>
        <w:spacing w:before="0" w:beforeLines="0" w:after="0" w:afterLines="0" w:line="240" w:lineRule="auto"/>
        <w:ind w:firstLine="64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（五）标的交付。交易双方应按照交易合同约定内容进行交付，如发现标的交付过程中存在违法违规情形，数据交易场所应依法采取必要的处置措施，并向监督管理部门报告。</w:t>
      </w:r>
    </w:p>
    <w:p>
      <w:pPr>
        <w:ind w:firstLine="640" w:firstLineChars="200"/>
      </w:pPr>
      <w:r>
        <w:rPr>
          <w:rFonts w:hint="eastAsia" w:ascii="仿宋_GB2312" w:hAnsi="仿宋_GB2312" w:eastAsia="仿宋_GB2312" w:cs="仿宋_GB2312"/>
          <w:sz w:val="32"/>
          <w:szCs w:val="32"/>
        </w:rPr>
        <w:t>（六）交易结算。交易双方应按照合同约定，通过数据交易场所进行资金结算。</w:t>
      </w:r>
    </w:p>
    <w:p>
      <w:pPr>
        <w:pStyle w:val="2"/>
        <w:spacing w:before="0" w:beforeLines="0" w:after="0" w:afterLines="0" w:line="240" w:lineRule="auto"/>
        <w:ind w:firstLine="64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（七）争议处置。</w:t>
      </w:r>
      <w:r>
        <w:rPr>
          <w:rFonts w:ascii="仿宋_GB2312" w:hAnsi="仿宋_GB2312" w:eastAsia="仿宋_GB2312" w:cs="仿宋_GB2312"/>
          <w:sz w:val="32"/>
          <w:szCs w:val="32"/>
        </w:rPr>
        <w:t>数</w:t>
      </w:r>
      <w:r>
        <w:rPr>
          <w:rFonts w:hint="eastAsia" w:ascii="仿宋_GB2312" w:hAnsi="仿宋_GB2312" w:eastAsia="仿宋_GB2312" w:cs="仿宋_GB2312"/>
          <w:sz w:val="32"/>
          <w:szCs w:val="32"/>
        </w:rPr>
        <w:t>据交易</w:t>
      </w:r>
      <w:r>
        <w:rPr>
          <w:rFonts w:ascii="仿宋_GB2312" w:hAnsi="仿宋_GB2312" w:eastAsia="仿宋_GB2312" w:cs="仿宋_GB2312"/>
          <w:sz w:val="32"/>
          <w:szCs w:val="32"/>
        </w:rPr>
        <w:t>场所</w:t>
      </w:r>
      <w:r>
        <w:rPr>
          <w:rFonts w:hint="eastAsia" w:ascii="仿宋_GB2312" w:hAnsi="仿宋_GB2312" w:eastAsia="仿宋_GB2312" w:cs="仿宋_GB2312"/>
          <w:sz w:val="32"/>
          <w:szCs w:val="32"/>
        </w:rPr>
        <w:t>应建立争议解决机制，制定争议解决规则，公平、公正地协调解决数据交易双方的争议。</w:t>
      </w:r>
    </w:p>
    <w:p>
      <w:pPr>
        <w:pStyle w:val="2"/>
        <w:spacing w:before="0" w:beforeLines="0" w:after="0" w:afterLines="0" w:line="240" w:lineRule="auto"/>
        <w:ind w:firstLine="64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（八）行为规范。数据交易场所开展数据交易活动，应符合国家和省交易场所有关规定。</w:t>
      </w:r>
    </w:p>
    <w:p/>
    <w:p>
      <w:pPr>
        <w:pStyle w:val="2"/>
        <w:spacing w:before="0" w:beforeLines="0" w:after="0" w:afterLines="0" w:line="240" w:lineRule="auto"/>
        <w:ind w:firstLine="642"/>
        <w:jc w:val="left"/>
        <w:rPr>
          <w:rFonts w:ascii="Times New Roman" w:hAnsi="Times New Roman" w:eastAsia="仿宋_GB2312" w:cs="Times New Roman"/>
          <w:sz w:val="32"/>
          <w:szCs w:val="32"/>
        </w:rPr>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sz w:val="32"/>
          <w:szCs w:val="32"/>
        </w:rPr>
        <w:t>【场外数据交易】数据交易主体开展场外数据交易的，应遵循自愿、平等、公平、诚实信用的原则，</w:t>
      </w:r>
      <w:r>
        <w:rPr>
          <w:rFonts w:ascii="Times New Roman" w:hAnsi="Times New Roman" w:eastAsia="仿宋_GB2312" w:cs="Times New Roman"/>
          <w:sz w:val="32"/>
          <w:szCs w:val="32"/>
        </w:rPr>
        <w:t>并</w:t>
      </w:r>
      <w:r>
        <w:rPr>
          <w:rFonts w:hint="eastAsia" w:ascii="Times New Roman" w:hAnsi="Times New Roman" w:eastAsia="仿宋_GB2312" w:cs="Times New Roman"/>
          <w:sz w:val="32"/>
          <w:szCs w:val="32"/>
        </w:rPr>
        <w:t>应</w:t>
      </w:r>
      <w:r>
        <w:rPr>
          <w:rFonts w:ascii="Times New Roman" w:hAnsi="Times New Roman" w:eastAsia="仿宋_GB2312" w:cs="Times New Roman"/>
          <w:sz w:val="32"/>
          <w:szCs w:val="32"/>
        </w:rPr>
        <w:t>符合法律、法规规定的条件</w:t>
      </w:r>
      <w:r>
        <w:rPr>
          <w:rFonts w:hint="eastAsia" w:ascii="Times New Roman" w:hAnsi="Times New Roman" w:eastAsia="仿宋_GB2312" w:cs="Times New Roman"/>
          <w:sz w:val="32"/>
          <w:szCs w:val="32"/>
        </w:rPr>
        <w:t>。</w:t>
      </w:r>
    </w:p>
    <w:p>
      <w:pPr>
        <w:pStyle w:val="2"/>
        <w:spacing w:before="0" w:beforeLines="0" w:after="0" w:afterLines="0" w:line="240" w:lineRule="auto"/>
        <w:ind w:firstLine="642"/>
        <w:jc w:val="left"/>
      </w:pPr>
      <w:r>
        <w:rPr>
          <w:rFonts w:hint="eastAsia" w:ascii="Times New Roman" w:hAnsi="Times New Roman" w:eastAsia="仿宋_GB2312" w:cs="Times New Roman"/>
          <w:sz w:val="32"/>
          <w:szCs w:val="32"/>
        </w:rPr>
        <w:t>鼓励</w:t>
      </w:r>
      <w:r>
        <w:rPr>
          <w:rFonts w:hint="eastAsia" w:ascii="仿宋_GB2312" w:hAnsi="仿宋_GB2312" w:eastAsia="仿宋_GB2312" w:cs="仿宋_GB2312"/>
          <w:sz w:val="32"/>
          <w:szCs w:val="32"/>
        </w:rPr>
        <w:t>数据交易主体按照国家、省数据主管部门制定的数据流通交易示范合同，明确交易双方的责任和义务，有序开展场外数据交易。</w:t>
      </w:r>
    </w:p>
    <w:p/>
    <w:p>
      <w:pPr>
        <w:jc w:val="center"/>
        <w:rPr>
          <w:rFonts w:hint="eastAsia" w:ascii="黑体" w:hAnsi="黑体" w:eastAsia="黑体" w:cs="黑体"/>
          <w:sz w:val="32"/>
          <w:szCs w:val="32"/>
        </w:rPr>
      </w:pPr>
      <w:r>
        <w:rPr>
          <w:rFonts w:hint="eastAsia" w:ascii="黑体" w:hAnsi="黑体" w:eastAsia="黑体" w:cs="黑体"/>
          <w:sz w:val="32"/>
          <w:szCs w:val="32"/>
        </w:rPr>
        <w:t>第六章 安全管理</w:t>
      </w:r>
    </w:p>
    <w:p>
      <w:pPr>
        <w:ind w:firstLine="643" w:firstLineChars="200"/>
        <w:rPr>
          <w:rFonts w:hint="eastAsia" w:ascii="仿宋_GB2312" w:hAnsi="仿宋_GB2312" w:eastAsia="仿宋_GB2312" w:cs="仿宋_GB2312"/>
          <w:sz w:val="32"/>
          <w:szCs w:val="32"/>
        </w:rPr>
      </w:pPr>
      <w:r>
        <w:rPr>
          <w:rFonts w:ascii="仿宋_GB2312" w:hAnsi="仿宋_GB2312" w:eastAsia="仿宋_GB2312" w:cs="仿宋_GB2312"/>
          <w:b/>
          <w:bCs/>
          <w:sz w:val="32"/>
          <w:szCs w:val="32"/>
        </w:rPr>
        <w:t>第</w:t>
      </w:r>
      <w:r>
        <w:rPr>
          <w:rFonts w:hint="eastAsia" w:ascii="仿宋_GB2312" w:hAnsi="仿宋_GB2312" w:eastAsia="仿宋_GB2312" w:cs="仿宋_GB2312"/>
          <w:b/>
          <w:bCs/>
          <w:sz w:val="32"/>
          <w:szCs w:val="32"/>
        </w:rPr>
        <w:t>二</w:t>
      </w:r>
      <w:r>
        <w:rPr>
          <w:rFonts w:ascii="仿宋_GB2312" w:hAnsi="仿宋_GB2312" w:eastAsia="仿宋_GB2312" w:cs="仿宋_GB2312"/>
          <w:b/>
          <w:bCs/>
          <w:sz w:val="32"/>
          <w:szCs w:val="32"/>
        </w:rPr>
        <w:t>十</w:t>
      </w:r>
      <w:r>
        <w:rPr>
          <w:rFonts w:hint="eastAsia" w:ascii="仿宋_GB2312" w:hAnsi="仿宋_GB2312" w:eastAsia="仿宋_GB2312" w:cs="仿宋_GB2312"/>
          <w:b/>
          <w:bCs/>
          <w:sz w:val="32"/>
          <w:szCs w:val="32"/>
        </w:rPr>
        <w:t>二</w:t>
      </w:r>
      <w:r>
        <w:rPr>
          <w:rFonts w:ascii="仿宋_GB2312" w:hAnsi="仿宋_GB2312" w:eastAsia="仿宋_GB2312" w:cs="仿宋_GB2312"/>
          <w:b/>
          <w:bCs/>
          <w:sz w:val="32"/>
          <w:szCs w:val="32"/>
        </w:rPr>
        <w:t>条</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部门安全管理职责</w:t>
      </w:r>
      <w:r>
        <w:rPr>
          <w:rFonts w:hint="eastAsia" w:ascii="仿宋_GB2312" w:hAnsi="仿宋_GB2312" w:eastAsia="仿宋_GB2312" w:cs="仿宋_GB2312"/>
          <w:b/>
          <w:bCs/>
          <w:sz w:val="32"/>
          <w:szCs w:val="32"/>
        </w:rPr>
        <w:t>】</w:t>
      </w:r>
      <w:r>
        <w:rPr>
          <w:rFonts w:ascii="仿宋_GB2312" w:hAnsi="仿宋_GB2312" w:eastAsia="仿宋_GB2312" w:cs="仿宋_GB2312"/>
          <w:sz w:val="32"/>
          <w:szCs w:val="32"/>
        </w:rPr>
        <w:t>省数据局会同有关部门定期开展数据</w:t>
      </w:r>
      <w:r>
        <w:rPr>
          <w:rFonts w:hint="eastAsia" w:ascii="仿宋_GB2312" w:hAnsi="仿宋_GB2312" w:eastAsia="仿宋_GB2312" w:cs="仿宋_GB2312"/>
          <w:sz w:val="32"/>
          <w:szCs w:val="32"/>
        </w:rPr>
        <w:t>流通交易</w:t>
      </w:r>
      <w:r>
        <w:rPr>
          <w:rFonts w:ascii="仿宋_GB2312" w:hAnsi="仿宋_GB2312" w:eastAsia="仿宋_GB2312" w:cs="仿宋_GB2312"/>
          <w:sz w:val="32"/>
          <w:szCs w:val="32"/>
        </w:rPr>
        <w:t>安全检查，指导数据交易场所采取技术手段和其他必要措施，排查数据安全风险，保障数据流通交易平台安全。</w:t>
      </w:r>
    </w:p>
    <w:p>
      <w:pPr>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网信、公安、密码管理等部门在数据流通交易安全监督管理中，发现存在较大安全风险的，提出改进要求并督促整改。</w:t>
      </w:r>
    </w:p>
    <w:p>
      <w:pPr>
        <w:ind w:firstLine="643" w:firstLineChars="200"/>
        <w:rPr>
          <w:rFonts w:hint="eastAsia" w:ascii="仿宋_GB2312" w:hAnsi="仿宋_GB2312" w:eastAsia="仿宋_GB2312" w:cs="仿宋_GB2312"/>
          <w:sz w:val="32"/>
          <w:szCs w:val="32"/>
        </w:rPr>
      </w:pPr>
      <w:r>
        <w:rPr>
          <w:rFonts w:ascii="仿宋_GB2312" w:hAnsi="仿宋_GB2312" w:eastAsia="仿宋_GB2312" w:cs="仿宋_GB2312"/>
          <w:b/>
          <w:bCs/>
          <w:sz w:val="32"/>
          <w:szCs w:val="32"/>
        </w:rPr>
        <w:t>第</w:t>
      </w:r>
      <w:r>
        <w:rPr>
          <w:rFonts w:hint="eastAsia" w:ascii="仿宋_GB2312" w:hAnsi="仿宋_GB2312" w:eastAsia="仿宋_GB2312" w:cs="仿宋_GB2312"/>
          <w:b/>
          <w:bCs/>
          <w:sz w:val="32"/>
          <w:szCs w:val="32"/>
        </w:rPr>
        <w:t>二</w:t>
      </w:r>
      <w:r>
        <w:rPr>
          <w:rFonts w:ascii="仿宋_GB2312" w:hAnsi="仿宋_GB2312" w:eastAsia="仿宋_GB2312" w:cs="仿宋_GB2312"/>
          <w:b/>
          <w:bCs/>
          <w:sz w:val="32"/>
          <w:szCs w:val="32"/>
        </w:rPr>
        <w:t>十</w:t>
      </w:r>
      <w:r>
        <w:rPr>
          <w:rFonts w:hint="eastAsia" w:ascii="仿宋_GB2312" w:hAnsi="仿宋_GB2312" w:eastAsia="仿宋_GB2312" w:cs="仿宋_GB2312"/>
          <w:b/>
          <w:bCs/>
          <w:sz w:val="32"/>
          <w:szCs w:val="32"/>
        </w:rPr>
        <w:t>三</w:t>
      </w:r>
      <w:r>
        <w:rPr>
          <w:rFonts w:ascii="仿宋_GB2312" w:hAnsi="仿宋_GB2312" w:eastAsia="仿宋_GB2312" w:cs="仿宋_GB2312"/>
          <w:b/>
          <w:bCs/>
          <w:sz w:val="32"/>
          <w:szCs w:val="32"/>
        </w:rPr>
        <w:t>条</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数据交易场所安全管理职责</w:t>
      </w:r>
      <w:r>
        <w:rPr>
          <w:rFonts w:hint="eastAsia" w:ascii="仿宋_GB2312" w:hAnsi="仿宋_GB2312" w:eastAsia="仿宋_GB2312" w:cs="仿宋_GB2312"/>
          <w:b/>
          <w:bCs/>
          <w:sz w:val="32"/>
          <w:szCs w:val="32"/>
        </w:rPr>
        <w:t>】</w:t>
      </w:r>
      <w:r>
        <w:rPr>
          <w:rFonts w:ascii="仿宋_GB2312" w:hAnsi="仿宋_GB2312" w:eastAsia="仿宋_GB2312" w:cs="仿宋_GB2312"/>
          <w:sz w:val="32"/>
          <w:szCs w:val="32"/>
        </w:rPr>
        <w:t xml:space="preserve"> 数据交易场所应当制定重大安全风险监测、风险警示、风险处置等风险控制制度以及突发事件应急处置预案，</w:t>
      </w:r>
      <w:r>
        <w:rPr>
          <w:rFonts w:hint="eastAsia" w:ascii="仿宋_GB2312" w:hAnsi="仿宋_GB2312" w:eastAsia="仿宋_GB2312" w:cs="仿宋_GB2312"/>
          <w:sz w:val="32"/>
          <w:szCs w:val="32"/>
        </w:rPr>
        <w:t>定期组织应急演练，提升应对数据安全事件的能力。</w:t>
      </w:r>
    </w:p>
    <w:p>
      <w:pPr>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数据交易场所应选取有关专业机构或组织，定期开展数据流通交易安全风险评估，不断健全完善数据流通交易安全管理机制，保障交易活动安全。</w:t>
      </w:r>
    </w:p>
    <w:p>
      <w:pPr>
        <w:ind w:firstLine="640" w:firstLineChars="200"/>
        <w:rPr>
          <w:rFonts w:ascii="仿宋_GB2312" w:hAnsi="仿宋_GB2312" w:eastAsia="仿宋_GB2312" w:cs="仿宋_GB2312"/>
          <w:sz w:val="32"/>
          <w:szCs w:val="32"/>
        </w:rPr>
      </w:pPr>
      <w:r>
        <w:rPr>
          <w:rFonts w:ascii="仿宋_GB2312" w:hAnsi="仿宋_GB2312" w:cs="仿宋_GB2312"/>
          <w:sz w:val="32"/>
          <w:szCs w:val="32"/>
        </w:rPr>
        <w:t>数据交易场所应当要求数据提供方说明数据来源，审核交易双方的身份，并留存审核、交易记录。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发生数据安全事件或者出现数据安全风险明显加大等情况时，数据交易场所应当立即采取补救措施，及时告知可能受影响的用户，并向省数据局等有关主管部门报告</w:t>
      </w:r>
      <w:r>
        <w:rPr>
          <w:rFonts w:ascii="仿宋_GB2312" w:hAnsi="仿宋_GB2312" w:eastAsia="仿宋_GB2312" w:cs="仿宋_GB2312"/>
          <w:sz w:val="32"/>
          <w:szCs w:val="32"/>
        </w:rPr>
        <w:t>。</w:t>
      </w:r>
    </w:p>
    <w:p>
      <w:pPr>
        <w:pStyle w:val="2"/>
        <w:spacing w:before="156" w:after="156" w:line="360"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b/>
          <w:bCs/>
          <w:sz w:val="32"/>
          <w:szCs w:val="32"/>
        </w:rPr>
        <w:t>第</w:t>
      </w:r>
      <w:r>
        <w:rPr>
          <w:rFonts w:hint="eastAsia" w:ascii="仿宋_GB2312" w:hAnsi="仿宋_GB2312" w:eastAsia="仿宋_GB2312" w:cs="仿宋_GB2312"/>
          <w:b/>
          <w:bCs/>
          <w:sz w:val="32"/>
          <w:szCs w:val="32"/>
        </w:rPr>
        <w:t>二</w:t>
      </w:r>
      <w:r>
        <w:rPr>
          <w:rFonts w:ascii="仿宋_GB2312" w:hAnsi="仿宋_GB2312" w:eastAsia="仿宋_GB2312" w:cs="仿宋_GB2312"/>
          <w:b/>
          <w:bCs/>
          <w:sz w:val="32"/>
          <w:szCs w:val="32"/>
        </w:rPr>
        <w:t>十</w:t>
      </w:r>
      <w:r>
        <w:rPr>
          <w:rFonts w:hint="eastAsia" w:ascii="仿宋_GB2312" w:hAnsi="仿宋_GB2312" w:eastAsia="仿宋_GB2312" w:cs="仿宋_GB2312"/>
          <w:b/>
          <w:bCs/>
          <w:sz w:val="32"/>
          <w:szCs w:val="32"/>
        </w:rPr>
        <w:t>五</w:t>
      </w:r>
      <w:r>
        <w:rPr>
          <w:rFonts w:ascii="仿宋_GB2312" w:hAnsi="仿宋_GB2312" w:eastAsia="仿宋_GB2312" w:cs="仿宋_GB2312"/>
          <w:b/>
          <w:bCs/>
          <w:sz w:val="32"/>
          <w:szCs w:val="32"/>
        </w:rPr>
        <w:t>条</w:t>
      </w:r>
      <w:r>
        <w:rPr>
          <w:rFonts w:hint="eastAsia" w:ascii="仿宋_GB2312" w:hAnsi="仿宋_GB2312" w:eastAsia="仿宋_GB2312" w:cs="仿宋_GB2312"/>
          <w:sz w:val="32"/>
          <w:szCs w:val="32"/>
        </w:rPr>
        <w:t>【数据交易场所保密责任】</w:t>
      </w:r>
      <w:r>
        <w:rPr>
          <w:rFonts w:ascii="仿宋_GB2312" w:hAnsi="仿宋_GB2312" w:eastAsia="仿宋_GB2312" w:cs="仿宋_GB2312"/>
          <w:sz w:val="32"/>
          <w:szCs w:val="32"/>
        </w:rPr>
        <w:t>数据交易场所</w:t>
      </w:r>
      <w:r>
        <w:rPr>
          <w:rFonts w:hint="eastAsia" w:ascii="仿宋_GB2312" w:hAnsi="仿宋_GB2312" w:eastAsia="仿宋_GB2312" w:cs="仿宋_GB2312"/>
          <w:sz w:val="32"/>
          <w:szCs w:val="32"/>
        </w:rPr>
        <w:t>应当建立健全数据保密制度，</w:t>
      </w:r>
      <w:r>
        <w:rPr>
          <w:rFonts w:ascii="仿宋_GB2312" w:hAnsi="仿宋_GB2312" w:eastAsia="仿宋_GB2312" w:cs="仿宋_GB2312"/>
          <w:sz w:val="32"/>
          <w:szCs w:val="32"/>
        </w:rPr>
        <w:t>未经相关主体授权不得向任何其他方披露交易过程中获取的各方信息，亦不得</w:t>
      </w:r>
      <w:r>
        <w:rPr>
          <w:rFonts w:hint="eastAsia" w:ascii="仿宋_GB2312" w:hAnsi="仿宋_GB2312" w:eastAsia="仿宋_GB2312" w:cs="仿宋_GB2312"/>
          <w:sz w:val="32"/>
          <w:szCs w:val="32"/>
        </w:rPr>
        <w:t>将相关信息</w:t>
      </w:r>
      <w:r>
        <w:rPr>
          <w:rFonts w:ascii="仿宋_GB2312" w:hAnsi="仿宋_GB2312" w:eastAsia="仿宋_GB2312" w:cs="仿宋_GB2312"/>
          <w:sz w:val="32"/>
          <w:szCs w:val="32"/>
        </w:rPr>
        <w:t>用于与交易无关的其他用途。</w:t>
      </w:r>
    </w:p>
    <w:p>
      <w:pPr>
        <w:ind w:firstLine="643" w:firstLineChars="200"/>
        <w:rPr>
          <w:rFonts w:hint="eastAsia" w:ascii="仿宋_GB2312" w:hAnsi="仿宋_GB2312" w:eastAsia="仿宋_GB2312" w:cs="仿宋_GB2312"/>
          <w:sz w:val="32"/>
          <w:szCs w:val="32"/>
        </w:rPr>
      </w:pPr>
      <w:r>
        <w:rPr>
          <w:rFonts w:ascii="仿宋_GB2312" w:hAnsi="仿宋_GB2312" w:eastAsia="仿宋_GB2312" w:cs="仿宋_GB2312"/>
          <w:b/>
          <w:bCs/>
          <w:sz w:val="32"/>
          <w:szCs w:val="32"/>
        </w:rPr>
        <w:t>第</w:t>
      </w:r>
      <w:r>
        <w:rPr>
          <w:rFonts w:hint="eastAsia" w:ascii="仿宋_GB2312" w:hAnsi="仿宋_GB2312" w:eastAsia="仿宋_GB2312" w:cs="仿宋_GB2312"/>
          <w:b/>
          <w:bCs/>
          <w:sz w:val="32"/>
          <w:szCs w:val="32"/>
        </w:rPr>
        <w:t>二</w:t>
      </w:r>
      <w:r>
        <w:rPr>
          <w:rFonts w:ascii="仿宋_GB2312" w:hAnsi="仿宋_GB2312" w:eastAsia="仿宋_GB2312" w:cs="仿宋_GB2312"/>
          <w:b/>
          <w:bCs/>
          <w:sz w:val="32"/>
          <w:szCs w:val="32"/>
        </w:rPr>
        <w:t>十</w:t>
      </w:r>
      <w:r>
        <w:rPr>
          <w:rFonts w:hint="eastAsia" w:ascii="仿宋_GB2312" w:hAnsi="仿宋_GB2312" w:eastAsia="仿宋_GB2312" w:cs="仿宋_GB2312"/>
          <w:b/>
          <w:bCs/>
          <w:sz w:val="32"/>
          <w:szCs w:val="32"/>
        </w:rPr>
        <w:t>六</w:t>
      </w:r>
      <w:r>
        <w:rPr>
          <w:rFonts w:ascii="仿宋_GB2312" w:hAnsi="仿宋_GB2312" w:eastAsia="仿宋_GB2312" w:cs="仿宋_GB2312"/>
          <w:b/>
          <w:bCs/>
          <w:sz w:val="32"/>
          <w:szCs w:val="32"/>
        </w:rPr>
        <w:t>条</w:t>
      </w:r>
      <w:r>
        <w:rPr>
          <w:rFonts w:hint="eastAsia" w:ascii="仿宋_GB2312" w:hAnsi="仿宋_GB2312" w:eastAsia="仿宋_GB2312" w:cs="仿宋_GB2312"/>
          <w:sz w:val="32"/>
          <w:szCs w:val="32"/>
        </w:rPr>
        <w:t>【数据交易主体安全职责】数据交易</w:t>
      </w:r>
      <w:r>
        <w:rPr>
          <w:rFonts w:ascii="仿宋_GB2312" w:hAnsi="仿宋_GB2312" w:eastAsia="仿宋_GB2312" w:cs="仿宋_GB2312"/>
          <w:sz w:val="32"/>
          <w:szCs w:val="32"/>
        </w:rPr>
        <w:t>主体</w:t>
      </w:r>
      <w:r>
        <w:rPr>
          <w:rFonts w:hint="eastAsia" w:ascii="仿宋_GB2312" w:hAnsi="仿宋_GB2312" w:eastAsia="仿宋_GB2312" w:cs="仿宋_GB2312"/>
          <w:sz w:val="32"/>
          <w:szCs w:val="32"/>
        </w:rPr>
        <w:t>是交易行为的安全责任主体，</w:t>
      </w:r>
      <w:r>
        <w:rPr>
          <w:rFonts w:ascii="仿宋_GB2312" w:hAnsi="仿宋_GB2312" w:eastAsia="仿宋_GB2312" w:cs="仿宋_GB2312"/>
          <w:sz w:val="32"/>
          <w:szCs w:val="32"/>
        </w:rPr>
        <w:t>应依照法律、法规和国家标准的要求，</w:t>
      </w:r>
      <w:r>
        <w:rPr>
          <w:rFonts w:hint="eastAsia" w:ascii="仿宋_GB2312" w:hAnsi="仿宋_GB2312" w:eastAsia="仿宋_GB2312" w:cs="仿宋_GB2312"/>
          <w:sz w:val="32"/>
          <w:szCs w:val="32"/>
        </w:rPr>
        <w:t>采取相应的管理和技术措施，</w:t>
      </w:r>
      <w:r>
        <w:rPr>
          <w:rFonts w:ascii="仿宋_GB2312" w:hAnsi="仿宋_GB2312" w:eastAsia="仿宋_GB2312" w:cs="仿宋_GB2312"/>
          <w:sz w:val="32"/>
          <w:szCs w:val="32"/>
        </w:rPr>
        <w:t>强化全流程数据安全管理，切实保障数据安全。</w:t>
      </w:r>
    </w:p>
    <w:p>
      <w:pPr>
        <w:ind w:firstLine="643" w:firstLineChars="200"/>
        <w:rPr>
          <w:rFonts w:hint="eastAsia" w:ascii="仿宋_GB2312" w:hAnsi="仿宋_GB2312" w:eastAsia="仿宋_GB2312" w:cs="仿宋_GB2312"/>
          <w:sz w:val="32"/>
          <w:szCs w:val="32"/>
        </w:rPr>
      </w:pPr>
      <w:r>
        <w:rPr>
          <w:rFonts w:ascii="仿宋_GB2312" w:hAnsi="仿宋_GB2312" w:eastAsia="仿宋_GB2312" w:cs="仿宋_GB2312"/>
          <w:b/>
          <w:bCs/>
          <w:sz w:val="32"/>
          <w:szCs w:val="32"/>
        </w:rPr>
        <w:t>第</w:t>
      </w:r>
      <w:r>
        <w:rPr>
          <w:rFonts w:hint="eastAsia" w:ascii="仿宋_GB2312" w:hAnsi="仿宋_GB2312" w:eastAsia="仿宋_GB2312" w:cs="仿宋_GB2312"/>
          <w:b/>
          <w:bCs/>
          <w:sz w:val="32"/>
          <w:szCs w:val="32"/>
        </w:rPr>
        <w:t>二</w:t>
      </w:r>
      <w:r>
        <w:rPr>
          <w:rFonts w:ascii="仿宋_GB2312" w:hAnsi="仿宋_GB2312" w:eastAsia="仿宋_GB2312" w:cs="仿宋_GB2312"/>
          <w:b/>
          <w:bCs/>
          <w:sz w:val="32"/>
          <w:szCs w:val="32"/>
        </w:rPr>
        <w:t>十</w:t>
      </w:r>
      <w:r>
        <w:rPr>
          <w:rFonts w:hint="eastAsia" w:ascii="仿宋_GB2312" w:hAnsi="仿宋_GB2312" w:eastAsia="仿宋_GB2312" w:cs="仿宋_GB2312"/>
          <w:b/>
          <w:bCs/>
          <w:sz w:val="32"/>
          <w:szCs w:val="32"/>
        </w:rPr>
        <w:t>七</w:t>
      </w:r>
      <w:r>
        <w:rPr>
          <w:rFonts w:ascii="仿宋_GB2312" w:hAnsi="仿宋_GB2312" w:eastAsia="仿宋_GB2312" w:cs="仿宋_GB2312"/>
          <w:b/>
          <w:bCs/>
          <w:sz w:val="32"/>
          <w:szCs w:val="32"/>
        </w:rPr>
        <w:t>条</w:t>
      </w:r>
      <w:r>
        <w:rPr>
          <w:rFonts w:hint="eastAsia" w:ascii="仿宋_GB2312" w:hAnsi="仿宋_GB2312" w:eastAsia="仿宋_GB2312" w:cs="仿宋_GB2312"/>
          <w:sz w:val="32"/>
          <w:szCs w:val="32"/>
        </w:rPr>
        <w:t>【跨境数据流动】</w:t>
      </w:r>
      <w:r>
        <w:rPr>
          <w:rFonts w:ascii="仿宋_GB2312" w:hAnsi="仿宋_GB2312" w:eastAsia="仿宋_GB2312" w:cs="仿宋_GB2312"/>
          <w:sz w:val="32"/>
          <w:szCs w:val="32"/>
        </w:rPr>
        <w:t>涉及数据跨境流通交易的，应当按照国家有关规定执行。</w:t>
      </w:r>
    </w:p>
    <w:p>
      <w:pPr>
        <w:jc w:val="center"/>
        <w:rPr>
          <w:rFonts w:hint="eastAsia" w:ascii="黑体" w:hAnsi="黑体" w:eastAsia="黑体" w:cs="黑体"/>
          <w:sz w:val="32"/>
          <w:szCs w:val="32"/>
        </w:rPr>
      </w:pPr>
      <w:r>
        <w:rPr>
          <w:rFonts w:hint="eastAsia" w:ascii="黑体" w:hAnsi="黑体" w:eastAsia="黑体" w:cs="黑体"/>
          <w:sz w:val="32"/>
          <w:szCs w:val="32"/>
        </w:rPr>
        <w:t>第七章 监督管理</w:t>
      </w:r>
    </w:p>
    <w:p>
      <w:pPr>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第二十八条</w:t>
      </w:r>
      <w:r>
        <w:rPr>
          <w:rFonts w:hint="eastAsia" w:ascii="仿宋_GB2312" w:hAnsi="仿宋_GB2312" w:eastAsia="仿宋_GB2312" w:cs="仿宋_GB2312"/>
          <w:sz w:val="32"/>
          <w:szCs w:val="32"/>
        </w:rPr>
        <w:t>【监管机制】省数据局会同网信、发展改革、政务信息管理、公安、市场监管、金融管理、通信管理等</w:t>
      </w:r>
      <w:r>
        <w:rPr>
          <w:rFonts w:ascii="仿宋_GB2312" w:eastAsia="仿宋_GB2312" w:cs="Times New Roman"/>
          <w:color w:val="000000"/>
          <w:sz w:val="32"/>
          <w:szCs w:val="32"/>
        </w:rPr>
        <w:t>有关部门</w:t>
      </w:r>
      <w:r>
        <w:rPr>
          <w:rFonts w:hint="eastAsia" w:ascii="仿宋_GB2312" w:eastAsia="仿宋_GB2312" w:cs="Times New Roman"/>
          <w:color w:val="000000"/>
          <w:sz w:val="32"/>
          <w:szCs w:val="32"/>
        </w:rPr>
        <w:t>建立协同监管制度，重点对数据交易场所、数据交易主体进行监管。</w:t>
      </w:r>
    </w:p>
    <w:p>
      <w:pPr>
        <w:spacing w:line="360" w:lineRule="auto"/>
        <w:ind w:firstLine="640" w:firstLineChars="200"/>
        <w:rPr>
          <w:rFonts w:ascii="仿宋_GB2312" w:eastAsia="仿宋_GB2312" w:cs="Times New Roman"/>
          <w:color w:val="000000"/>
          <w:sz w:val="32"/>
          <w:szCs w:val="32"/>
        </w:rPr>
      </w:pPr>
      <w:r>
        <w:rPr>
          <w:rFonts w:hint="eastAsia" w:ascii="仿宋_GB2312" w:hAnsi="仿宋_GB2312" w:eastAsia="仿宋_GB2312" w:cs="仿宋_GB2312"/>
          <w:sz w:val="32"/>
          <w:szCs w:val="32"/>
        </w:rPr>
        <w:t>省数据局负责数据交易场所的</w:t>
      </w:r>
      <w:r>
        <w:rPr>
          <w:rFonts w:ascii="仿宋_GB2312" w:eastAsia="仿宋_GB2312" w:cs="Times New Roman"/>
          <w:color w:val="000000"/>
          <w:sz w:val="32"/>
          <w:szCs w:val="32"/>
        </w:rPr>
        <w:t>准入审核、</w:t>
      </w:r>
      <w:r>
        <w:rPr>
          <w:rFonts w:hint="eastAsia" w:ascii="仿宋_GB2312" w:hAnsi="仿宋_GB2312" w:eastAsia="仿宋_GB2312" w:cs="仿宋_GB2312"/>
          <w:sz w:val="32"/>
          <w:szCs w:val="32"/>
        </w:rPr>
        <w:t>业务监管，会同</w:t>
      </w:r>
      <w:r>
        <w:rPr>
          <w:rFonts w:ascii="仿宋_GB2312" w:eastAsia="仿宋_GB2312" w:cs="Times New Roman"/>
          <w:color w:val="000000"/>
          <w:sz w:val="32"/>
          <w:szCs w:val="32"/>
        </w:rPr>
        <w:t>有关部门共同维护行业秩序，履行行业风险处置职责。</w:t>
      </w:r>
    </w:p>
    <w:p>
      <w:pPr>
        <w:pStyle w:val="2"/>
        <w:spacing w:before="156" w:after="156" w:line="360" w:lineRule="auto"/>
        <w:ind w:firstLine="640" w:firstLineChars="200"/>
        <w:jc w:val="both"/>
      </w:pPr>
      <w:r>
        <w:rPr>
          <w:rFonts w:ascii="仿宋_GB2312" w:hAnsi="仿宋_GB2312" w:eastAsia="仿宋_GB2312" w:cs="仿宋_GB2312"/>
          <w:sz w:val="32"/>
          <w:szCs w:val="32"/>
        </w:rPr>
        <w:t>数据交易场所</w:t>
      </w:r>
      <w:r>
        <w:rPr>
          <w:rFonts w:hint="eastAsia" w:ascii="仿宋_GB2312" w:hAnsi="仿宋_GB2312" w:eastAsia="仿宋_GB2312" w:cs="仿宋_GB2312"/>
          <w:sz w:val="32"/>
          <w:szCs w:val="32"/>
        </w:rPr>
        <w:t>、数据交易主体</w:t>
      </w:r>
      <w:r>
        <w:rPr>
          <w:rFonts w:ascii="仿宋_GB2312" w:hAnsi="仿宋_GB2312" w:eastAsia="仿宋_GB2312" w:cs="仿宋_GB2312"/>
          <w:sz w:val="32"/>
          <w:szCs w:val="32"/>
        </w:rPr>
        <w:t>应当严格遵守法律法规和监管部门的规定，遵循公开、公平、公正、安全原则，依法合规经营，自觉接受监管，严格防范风险。</w:t>
      </w:r>
    </w:p>
    <w:p>
      <w:pPr>
        <w:pStyle w:val="2"/>
        <w:spacing w:before="0" w:beforeLines="0" w:after="0" w:afterLines="0" w:line="360" w:lineRule="auto"/>
        <w:ind w:firstLine="643" w:firstLineChars="200"/>
        <w:jc w:val="both"/>
        <w:rPr>
          <w:rFonts w:hint="eastAsia" w:ascii="仿宋_GB2312" w:hAnsi="仿宋_GB2312" w:eastAsia="仿宋_GB2312" w:cs="仿宋_GB2312"/>
          <w:sz w:val="32"/>
          <w:szCs w:val="32"/>
        </w:rPr>
      </w:pPr>
      <w:r>
        <w:rPr>
          <w:rFonts w:ascii="仿宋_GB2312" w:hAnsi="仿宋_GB2312" w:eastAsia="仿宋_GB2312" w:cs="仿宋_GB2312"/>
          <w:b/>
          <w:bCs/>
          <w:sz w:val="32"/>
          <w:szCs w:val="32"/>
        </w:rPr>
        <w:t>第</w:t>
      </w:r>
      <w:r>
        <w:rPr>
          <w:rFonts w:hint="eastAsia" w:ascii="仿宋_GB2312" w:hAnsi="仿宋_GB2312" w:eastAsia="仿宋_GB2312" w:cs="仿宋_GB2312"/>
          <w:b/>
          <w:bCs/>
          <w:sz w:val="32"/>
          <w:szCs w:val="32"/>
        </w:rPr>
        <w:t>二十九</w:t>
      </w:r>
      <w:r>
        <w:rPr>
          <w:rFonts w:ascii="仿宋_GB2312" w:hAnsi="仿宋_GB2312" w:eastAsia="仿宋_GB2312" w:cs="仿宋_GB2312"/>
          <w:b/>
          <w:bCs/>
          <w:sz w:val="32"/>
          <w:szCs w:val="32"/>
        </w:rPr>
        <w:t>条</w:t>
      </w:r>
      <w:r>
        <w:rPr>
          <w:rFonts w:hint="eastAsia" w:ascii="仿宋_GB2312" w:hAnsi="仿宋_GB2312" w:eastAsia="仿宋_GB2312" w:cs="仿宋_GB2312"/>
          <w:sz w:val="32"/>
          <w:szCs w:val="32"/>
        </w:rPr>
        <w:t>【信息报送】省数据局应当建立信息报送制度，数据交易场所应当按照要求，定期报送业务活动相关情况及其他专项报告等。</w:t>
      </w:r>
    </w:p>
    <w:p>
      <w:pPr>
        <w:pStyle w:val="2"/>
        <w:spacing w:before="0" w:beforeLines="0" w:after="0" w:afterLines="0" w:line="240" w:lineRule="auto"/>
        <w:ind w:firstLine="643" w:firstLineChars="200"/>
        <w:jc w:val="both"/>
        <w:rPr>
          <w:rFonts w:hint="eastAsia" w:ascii="仿宋_GB2312" w:hAnsi="仿宋_GB2312" w:eastAsia="仿宋_GB2312" w:cs="仿宋_GB2312"/>
          <w:sz w:val="32"/>
          <w:szCs w:val="32"/>
        </w:rPr>
      </w:pPr>
      <w:r>
        <w:rPr>
          <w:rFonts w:ascii="仿宋_GB2312" w:hAnsi="仿宋_GB2312" w:eastAsia="仿宋_GB2312" w:cs="仿宋_GB2312"/>
          <w:b/>
          <w:bCs/>
          <w:sz w:val="32"/>
          <w:szCs w:val="32"/>
        </w:rPr>
        <w:t>第</w:t>
      </w:r>
      <w:r>
        <w:rPr>
          <w:rFonts w:hint="eastAsia" w:ascii="仿宋_GB2312" w:hAnsi="仿宋_GB2312" w:eastAsia="仿宋_GB2312" w:cs="仿宋_GB2312"/>
          <w:b/>
          <w:bCs/>
          <w:sz w:val="32"/>
          <w:szCs w:val="32"/>
        </w:rPr>
        <w:t>三十</w:t>
      </w:r>
      <w:r>
        <w:rPr>
          <w:rFonts w:ascii="仿宋_GB2312" w:hAnsi="仿宋_GB2312" w:eastAsia="仿宋_GB2312" w:cs="仿宋_GB2312"/>
          <w:b/>
          <w:bCs/>
          <w:sz w:val="32"/>
          <w:szCs w:val="32"/>
        </w:rPr>
        <w:t>条</w:t>
      </w:r>
      <w:r>
        <w:rPr>
          <w:rFonts w:hint="eastAsia" w:ascii="仿宋_GB2312" w:hAnsi="仿宋_GB2312" w:eastAsia="仿宋_GB2312" w:cs="仿宋_GB2312"/>
          <w:sz w:val="32"/>
          <w:szCs w:val="32"/>
        </w:rPr>
        <w:t>【信用监管】省数据局应当会同有关部门，制定和实施数据流通交易信用承诺、失信惩戒和守信激励制度，规范数据交易主体信用监管，推动数据流通交易信用制度纳入社会信用体系建设。</w:t>
      </w:r>
    </w:p>
    <w:p>
      <w:pPr>
        <w:pStyle w:val="2"/>
        <w:spacing w:before="0" w:beforeLines="0" w:after="0" w:afterLines="0" w:line="240" w:lineRule="auto"/>
        <w:ind w:firstLine="643" w:firstLineChars="200"/>
        <w:jc w:val="both"/>
        <w:rPr>
          <w:rFonts w:hint="eastAsia" w:ascii="仿宋_GB2312" w:hAnsi="仿宋_GB2312" w:eastAsia="仿宋_GB2312" w:cs="仿宋_GB2312"/>
          <w:sz w:val="32"/>
          <w:szCs w:val="32"/>
        </w:rPr>
      </w:pPr>
      <w:r>
        <w:rPr>
          <w:rFonts w:ascii="仿宋_GB2312" w:hAnsi="仿宋_GB2312" w:eastAsia="仿宋_GB2312" w:cs="仿宋_GB2312"/>
          <w:b/>
          <w:bCs/>
          <w:sz w:val="32"/>
          <w:szCs w:val="32"/>
        </w:rPr>
        <w:t>第</w:t>
      </w:r>
      <w:r>
        <w:rPr>
          <w:rFonts w:hint="eastAsia" w:ascii="仿宋_GB2312" w:hAnsi="仿宋_GB2312" w:eastAsia="仿宋_GB2312" w:cs="仿宋_GB2312"/>
          <w:b/>
          <w:bCs/>
          <w:sz w:val="32"/>
          <w:szCs w:val="32"/>
        </w:rPr>
        <w:t>三十一</w:t>
      </w:r>
      <w:r>
        <w:rPr>
          <w:rFonts w:ascii="仿宋_GB2312" w:hAnsi="仿宋_GB2312" w:eastAsia="仿宋_GB2312" w:cs="仿宋_GB2312"/>
          <w:b/>
          <w:bCs/>
          <w:sz w:val="32"/>
          <w:szCs w:val="32"/>
        </w:rPr>
        <w:t>条</w:t>
      </w:r>
      <w:r>
        <w:rPr>
          <w:rFonts w:hint="eastAsia" w:ascii="仿宋_GB2312" w:hAnsi="仿宋_GB2312" w:eastAsia="仿宋_GB2312" w:cs="仿宋_GB2312"/>
          <w:sz w:val="32"/>
          <w:szCs w:val="32"/>
        </w:rPr>
        <w:t>【风险控制】省数据局应当会同有关部门建立健全数据流通交易风险监测机制，对存在或者可能存在违反市场监管、网络安全、数据安全的数据流通交易行为和隐患进行监测、评估、预警和处置。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据交易场所应当建立健全风险管理和内部控制制度，发现场内交易有违反市场监管、网络安全、数据安全等行为时，应当依法采取必要的处置措施并向监督管理部门报告，保存有关记录，配合相关监督管理部门检查和调查取证。</w:t>
      </w:r>
    </w:p>
    <w:p>
      <w:pPr>
        <w:pStyle w:val="2"/>
        <w:spacing w:before="0" w:beforeLines="0" w:after="0" w:afterLines="0" w:line="240" w:lineRule="auto"/>
        <w:ind w:firstLine="643" w:firstLineChars="200"/>
        <w:jc w:val="both"/>
        <w:rPr>
          <w:rFonts w:hint="eastAsia" w:ascii="仿宋_GB2312" w:hAnsi="仿宋_GB2312" w:eastAsia="仿宋_GB2312" w:cs="仿宋_GB2312"/>
          <w:b/>
          <w:bCs/>
          <w:sz w:val="32"/>
          <w:szCs w:val="32"/>
        </w:rPr>
      </w:pPr>
      <w:r>
        <w:rPr>
          <w:rFonts w:ascii="仿宋_GB2312" w:hAnsi="仿宋_GB2312" w:eastAsia="仿宋_GB2312" w:cs="仿宋_GB2312"/>
          <w:b/>
          <w:bCs/>
          <w:sz w:val="32"/>
          <w:szCs w:val="32"/>
        </w:rPr>
        <w:t>第</w:t>
      </w:r>
      <w:r>
        <w:rPr>
          <w:rFonts w:hint="eastAsia" w:ascii="仿宋_GB2312" w:hAnsi="仿宋_GB2312" w:eastAsia="仿宋_GB2312" w:cs="仿宋_GB2312"/>
          <w:b/>
          <w:bCs/>
          <w:sz w:val="32"/>
          <w:szCs w:val="32"/>
        </w:rPr>
        <w:t>三十二</w:t>
      </w:r>
      <w:r>
        <w:rPr>
          <w:rFonts w:ascii="仿宋_GB2312" w:hAnsi="仿宋_GB2312" w:eastAsia="仿宋_GB2312" w:cs="仿宋_GB2312"/>
          <w:b/>
          <w:bCs/>
          <w:sz w:val="32"/>
          <w:szCs w:val="32"/>
        </w:rPr>
        <w:t>条</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资金安全</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数据交易场所应加强资金安全管理，按照国家及省相关要求实行资金第三方存管制度，实行分账管理，确保资金结算与交易指令要求相符。</w:t>
      </w:r>
    </w:p>
    <w:p>
      <w:pPr>
        <w:ind w:firstLine="643" w:firstLineChars="200"/>
        <w:rPr>
          <w:rFonts w:hint="eastAsia" w:ascii="仿宋_GB2312" w:hAnsi="仿宋_GB2312" w:eastAsia="仿宋_GB2312" w:cs="仿宋_GB2312"/>
          <w:sz w:val="32"/>
          <w:szCs w:val="32"/>
        </w:rPr>
      </w:pPr>
      <w:r>
        <w:rPr>
          <w:rFonts w:ascii="仿宋_GB2312" w:hAnsi="仿宋_GB2312" w:eastAsia="仿宋_GB2312" w:cs="仿宋_GB2312"/>
          <w:b/>
          <w:bCs/>
          <w:sz w:val="32"/>
          <w:szCs w:val="32"/>
        </w:rPr>
        <w:t>第</w:t>
      </w:r>
      <w:r>
        <w:rPr>
          <w:rFonts w:hint="eastAsia" w:ascii="仿宋_GB2312" w:hAnsi="仿宋_GB2312" w:eastAsia="仿宋_GB2312" w:cs="仿宋_GB2312"/>
          <w:b/>
          <w:bCs/>
          <w:sz w:val="32"/>
          <w:szCs w:val="32"/>
        </w:rPr>
        <w:t>三十三</w:t>
      </w:r>
      <w:r>
        <w:rPr>
          <w:rFonts w:ascii="仿宋_GB2312" w:hAnsi="仿宋_GB2312" w:eastAsia="仿宋_GB2312" w:cs="仿宋_GB2312"/>
          <w:b/>
          <w:bCs/>
          <w:sz w:val="32"/>
          <w:szCs w:val="32"/>
        </w:rPr>
        <w:t>条</w:t>
      </w:r>
      <w:r>
        <w:rPr>
          <w:rFonts w:hint="eastAsia" w:ascii="仿宋_GB2312" w:hAnsi="仿宋_GB2312" w:eastAsia="仿宋_GB2312" w:cs="仿宋_GB2312"/>
          <w:sz w:val="32"/>
          <w:szCs w:val="32"/>
        </w:rPr>
        <w:t>【社会监督】省数据局应当会同有关部门，畅通社会监督渠道，构建社会各界广泛参与的数据监管格局。</w:t>
      </w:r>
    </w:p>
    <w:p>
      <w:pPr>
        <w:ind w:firstLine="643" w:firstLineChars="200"/>
      </w:pPr>
      <w:r>
        <w:rPr>
          <w:rFonts w:ascii="仿宋_GB2312" w:hAnsi="仿宋_GB2312" w:eastAsia="仿宋_GB2312" w:cs="仿宋_GB2312"/>
          <w:b/>
          <w:bCs/>
          <w:sz w:val="32"/>
          <w:szCs w:val="32"/>
        </w:rPr>
        <w:t>第</w:t>
      </w:r>
      <w:r>
        <w:rPr>
          <w:rFonts w:hint="eastAsia" w:ascii="仿宋_GB2312" w:hAnsi="仿宋_GB2312" w:eastAsia="仿宋_GB2312" w:cs="仿宋_GB2312"/>
          <w:b/>
          <w:bCs/>
          <w:sz w:val="32"/>
          <w:szCs w:val="32"/>
        </w:rPr>
        <w:t>三十四</w:t>
      </w:r>
      <w:r>
        <w:rPr>
          <w:rFonts w:ascii="仿宋_GB2312" w:hAnsi="仿宋_GB2312" w:eastAsia="仿宋_GB2312" w:cs="仿宋_GB2312"/>
          <w:b/>
          <w:bCs/>
          <w:sz w:val="32"/>
          <w:szCs w:val="32"/>
        </w:rPr>
        <w:t>条</w:t>
      </w:r>
      <w:r>
        <w:rPr>
          <w:rFonts w:hint="eastAsia" w:ascii="仿宋_GB2312" w:hAnsi="仿宋_GB2312" w:eastAsia="仿宋_GB2312" w:cs="仿宋_GB2312"/>
          <w:sz w:val="32"/>
          <w:szCs w:val="32"/>
        </w:rPr>
        <w:t>【包容监管】省数据局应当会同有关部门建立健全鼓励创新、宽容失败的数据免责纠错机制，对改革创新出现失误、错误，但符合国家和省确定的改革方向，决策程序符合法律规定，且勤勉尽职，未牟取私利，主动挽回损失，消除不良影响或者有效阻止危害结果发生的，依法依规对有关单位和个人不予、免予或从轻、减轻追究责任。</w:t>
      </w:r>
    </w:p>
    <w:p>
      <w:pPr>
        <w:jc w:val="center"/>
        <w:rPr>
          <w:rFonts w:hint="eastAsia" w:ascii="黑体" w:hAnsi="黑体" w:eastAsia="黑体" w:cs="黑体"/>
          <w:sz w:val="32"/>
          <w:szCs w:val="32"/>
        </w:rPr>
      </w:pPr>
      <w:r>
        <w:rPr>
          <w:rFonts w:hint="eastAsia" w:ascii="黑体" w:hAnsi="黑体" w:eastAsia="黑体" w:cs="黑体"/>
          <w:sz w:val="32"/>
          <w:szCs w:val="32"/>
        </w:rPr>
        <w:t xml:space="preserve">第八章 </w:t>
      </w:r>
      <w:r>
        <w:rPr>
          <w:rFonts w:ascii="黑体" w:hAnsi="黑体" w:eastAsia="黑体" w:cs="黑体"/>
          <w:sz w:val="32"/>
          <w:szCs w:val="32"/>
        </w:rPr>
        <w:t>附 则</w:t>
      </w:r>
    </w:p>
    <w:p>
      <w:pPr>
        <w:ind w:firstLine="643" w:firstLineChars="200"/>
        <w:rPr>
          <w:rFonts w:hint="eastAsia" w:ascii="仿宋_GB2312" w:hAnsi="仿宋_GB2312" w:eastAsia="仿宋_GB2312" w:cs="仿宋_GB2312"/>
          <w:sz w:val="32"/>
          <w:szCs w:val="32"/>
        </w:rPr>
      </w:pPr>
      <w:r>
        <w:rPr>
          <w:rFonts w:ascii="仿宋_GB2312" w:hAnsi="仿宋_GB2312" w:eastAsia="仿宋_GB2312" w:cs="仿宋_GB2312"/>
          <w:b/>
          <w:bCs/>
          <w:sz w:val="32"/>
          <w:szCs w:val="32"/>
        </w:rPr>
        <w:t>第</w:t>
      </w:r>
      <w:r>
        <w:rPr>
          <w:rFonts w:hint="eastAsia" w:ascii="仿宋_GB2312" w:hAnsi="仿宋_GB2312" w:eastAsia="仿宋_GB2312" w:cs="仿宋_GB2312"/>
          <w:b/>
          <w:bCs/>
          <w:sz w:val="32"/>
          <w:szCs w:val="32"/>
        </w:rPr>
        <w:t>三</w:t>
      </w:r>
      <w:r>
        <w:rPr>
          <w:rFonts w:ascii="仿宋_GB2312" w:hAnsi="仿宋_GB2312" w:eastAsia="仿宋_GB2312" w:cs="仿宋_GB2312"/>
          <w:b/>
          <w:bCs/>
          <w:sz w:val="32"/>
          <w:szCs w:val="32"/>
        </w:rPr>
        <w:t>十</w:t>
      </w:r>
      <w:r>
        <w:rPr>
          <w:rFonts w:hint="eastAsia" w:ascii="仿宋_GB2312" w:hAnsi="仿宋_GB2312" w:eastAsia="仿宋_GB2312" w:cs="仿宋_GB2312"/>
          <w:b/>
          <w:bCs/>
          <w:sz w:val="32"/>
          <w:szCs w:val="32"/>
        </w:rPr>
        <w:t>五</w:t>
      </w:r>
      <w:r>
        <w:rPr>
          <w:rFonts w:ascii="仿宋_GB2312" w:hAnsi="仿宋_GB2312" w:eastAsia="仿宋_GB2312" w:cs="仿宋_GB2312"/>
          <w:b/>
          <w:bCs/>
          <w:sz w:val="32"/>
          <w:szCs w:val="32"/>
        </w:rPr>
        <w:t>条</w:t>
      </w:r>
      <w:r>
        <w:rPr>
          <w:rFonts w:hint="eastAsia" w:ascii="仿宋_GB2312" w:hAnsi="仿宋_GB2312" w:eastAsia="仿宋_GB2312" w:cs="仿宋_GB2312"/>
          <w:sz w:val="32"/>
          <w:szCs w:val="32"/>
        </w:rPr>
        <w:t>【优先适用原则】</w:t>
      </w:r>
      <w:r>
        <w:rPr>
          <w:rFonts w:ascii="仿宋_GB2312" w:hAnsi="仿宋_GB2312" w:eastAsia="仿宋_GB2312" w:cs="仿宋_GB2312"/>
          <w:sz w:val="32"/>
          <w:szCs w:val="32"/>
        </w:rPr>
        <w:t>法律、法规、规章和国家政策对数据流通交易管理有规定的，从其规定。</w:t>
      </w:r>
    </w:p>
    <w:p>
      <w:pPr>
        <w:ind w:firstLine="643" w:firstLineChars="200"/>
        <w:rPr>
          <w:rFonts w:hint="eastAsia" w:ascii="仿宋_GB2312" w:hAnsi="仿宋_GB2312" w:eastAsia="仿宋_GB2312" w:cs="仿宋_GB2312"/>
          <w:sz w:val="32"/>
          <w:szCs w:val="32"/>
        </w:rPr>
      </w:pPr>
      <w:r>
        <w:rPr>
          <w:rFonts w:ascii="仿宋_GB2312" w:hAnsi="仿宋_GB2312" w:eastAsia="仿宋_GB2312" w:cs="仿宋_GB2312"/>
          <w:b/>
          <w:bCs/>
          <w:sz w:val="32"/>
          <w:szCs w:val="32"/>
        </w:rPr>
        <w:t>第</w:t>
      </w:r>
      <w:r>
        <w:rPr>
          <w:rFonts w:hint="eastAsia" w:ascii="仿宋_GB2312" w:hAnsi="仿宋_GB2312" w:eastAsia="仿宋_GB2312" w:cs="仿宋_GB2312"/>
          <w:b/>
          <w:bCs/>
          <w:sz w:val="32"/>
          <w:szCs w:val="32"/>
        </w:rPr>
        <w:t>三</w:t>
      </w:r>
      <w:r>
        <w:rPr>
          <w:rFonts w:ascii="仿宋_GB2312" w:hAnsi="仿宋_GB2312" w:eastAsia="仿宋_GB2312" w:cs="仿宋_GB2312"/>
          <w:b/>
          <w:bCs/>
          <w:sz w:val="32"/>
          <w:szCs w:val="32"/>
        </w:rPr>
        <w:t>十</w:t>
      </w:r>
      <w:r>
        <w:rPr>
          <w:rFonts w:hint="eastAsia" w:ascii="仿宋_GB2312" w:hAnsi="仿宋_GB2312" w:eastAsia="仿宋_GB2312" w:cs="仿宋_GB2312"/>
          <w:b/>
          <w:bCs/>
          <w:sz w:val="32"/>
          <w:szCs w:val="32"/>
        </w:rPr>
        <w:t>六</w:t>
      </w:r>
      <w:r>
        <w:rPr>
          <w:rFonts w:ascii="仿宋_GB2312" w:hAnsi="仿宋_GB2312" w:eastAsia="仿宋_GB2312" w:cs="仿宋_GB2312"/>
          <w:b/>
          <w:bCs/>
          <w:sz w:val="32"/>
          <w:szCs w:val="32"/>
        </w:rPr>
        <w:t>条</w:t>
      </w:r>
      <w:r>
        <w:rPr>
          <w:rFonts w:hint="eastAsia" w:ascii="仿宋_GB2312" w:hAnsi="仿宋_GB2312" w:eastAsia="仿宋_GB2312" w:cs="仿宋_GB2312"/>
          <w:sz w:val="32"/>
          <w:szCs w:val="32"/>
        </w:rPr>
        <w:t>【实施时间】</w:t>
      </w:r>
      <w:r>
        <w:rPr>
          <w:rFonts w:ascii="仿宋_GB2312" w:hAnsi="仿宋_GB2312" w:eastAsia="仿宋_GB2312" w:cs="仿宋_GB2312"/>
          <w:sz w:val="32"/>
          <w:szCs w:val="32"/>
        </w:rPr>
        <w:t>本办法自印发之日起施行。</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A00002EF" w:usb1="4000207B" w:usb2="00000000" w:usb3="00000000" w:csb0="2000009F" w:csb1="00000000"/>
  </w:font>
  <w:font w:name="方正小标宋简体">
    <w:panose1 w:val="02000000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r>
      <w:rPr>
        <w:rFonts w:ascii="Calibri" w:hAnsi="Calibri" w:eastAsia="宋体" w:cs="黑体"/>
        <w:kern w:val="2"/>
        <w:sz w:val="18"/>
        <w:szCs w:val="24"/>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5"/>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1</w:t>
                </w:r>
                <w:r>
                  <w:rPr>
                    <w:rFonts w:ascii="Times New Roman" w:hAnsi="Times New Roman" w:cs="Times New Roman"/>
                    <w:sz w:val="24"/>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01442481">
    <w:nsid w:val="5F7412B1"/>
    <w:multiLevelType w:val="singleLevel"/>
    <w:tmpl w:val="5F7412B1"/>
    <w:lvl w:ilvl="0" w:tentative="1">
      <w:start w:val="1"/>
      <w:numFmt w:val="chineseCounting"/>
      <w:suff w:val="nothing"/>
      <w:lvlText w:val="（%1）"/>
      <w:lvlJc w:val="left"/>
      <w:rPr>
        <w:rFonts w:hint="eastAsia"/>
      </w:rPr>
    </w:lvl>
  </w:abstractNum>
  <w:abstractNum w:abstractNumId="1319895632">
    <w:nsid w:val="4EAC0250"/>
    <w:multiLevelType w:val="singleLevel"/>
    <w:tmpl w:val="4EAC0250"/>
    <w:lvl w:ilvl="0" w:tentative="1">
      <w:start w:val="1"/>
      <w:numFmt w:val="chineseCounting"/>
      <w:suff w:val="nothing"/>
      <w:lvlText w:val="（%1）"/>
      <w:lvlJc w:val="left"/>
      <w:rPr>
        <w:rFonts w:hint="eastAsia"/>
      </w:rPr>
    </w:lvl>
  </w:abstractNum>
  <w:abstractNum w:abstractNumId="450809891">
    <w:nsid w:val="1ADED023"/>
    <w:multiLevelType w:val="singleLevel"/>
    <w:tmpl w:val="1ADED023"/>
    <w:lvl w:ilvl="0" w:tentative="1">
      <w:start w:val="1"/>
      <w:numFmt w:val="chineseCounting"/>
      <w:suff w:val="nothing"/>
      <w:lvlText w:val="（%1）"/>
      <w:lvlJc w:val="left"/>
      <w:rPr>
        <w:rFonts w:hint="eastAsia"/>
      </w:rPr>
    </w:lvl>
  </w:abstractNum>
  <w:abstractNum w:abstractNumId="2640032293">
    <w:nsid w:val="9D5BB225"/>
    <w:multiLevelType w:val="singleLevel"/>
    <w:tmpl w:val="9D5BB225"/>
    <w:lvl w:ilvl="0" w:tentative="1">
      <w:start w:val="1"/>
      <w:numFmt w:val="chineseCounting"/>
      <w:suff w:val="nothing"/>
      <w:lvlText w:val="（%1）"/>
      <w:lvlJc w:val="left"/>
      <w:rPr>
        <w:rFonts w:hint="eastAsia"/>
      </w:rPr>
    </w:lvl>
  </w:abstractNum>
  <w:abstractNum w:abstractNumId="3781706929">
    <w:nsid w:val="E16844B1"/>
    <w:multiLevelType w:val="singleLevel"/>
    <w:tmpl w:val="E16844B1"/>
    <w:lvl w:ilvl="0" w:tentative="1">
      <w:start w:val="1"/>
      <w:numFmt w:val="chineseCounting"/>
      <w:suff w:val="nothing"/>
      <w:lvlText w:val="（%1）"/>
      <w:lvlJc w:val="left"/>
      <w:rPr>
        <w:rFonts w:hint="eastAsia"/>
      </w:rPr>
    </w:lvl>
  </w:abstractNum>
  <w:num w:numId="1">
    <w:abstractNumId w:val="1601442481"/>
  </w:num>
  <w:num w:numId="2">
    <w:abstractNumId w:val="450809891"/>
  </w:num>
  <w:num w:numId="3">
    <w:abstractNumId w:val="1319895632"/>
  </w:num>
  <w:num w:numId="4">
    <w:abstractNumId w:val="2640032293"/>
  </w:num>
  <w:num w:numId="5">
    <w:abstractNumId w:val="37817069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zUxYTRiYTZjNGI1NGFlOGYzZTQ4MzQ1ZWRhZjU3YWIifQ=="/>
  </w:docVars>
  <w:rsids>
    <w:rsidRoot w:val="009E6FDE"/>
    <w:rsid w:val="000343E8"/>
    <w:rsid w:val="00050716"/>
    <w:rsid w:val="00155351"/>
    <w:rsid w:val="001876D4"/>
    <w:rsid w:val="00237F89"/>
    <w:rsid w:val="002C1864"/>
    <w:rsid w:val="004A4A3C"/>
    <w:rsid w:val="00501321"/>
    <w:rsid w:val="00576D3F"/>
    <w:rsid w:val="005C5A75"/>
    <w:rsid w:val="005F0B08"/>
    <w:rsid w:val="008D670F"/>
    <w:rsid w:val="008E585A"/>
    <w:rsid w:val="008F170D"/>
    <w:rsid w:val="009E1F8E"/>
    <w:rsid w:val="009E6FDE"/>
    <w:rsid w:val="00C83F15"/>
    <w:rsid w:val="00D9244C"/>
    <w:rsid w:val="00DE0231"/>
    <w:rsid w:val="00E70D20"/>
    <w:rsid w:val="00EF450E"/>
    <w:rsid w:val="00FB5E20"/>
    <w:rsid w:val="010544E4"/>
    <w:rsid w:val="01064E09"/>
    <w:rsid w:val="011200E3"/>
    <w:rsid w:val="01182DCF"/>
    <w:rsid w:val="012F213B"/>
    <w:rsid w:val="012F7368"/>
    <w:rsid w:val="01440AD3"/>
    <w:rsid w:val="01572DD3"/>
    <w:rsid w:val="015A3846"/>
    <w:rsid w:val="01602D27"/>
    <w:rsid w:val="016955BF"/>
    <w:rsid w:val="01773304"/>
    <w:rsid w:val="018D3FF2"/>
    <w:rsid w:val="01A46559"/>
    <w:rsid w:val="01A474BB"/>
    <w:rsid w:val="01AE73C0"/>
    <w:rsid w:val="01BE45C7"/>
    <w:rsid w:val="01E814CD"/>
    <w:rsid w:val="01FE4DCE"/>
    <w:rsid w:val="02207866"/>
    <w:rsid w:val="022E51A4"/>
    <w:rsid w:val="02352D1A"/>
    <w:rsid w:val="024B2159"/>
    <w:rsid w:val="025C72D2"/>
    <w:rsid w:val="02672E47"/>
    <w:rsid w:val="02867265"/>
    <w:rsid w:val="029C6F03"/>
    <w:rsid w:val="029D42FE"/>
    <w:rsid w:val="02B97918"/>
    <w:rsid w:val="02C47E57"/>
    <w:rsid w:val="02FA24E5"/>
    <w:rsid w:val="0310756D"/>
    <w:rsid w:val="0317714E"/>
    <w:rsid w:val="035427A0"/>
    <w:rsid w:val="03613CAD"/>
    <w:rsid w:val="03676A51"/>
    <w:rsid w:val="0380173E"/>
    <w:rsid w:val="03855640"/>
    <w:rsid w:val="03C71557"/>
    <w:rsid w:val="03F61924"/>
    <w:rsid w:val="03F675E2"/>
    <w:rsid w:val="03FC1398"/>
    <w:rsid w:val="040B533E"/>
    <w:rsid w:val="040C011B"/>
    <w:rsid w:val="045D7DFD"/>
    <w:rsid w:val="046520E0"/>
    <w:rsid w:val="046B197E"/>
    <w:rsid w:val="047347B7"/>
    <w:rsid w:val="047D2261"/>
    <w:rsid w:val="047F6C6D"/>
    <w:rsid w:val="048057B6"/>
    <w:rsid w:val="048E1FC6"/>
    <w:rsid w:val="04903EF5"/>
    <w:rsid w:val="04923C16"/>
    <w:rsid w:val="04972CF2"/>
    <w:rsid w:val="04B31FA6"/>
    <w:rsid w:val="04C410B6"/>
    <w:rsid w:val="04E27B39"/>
    <w:rsid w:val="04EB0976"/>
    <w:rsid w:val="04FE1927"/>
    <w:rsid w:val="05026D2E"/>
    <w:rsid w:val="0507491A"/>
    <w:rsid w:val="05097148"/>
    <w:rsid w:val="051726A5"/>
    <w:rsid w:val="05286B5F"/>
    <w:rsid w:val="054E1A4B"/>
    <w:rsid w:val="05551D7A"/>
    <w:rsid w:val="055A330B"/>
    <w:rsid w:val="057F34DC"/>
    <w:rsid w:val="05802FEC"/>
    <w:rsid w:val="0586485B"/>
    <w:rsid w:val="059E6A45"/>
    <w:rsid w:val="05B715A6"/>
    <w:rsid w:val="05B80F02"/>
    <w:rsid w:val="05C9327E"/>
    <w:rsid w:val="05F11406"/>
    <w:rsid w:val="06012085"/>
    <w:rsid w:val="06070A05"/>
    <w:rsid w:val="060D6B6A"/>
    <w:rsid w:val="06100754"/>
    <w:rsid w:val="06136CBE"/>
    <w:rsid w:val="06393DE0"/>
    <w:rsid w:val="063A56E2"/>
    <w:rsid w:val="065324B8"/>
    <w:rsid w:val="06550172"/>
    <w:rsid w:val="06624394"/>
    <w:rsid w:val="0675500F"/>
    <w:rsid w:val="06840520"/>
    <w:rsid w:val="068622C9"/>
    <w:rsid w:val="06A320CF"/>
    <w:rsid w:val="06A5111F"/>
    <w:rsid w:val="06AA0FF0"/>
    <w:rsid w:val="06AE17BB"/>
    <w:rsid w:val="06B03831"/>
    <w:rsid w:val="06B127BF"/>
    <w:rsid w:val="06C23DC1"/>
    <w:rsid w:val="06EB193B"/>
    <w:rsid w:val="06EB52F5"/>
    <w:rsid w:val="071D4EEA"/>
    <w:rsid w:val="073E1120"/>
    <w:rsid w:val="0762187A"/>
    <w:rsid w:val="07852408"/>
    <w:rsid w:val="079317ED"/>
    <w:rsid w:val="07942624"/>
    <w:rsid w:val="07B2313D"/>
    <w:rsid w:val="07C91211"/>
    <w:rsid w:val="07D859D7"/>
    <w:rsid w:val="082E5419"/>
    <w:rsid w:val="08403357"/>
    <w:rsid w:val="08531415"/>
    <w:rsid w:val="0864265A"/>
    <w:rsid w:val="08787292"/>
    <w:rsid w:val="08906445"/>
    <w:rsid w:val="089D48BB"/>
    <w:rsid w:val="08B26F66"/>
    <w:rsid w:val="08D23A12"/>
    <w:rsid w:val="08EE19A0"/>
    <w:rsid w:val="08F77921"/>
    <w:rsid w:val="091430F5"/>
    <w:rsid w:val="0935779A"/>
    <w:rsid w:val="093F2C49"/>
    <w:rsid w:val="094D433C"/>
    <w:rsid w:val="095058C7"/>
    <w:rsid w:val="09547ABD"/>
    <w:rsid w:val="095E0EC4"/>
    <w:rsid w:val="099C0D27"/>
    <w:rsid w:val="09AD010D"/>
    <w:rsid w:val="09AD29AD"/>
    <w:rsid w:val="09B86D0E"/>
    <w:rsid w:val="09CB2B54"/>
    <w:rsid w:val="09DC7474"/>
    <w:rsid w:val="0A0705EF"/>
    <w:rsid w:val="0A0C0C29"/>
    <w:rsid w:val="0A0E60EF"/>
    <w:rsid w:val="0A162C9A"/>
    <w:rsid w:val="0A18665A"/>
    <w:rsid w:val="0A1A3401"/>
    <w:rsid w:val="0A2B7567"/>
    <w:rsid w:val="0A5237A5"/>
    <w:rsid w:val="0A54228B"/>
    <w:rsid w:val="0A5F04C9"/>
    <w:rsid w:val="0A64098B"/>
    <w:rsid w:val="0A717ED9"/>
    <w:rsid w:val="0A7A1C08"/>
    <w:rsid w:val="0A7B620F"/>
    <w:rsid w:val="0A934D2C"/>
    <w:rsid w:val="0A9D635C"/>
    <w:rsid w:val="0ABA1C33"/>
    <w:rsid w:val="0ABC1738"/>
    <w:rsid w:val="0ACC7029"/>
    <w:rsid w:val="0ACD4601"/>
    <w:rsid w:val="0ACF093C"/>
    <w:rsid w:val="0AD86488"/>
    <w:rsid w:val="0AF36631"/>
    <w:rsid w:val="0B0C79A7"/>
    <w:rsid w:val="0B1B34FF"/>
    <w:rsid w:val="0B2B26ED"/>
    <w:rsid w:val="0B5575AA"/>
    <w:rsid w:val="0B6C5898"/>
    <w:rsid w:val="0B7D173C"/>
    <w:rsid w:val="0B8D187D"/>
    <w:rsid w:val="0BAC14E6"/>
    <w:rsid w:val="0BBE35A2"/>
    <w:rsid w:val="0BC53598"/>
    <w:rsid w:val="0BCA5EC8"/>
    <w:rsid w:val="0BD73442"/>
    <w:rsid w:val="0C042BFB"/>
    <w:rsid w:val="0C0567E9"/>
    <w:rsid w:val="0C4627F9"/>
    <w:rsid w:val="0C553E54"/>
    <w:rsid w:val="0C6F7946"/>
    <w:rsid w:val="0C7E0440"/>
    <w:rsid w:val="0C9003C3"/>
    <w:rsid w:val="0C934EA0"/>
    <w:rsid w:val="0CAD2D15"/>
    <w:rsid w:val="0CAE0226"/>
    <w:rsid w:val="0CE40AD9"/>
    <w:rsid w:val="0CFF6A80"/>
    <w:rsid w:val="0D3720C2"/>
    <w:rsid w:val="0D4226A6"/>
    <w:rsid w:val="0D5844AA"/>
    <w:rsid w:val="0D5E057E"/>
    <w:rsid w:val="0D6B300F"/>
    <w:rsid w:val="0D6F16B9"/>
    <w:rsid w:val="0D9B102A"/>
    <w:rsid w:val="0D9C183F"/>
    <w:rsid w:val="0D9F3912"/>
    <w:rsid w:val="0DA418C7"/>
    <w:rsid w:val="0DAD4AE2"/>
    <w:rsid w:val="0DB528D0"/>
    <w:rsid w:val="0DBA0776"/>
    <w:rsid w:val="0DBA16EA"/>
    <w:rsid w:val="0DBF6799"/>
    <w:rsid w:val="0DD554D3"/>
    <w:rsid w:val="0DFB778F"/>
    <w:rsid w:val="0E0A0E0C"/>
    <w:rsid w:val="0E0B4416"/>
    <w:rsid w:val="0E0C14D7"/>
    <w:rsid w:val="0E2F4482"/>
    <w:rsid w:val="0E3F69E6"/>
    <w:rsid w:val="0E4C4EE6"/>
    <w:rsid w:val="0E555906"/>
    <w:rsid w:val="0E5636E0"/>
    <w:rsid w:val="0E687B33"/>
    <w:rsid w:val="0E7C073F"/>
    <w:rsid w:val="0E7C301F"/>
    <w:rsid w:val="0E8452EE"/>
    <w:rsid w:val="0E994E1A"/>
    <w:rsid w:val="0EA20A57"/>
    <w:rsid w:val="0EAE225D"/>
    <w:rsid w:val="0EBB00B3"/>
    <w:rsid w:val="0EFA43E0"/>
    <w:rsid w:val="0F3437B3"/>
    <w:rsid w:val="0F3C5E87"/>
    <w:rsid w:val="0F407417"/>
    <w:rsid w:val="0F444396"/>
    <w:rsid w:val="0F627A76"/>
    <w:rsid w:val="0F7009AA"/>
    <w:rsid w:val="0F761381"/>
    <w:rsid w:val="0F8A3D31"/>
    <w:rsid w:val="0F970031"/>
    <w:rsid w:val="0FA95DEF"/>
    <w:rsid w:val="0FCE2E92"/>
    <w:rsid w:val="0FD10ADB"/>
    <w:rsid w:val="0FE01998"/>
    <w:rsid w:val="10040A99"/>
    <w:rsid w:val="100776FD"/>
    <w:rsid w:val="101A3194"/>
    <w:rsid w:val="101E45BC"/>
    <w:rsid w:val="10266A62"/>
    <w:rsid w:val="10374884"/>
    <w:rsid w:val="10425E41"/>
    <w:rsid w:val="10871ACA"/>
    <w:rsid w:val="109B511A"/>
    <w:rsid w:val="10A67D02"/>
    <w:rsid w:val="10C87143"/>
    <w:rsid w:val="10C90607"/>
    <w:rsid w:val="10D16801"/>
    <w:rsid w:val="110F7881"/>
    <w:rsid w:val="1137024E"/>
    <w:rsid w:val="113F7657"/>
    <w:rsid w:val="116E1AB8"/>
    <w:rsid w:val="116F5372"/>
    <w:rsid w:val="117401AF"/>
    <w:rsid w:val="11756F40"/>
    <w:rsid w:val="11936349"/>
    <w:rsid w:val="119E2009"/>
    <w:rsid w:val="11C018DB"/>
    <w:rsid w:val="11C8597E"/>
    <w:rsid w:val="11C92344"/>
    <w:rsid w:val="11D63C04"/>
    <w:rsid w:val="11EA0A96"/>
    <w:rsid w:val="11EF55DE"/>
    <w:rsid w:val="11F152C2"/>
    <w:rsid w:val="12086949"/>
    <w:rsid w:val="121A0AF9"/>
    <w:rsid w:val="122A4601"/>
    <w:rsid w:val="1248435D"/>
    <w:rsid w:val="124F14F6"/>
    <w:rsid w:val="125F0EA3"/>
    <w:rsid w:val="12675306"/>
    <w:rsid w:val="12862A71"/>
    <w:rsid w:val="1287353C"/>
    <w:rsid w:val="12885CCA"/>
    <w:rsid w:val="128C2E21"/>
    <w:rsid w:val="12932A98"/>
    <w:rsid w:val="131C021A"/>
    <w:rsid w:val="13203EAE"/>
    <w:rsid w:val="133A7DA6"/>
    <w:rsid w:val="13593E5D"/>
    <w:rsid w:val="135F1F59"/>
    <w:rsid w:val="13620F7C"/>
    <w:rsid w:val="13693C3E"/>
    <w:rsid w:val="138E3E68"/>
    <w:rsid w:val="1395375C"/>
    <w:rsid w:val="13A252E0"/>
    <w:rsid w:val="13AB3CEE"/>
    <w:rsid w:val="13D64498"/>
    <w:rsid w:val="13D83B8C"/>
    <w:rsid w:val="13E02F91"/>
    <w:rsid w:val="14347FBB"/>
    <w:rsid w:val="14435965"/>
    <w:rsid w:val="145A4288"/>
    <w:rsid w:val="1460455C"/>
    <w:rsid w:val="1468103B"/>
    <w:rsid w:val="14771F3A"/>
    <w:rsid w:val="14BB45F2"/>
    <w:rsid w:val="14BC6D4C"/>
    <w:rsid w:val="14BF1703"/>
    <w:rsid w:val="14C84B15"/>
    <w:rsid w:val="14CE0BEA"/>
    <w:rsid w:val="14E065AC"/>
    <w:rsid w:val="150A50D5"/>
    <w:rsid w:val="15115FE4"/>
    <w:rsid w:val="151231FE"/>
    <w:rsid w:val="151E328C"/>
    <w:rsid w:val="152952B1"/>
    <w:rsid w:val="152C5134"/>
    <w:rsid w:val="153100E0"/>
    <w:rsid w:val="1545267B"/>
    <w:rsid w:val="15455DFA"/>
    <w:rsid w:val="154E20AE"/>
    <w:rsid w:val="15681202"/>
    <w:rsid w:val="15765FB0"/>
    <w:rsid w:val="157E4B82"/>
    <w:rsid w:val="15812ABD"/>
    <w:rsid w:val="15A75E73"/>
    <w:rsid w:val="15A871A1"/>
    <w:rsid w:val="15F66E47"/>
    <w:rsid w:val="15F906ED"/>
    <w:rsid w:val="160309CF"/>
    <w:rsid w:val="1618779F"/>
    <w:rsid w:val="162F2CAE"/>
    <w:rsid w:val="16546E3A"/>
    <w:rsid w:val="16592D2F"/>
    <w:rsid w:val="166E6E76"/>
    <w:rsid w:val="168034A1"/>
    <w:rsid w:val="168A3375"/>
    <w:rsid w:val="16A156A7"/>
    <w:rsid w:val="16A56F77"/>
    <w:rsid w:val="16A805C4"/>
    <w:rsid w:val="16AD6B80"/>
    <w:rsid w:val="16B102A3"/>
    <w:rsid w:val="16CB52D2"/>
    <w:rsid w:val="16F34A5F"/>
    <w:rsid w:val="16FC0D3D"/>
    <w:rsid w:val="17197F2F"/>
    <w:rsid w:val="171B7133"/>
    <w:rsid w:val="171D3BFF"/>
    <w:rsid w:val="17260654"/>
    <w:rsid w:val="173768AB"/>
    <w:rsid w:val="173F7D6F"/>
    <w:rsid w:val="17472EC1"/>
    <w:rsid w:val="17514EDE"/>
    <w:rsid w:val="176854E5"/>
    <w:rsid w:val="177F6B4D"/>
    <w:rsid w:val="17832340"/>
    <w:rsid w:val="17A134D9"/>
    <w:rsid w:val="17A83A6A"/>
    <w:rsid w:val="17A90524"/>
    <w:rsid w:val="17BC07D8"/>
    <w:rsid w:val="17BE6857"/>
    <w:rsid w:val="17E06B18"/>
    <w:rsid w:val="17EA0FA5"/>
    <w:rsid w:val="17EC4ABF"/>
    <w:rsid w:val="18036A18"/>
    <w:rsid w:val="181B0E2E"/>
    <w:rsid w:val="182374F0"/>
    <w:rsid w:val="183F0DF6"/>
    <w:rsid w:val="184E6018"/>
    <w:rsid w:val="185E4939"/>
    <w:rsid w:val="188472B6"/>
    <w:rsid w:val="188651DE"/>
    <w:rsid w:val="189A49EC"/>
    <w:rsid w:val="189E740E"/>
    <w:rsid w:val="189F74AD"/>
    <w:rsid w:val="18AD5ABC"/>
    <w:rsid w:val="18B2778A"/>
    <w:rsid w:val="18CB38D2"/>
    <w:rsid w:val="192930BA"/>
    <w:rsid w:val="193E0C9D"/>
    <w:rsid w:val="193F396B"/>
    <w:rsid w:val="19436634"/>
    <w:rsid w:val="194B7513"/>
    <w:rsid w:val="195523F8"/>
    <w:rsid w:val="19635EA1"/>
    <w:rsid w:val="197B483D"/>
    <w:rsid w:val="19802A19"/>
    <w:rsid w:val="19B245EA"/>
    <w:rsid w:val="19B33D10"/>
    <w:rsid w:val="19D07E33"/>
    <w:rsid w:val="19DC5BA3"/>
    <w:rsid w:val="19FC6EE0"/>
    <w:rsid w:val="1A027428"/>
    <w:rsid w:val="1A0E4E6D"/>
    <w:rsid w:val="1A1B6B6A"/>
    <w:rsid w:val="1A280163"/>
    <w:rsid w:val="1A2D3292"/>
    <w:rsid w:val="1A441A6E"/>
    <w:rsid w:val="1A4B168B"/>
    <w:rsid w:val="1A573455"/>
    <w:rsid w:val="1A660081"/>
    <w:rsid w:val="1A667664"/>
    <w:rsid w:val="1A820A7E"/>
    <w:rsid w:val="1A955530"/>
    <w:rsid w:val="1AA12F98"/>
    <w:rsid w:val="1AA677C0"/>
    <w:rsid w:val="1AB91C03"/>
    <w:rsid w:val="1AC054A1"/>
    <w:rsid w:val="1AF20863"/>
    <w:rsid w:val="1B004507"/>
    <w:rsid w:val="1B332167"/>
    <w:rsid w:val="1B3438B6"/>
    <w:rsid w:val="1B373314"/>
    <w:rsid w:val="1B3F5BAC"/>
    <w:rsid w:val="1B4A7570"/>
    <w:rsid w:val="1B53404F"/>
    <w:rsid w:val="1B5D71E3"/>
    <w:rsid w:val="1B5E16AF"/>
    <w:rsid w:val="1B723200"/>
    <w:rsid w:val="1B847A16"/>
    <w:rsid w:val="1B8A32A3"/>
    <w:rsid w:val="1B967F27"/>
    <w:rsid w:val="1BCD44F8"/>
    <w:rsid w:val="1BE50A5F"/>
    <w:rsid w:val="1BEA548C"/>
    <w:rsid w:val="1BFF1BEF"/>
    <w:rsid w:val="1C3C2F48"/>
    <w:rsid w:val="1C3F7521"/>
    <w:rsid w:val="1C514422"/>
    <w:rsid w:val="1C721D0D"/>
    <w:rsid w:val="1C732565"/>
    <w:rsid w:val="1C74429C"/>
    <w:rsid w:val="1C824AF5"/>
    <w:rsid w:val="1C942196"/>
    <w:rsid w:val="1C962E0D"/>
    <w:rsid w:val="1CB66FE4"/>
    <w:rsid w:val="1CBE164F"/>
    <w:rsid w:val="1CD05E7A"/>
    <w:rsid w:val="1CD063EE"/>
    <w:rsid w:val="1CD22B59"/>
    <w:rsid w:val="1CE251B9"/>
    <w:rsid w:val="1CE33EDF"/>
    <w:rsid w:val="1CED2DDD"/>
    <w:rsid w:val="1CF1048E"/>
    <w:rsid w:val="1CF232E8"/>
    <w:rsid w:val="1CF82BE3"/>
    <w:rsid w:val="1D46725A"/>
    <w:rsid w:val="1D8B0704"/>
    <w:rsid w:val="1D8E484B"/>
    <w:rsid w:val="1D8F6BB9"/>
    <w:rsid w:val="1D9442EE"/>
    <w:rsid w:val="1D9A6C1C"/>
    <w:rsid w:val="1DB86ED4"/>
    <w:rsid w:val="1DD916C1"/>
    <w:rsid w:val="1E0000C8"/>
    <w:rsid w:val="1E101D29"/>
    <w:rsid w:val="1E130BD8"/>
    <w:rsid w:val="1E217C5C"/>
    <w:rsid w:val="1E7165A1"/>
    <w:rsid w:val="1E7D1052"/>
    <w:rsid w:val="1E7F12AB"/>
    <w:rsid w:val="1E8041C6"/>
    <w:rsid w:val="1E8B7EFF"/>
    <w:rsid w:val="1EBB7810"/>
    <w:rsid w:val="1EC467CA"/>
    <w:rsid w:val="1EE45327"/>
    <w:rsid w:val="1EEE3EC8"/>
    <w:rsid w:val="1EF305F8"/>
    <w:rsid w:val="1EF7796A"/>
    <w:rsid w:val="1EFB5A18"/>
    <w:rsid w:val="1F125D66"/>
    <w:rsid w:val="1F1D29FB"/>
    <w:rsid w:val="1F2F0160"/>
    <w:rsid w:val="1F350370"/>
    <w:rsid w:val="1F5810DF"/>
    <w:rsid w:val="1F6F1314"/>
    <w:rsid w:val="1F6F388D"/>
    <w:rsid w:val="1F842AB5"/>
    <w:rsid w:val="1FC444B8"/>
    <w:rsid w:val="1FC9730A"/>
    <w:rsid w:val="1FE10EFF"/>
    <w:rsid w:val="1FE62D95"/>
    <w:rsid w:val="1FE673AE"/>
    <w:rsid w:val="1FF15149"/>
    <w:rsid w:val="200E53BA"/>
    <w:rsid w:val="201117E8"/>
    <w:rsid w:val="20576F85"/>
    <w:rsid w:val="20585F46"/>
    <w:rsid w:val="20662DFA"/>
    <w:rsid w:val="206760E9"/>
    <w:rsid w:val="20700676"/>
    <w:rsid w:val="20761951"/>
    <w:rsid w:val="207D067D"/>
    <w:rsid w:val="20937932"/>
    <w:rsid w:val="20964BFA"/>
    <w:rsid w:val="20BF1DF1"/>
    <w:rsid w:val="20D61974"/>
    <w:rsid w:val="20EA39E4"/>
    <w:rsid w:val="20FA511A"/>
    <w:rsid w:val="210A7E15"/>
    <w:rsid w:val="2112158A"/>
    <w:rsid w:val="21316B6B"/>
    <w:rsid w:val="214B0E11"/>
    <w:rsid w:val="21507892"/>
    <w:rsid w:val="215576E3"/>
    <w:rsid w:val="2157189D"/>
    <w:rsid w:val="2178661F"/>
    <w:rsid w:val="217B47CF"/>
    <w:rsid w:val="2185500C"/>
    <w:rsid w:val="21A323E1"/>
    <w:rsid w:val="21A571FF"/>
    <w:rsid w:val="21AC0142"/>
    <w:rsid w:val="21B70E2D"/>
    <w:rsid w:val="21C46636"/>
    <w:rsid w:val="21C8651E"/>
    <w:rsid w:val="21CF628A"/>
    <w:rsid w:val="21DA2400"/>
    <w:rsid w:val="21DB15C4"/>
    <w:rsid w:val="21E807D6"/>
    <w:rsid w:val="22046119"/>
    <w:rsid w:val="220C61C1"/>
    <w:rsid w:val="221E1EC0"/>
    <w:rsid w:val="223D5E7F"/>
    <w:rsid w:val="22406CF1"/>
    <w:rsid w:val="224427FD"/>
    <w:rsid w:val="22480182"/>
    <w:rsid w:val="22547012"/>
    <w:rsid w:val="22733F3B"/>
    <w:rsid w:val="227E660E"/>
    <w:rsid w:val="228D7F95"/>
    <w:rsid w:val="22935F59"/>
    <w:rsid w:val="22B05959"/>
    <w:rsid w:val="22B722C2"/>
    <w:rsid w:val="22D751E5"/>
    <w:rsid w:val="22ED7BA1"/>
    <w:rsid w:val="230B6414"/>
    <w:rsid w:val="23230654"/>
    <w:rsid w:val="232D6B72"/>
    <w:rsid w:val="23333741"/>
    <w:rsid w:val="234A1036"/>
    <w:rsid w:val="23534034"/>
    <w:rsid w:val="235620EB"/>
    <w:rsid w:val="236858B9"/>
    <w:rsid w:val="237E1867"/>
    <w:rsid w:val="2393304D"/>
    <w:rsid w:val="239C38B0"/>
    <w:rsid w:val="23B343B6"/>
    <w:rsid w:val="23BF3257"/>
    <w:rsid w:val="23D023CA"/>
    <w:rsid w:val="23D04E4E"/>
    <w:rsid w:val="23D305B4"/>
    <w:rsid w:val="23F37E0D"/>
    <w:rsid w:val="23F4344D"/>
    <w:rsid w:val="24036443"/>
    <w:rsid w:val="240A630D"/>
    <w:rsid w:val="24176F3C"/>
    <w:rsid w:val="24533DD8"/>
    <w:rsid w:val="2468441C"/>
    <w:rsid w:val="2473600D"/>
    <w:rsid w:val="24975E96"/>
    <w:rsid w:val="249977B5"/>
    <w:rsid w:val="24AC526A"/>
    <w:rsid w:val="24BA7741"/>
    <w:rsid w:val="24BF218F"/>
    <w:rsid w:val="24EF7C4D"/>
    <w:rsid w:val="24FE6D73"/>
    <w:rsid w:val="2500605F"/>
    <w:rsid w:val="25083205"/>
    <w:rsid w:val="25094AE0"/>
    <w:rsid w:val="250B0011"/>
    <w:rsid w:val="25107C3E"/>
    <w:rsid w:val="25117F6B"/>
    <w:rsid w:val="251B0CCB"/>
    <w:rsid w:val="252769A8"/>
    <w:rsid w:val="253651E2"/>
    <w:rsid w:val="253D5E99"/>
    <w:rsid w:val="2542439F"/>
    <w:rsid w:val="25472E46"/>
    <w:rsid w:val="254B65FA"/>
    <w:rsid w:val="254F06B5"/>
    <w:rsid w:val="256840D5"/>
    <w:rsid w:val="25700645"/>
    <w:rsid w:val="258446A2"/>
    <w:rsid w:val="259C4475"/>
    <w:rsid w:val="25A21285"/>
    <w:rsid w:val="25A4180E"/>
    <w:rsid w:val="25EC5B4F"/>
    <w:rsid w:val="25F833C0"/>
    <w:rsid w:val="2606576F"/>
    <w:rsid w:val="26315689"/>
    <w:rsid w:val="26460415"/>
    <w:rsid w:val="26551941"/>
    <w:rsid w:val="26684F6A"/>
    <w:rsid w:val="267E5DEB"/>
    <w:rsid w:val="268F223A"/>
    <w:rsid w:val="26974F05"/>
    <w:rsid w:val="26983BB7"/>
    <w:rsid w:val="26990FA4"/>
    <w:rsid w:val="26AD7927"/>
    <w:rsid w:val="26B70ED6"/>
    <w:rsid w:val="26C042EB"/>
    <w:rsid w:val="26CB079A"/>
    <w:rsid w:val="26CD65FD"/>
    <w:rsid w:val="26F43928"/>
    <w:rsid w:val="27024C45"/>
    <w:rsid w:val="270720D7"/>
    <w:rsid w:val="270F7B55"/>
    <w:rsid w:val="27556D9D"/>
    <w:rsid w:val="275754FD"/>
    <w:rsid w:val="27597FE6"/>
    <w:rsid w:val="27746596"/>
    <w:rsid w:val="278407C0"/>
    <w:rsid w:val="27AF5EC8"/>
    <w:rsid w:val="27E35515"/>
    <w:rsid w:val="27F1286A"/>
    <w:rsid w:val="280756D9"/>
    <w:rsid w:val="28083EED"/>
    <w:rsid w:val="280B3B37"/>
    <w:rsid w:val="28161C73"/>
    <w:rsid w:val="2820087B"/>
    <w:rsid w:val="28262F33"/>
    <w:rsid w:val="28264263"/>
    <w:rsid w:val="282F027B"/>
    <w:rsid w:val="28363FEA"/>
    <w:rsid w:val="283B0E69"/>
    <w:rsid w:val="285C7760"/>
    <w:rsid w:val="2868011A"/>
    <w:rsid w:val="28975B92"/>
    <w:rsid w:val="289D315D"/>
    <w:rsid w:val="28B14355"/>
    <w:rsid w:val="28BF3ABA"/>
    <w:rsid w:val="28C64D3E"/>
    <w:rsid w:val="29154B13"/>
    <w:rsid w:val="292B55DE"/>
    <w:rsid w:val="293F58B4"/>
    <w:rsid w:val="29442751"/>
    <w:rsid w:val="29502F3E"/>
    <w:rsid w:val="29553B89"/>
    <w:rsid w:val="29622BC8"/>
    <w:rsid w:val="296C29F6"/>
    <w:rsid w:val="2970011E"/>
    <w:rsid w:val="297B744A"/>
    <w:rsid w:val="29854EAC"/>
    <w:rsid w:val="298A1F0D"/>
    <w:rsid w:val="29922845"/>
    <w:rsid w:val="29962507"/>
    <w:rsid w:val="29C97B33"/>
    <w:rsid w:val="29CD7F4C"/>
    <w:rsid w:val="29D04DC4"/>
    <w:rsid w:val="29E27EF5"/>
    <w:rsid w:val="29E82C52"/>
    <w:rsid w:val="29EC7E67"/>
    <w:rsid w:val="2A052659"/>
    <w:rsid w:val="2A090053"/>
    <w:rsid w:val="2A104310"/>
    <w:rsid w:val="2A34157F"/>
    <w:rsid w:val="2A3D4A8D"/>
    <w:rsid w:val="2A424360"/>
    <w:rsid w:val="2A61558A"/>
    <w:rsid w:val="2A67205F"/>
    <w:rsid w:val="2A774077"/>
    <w:rsid w:val="2A865496"/>
    <w:rsid w:val="2A9203B0"/>
    <w:rsid w:val="2AB63390"/>
    <w:rsid w:val="2AC52488"/>
    <w:rsid w:val="2AE6548D"/>
    <w:rsid w:val="2AE75487"/>
    <w:rsid w:val="2AF9198D"/>
    <w:rsid w:val="2B2B40A4"/>
    <w:rsid w:val="2B394A29"/>
    <w:rsid w:val="2B3E41A9"/>
    <w:rsid w:val="2B414208"/>
    <w:rsid w:val="2B432EB1"/>
    <w:rsid w:val="2B546D3B"/>
    <w:rsid w:val="2B730A3B"/>
    <w:rsid w:val="2B733D3D"/>
    <w:rsid w:val="2B7A6111"/>
    <w:rsid w:val="2B805C57"/>
    <w:rsid w:val="2B905318"/>
    <w:rsid w:val="2BC74EA2"/>
    <w:rsid w:val="2BEB58B4"/>
    <w:rsid w:val="2BF1022C"/>
    <w:rsid w:val="2BFE033C"/>
    <w:rsid w:val="2C26008A"/>
    <w:rsid w:val="2C28736C"/>
    <w:rsid w:val="2C4D3934"/>
    <w:rsid w:val="2C5620C0"/>
    <w:rsid w:val="2C5D1713"/>
    <w:rsid w:val="2C6F7275"/>
    <w:rsid w:val="2C7913FF"/>
    <w:rsid w:val="2CA7247B"/>
    <w:rsid w:val="2CC66054"/>
    <w:rsid w:val="2CCB076D"/>
    <w:rsid w:val="2CD70287"/>
    <w:rsid w:val="2CE325CB"/>
    <w:rsid w:val="2CF20F1A"/>
    <w:rsid w:val="2D096133"/>
    <w:rsid w:val="2D212B8C"/>
    <w:rsid w:val="2D260BE5"/>
    <w:rsid w:val="2D2D20F5"/>
    <w:rsid w:val="2D322F01"/>
    <w:rsid w:val="2D3306ED"/>
    <w:rsid w:val="2D3E18CC"/>
    <w:rsid w:val="2D506426"/>
    <w:rsid w:val="2D8D5B8D"/>
    <w:rsid w:val="2D911186"/>
    <w:rsid w:val="2D9444C7"/>
    <w:rsid w:val="2D993F09"/>
    <w:rsid w:val="2DAD3976"/>
    <w:rsid w:val="2DCA2E42"/>
    <w:rsid w:val="2DDE56DA"/>
    <w:rsid w:val="2DDE5A48"/>
    <w:rsid w:val="2E1346F6"/>
    <w:rsid w:val="2E5B7292"/>
    <w:rsid w:val="2E5C5F5D"/>
    <w:rsid w:val="2E616711"/>
    <w:rsid w:val="2E62154C"/>
    <w:rsid w:val="2E710572"/>
    <w:rsid w:val="2E797E4F"/>
    <w:rsid w:val="2EAD3C5B"/>
    <w:rsid w:val="2ED5769E"/>
    <w:rsid w:val="2ED66A83"/>
    <w:rsid w:val="2ED96B13"/>
    <w:rsid w:val="2ED96DC4"/>
    <w:rsid w:val="2EED6BA8"/>
    <w:rsid w:val="2F02322D"/>
    <w:rsid w:val="2F1504F7"/>
    <w:rsid w:val="2F2005A7"/>
    <w:rsid w:val="2F2A7C22"/>
    <w:rsid w:val="2F2B1BD9"/>
    <w:rsid w:val="2F2F1E99"/>
    <w:rsid w:val="2F457274"/>
    <w:rsid w:val="2F5063CA"/>
    <w:rsid w:val="2F5B2395"/>
    <w:rsid w:val="2F791A80"/>
    <w:rsid w:val="2F7C618F"/>
    <w:rsid w:val="2F7F624A"/>
    <w:rsid w:val="2F80085A"/>
    <w:rsid w:val="2F9F5F67"/>
    <w:rsid w:val="2FBF2003"/>
    <w:rsid w:val="2FC14097"/>
    <w:rsid w:val="2FCD7D33"/>
    <w:rsid w:val="2FCE5E19"/>
    <w:rsid w:val="2FF77506"/>
    <w:rsid w:val="30012068"/>
    <w:rsid w:val="30061F02"/>
    <w:rsid w:val="300718FC"/>
    <w:rsid w:val="300C594C"/>
    <w:rsid w:val="30245DD1"/>
    <w:rsid w:val="304343E2"/>
    <w:rsid w:val="30652AEA"/>
    <w:rsid w:val="306A0378"/>
    <w:rsid w:val="306A3A3B"/>
    <w:rsid w:val="30867192"/>
    <w:rsid w:val="30875888"/>
    <w:rsid w:val="309A233A"/>
    <w:rsid w:val="30B325CE"/>
    <w:rsid w:val="30BE4638"/>
    <w:rsid w:val="30C23525"/>
    <w:rsid w:val="30E82950"/>
    <w:rsid w:val="30FD5633"/>
    <w:rsid w:val="31001E97"/>
    <w:rsid w:val="310A7047"/>
    <w:rsid w:val="31113300"/>
    <w:rsid w:val="311F568C"/>
    <w:rsid w:val="31441539"/>
    <w:rsid w:val="31441F5F"/>
    <w:rsid w:val="314429CD"/>
    <w:rsid w:val="314B0970"/>
    <w:rsid w:val="315C3439"/>
    <w:rsid w:val="319D6CB1"/>
    <w:rsid w:val="31A84AD7"/>
    <w:rsid w:val="31A86DF4"/>
    <w:rsid w:val="31B1024F"/>
    <w:rsid w:val="31B7209B"/>
    <w:rsid w:val="31BE44E4"/>
    <w:rsid w:val="31CA481C"/>
    <w:rsid w:val="31D3196F"/>
    <w:rsid w:val="320D55D9"/>
    <w:rsid w:val="3215764A"/>
    <w:rsid w:val="321C37A0"/>
    <w:rsid w:val="321F79B5"/>
    <w:rsid w:val="325948CB"/>
    <w:rsid w:val="325A2B60"/>
    <w:rsid w:val="326D4931"/>
    <w:rsid w:val="327224DD"/>
    <w:rsid w:val="32756B04"/>
    <w:rsid w:val="3279628A"/>
    <w:rsid w:val="327F7634"/>
    <w:rsid w:val="32857FDE"/>
    <w:rsid w:val="329115CC"/>
    <w:rsid w:val="32937AF4"/>
    <w:rsid w:val="32D43212"/>
    <w:rsid w:val="32D547AD"/>
    <w:rsid w:val="32DF4B80"/>
    <w:rsid w:val="332F5D13"/>
    <w:rsid w:val="33314B86"/>
    <w:rsid w:val="334F0B68"/>
    <w:rsid w:val="33574CA6"/>
    <w:rsid w:val="3358760B"/>
    <w:rsid w:val="336538EF"/>
    <w:rsid w:val="336641D6"/>
    <w:rsid w:val="33845229"/>
    <w:rsid w:val="338B6250"/>
    <w:rsid w:val="3396156F"/>
    <w:rsid w:val="33AE55FF"/>
    <w:rsid w:val="33B336C2"/>
    <w:rsid w:val="33B5003D"/>
    <w:rsid w:val="33BD3A7E"/>
    <w:rsid w:val="33C8211E"/>
    <w:rsid w:val="33C97C23"/>
    <w:rsid w:val="33D62A27"/>
    <w:rsid w:val="33F87085"/>
    <w:rsid w:val="33FA6EB6"/>
    <w:rsid w:val="33FC68EA"/>
    <w:rsid w:val="340F4C2A"/>
    <w:rsid w:val="34290318"/>
    <w:rsid w:val="34316B59"/>
    <w:rsid w:val="343B5AC9"/>
    <w:rsid w:val="345601AA"/>
    <w:rsid w:val="3466436C"/>
    <w:rsid w:val="3477461A"/>
    <w:rsid w:val="348103B3"/>
    <w:rsid w:val="34811AF2"/>
    <w:rsid w:val="348E2958"/>
    <w:rsid w:val="34B37DA9"/>
    <w:rsid w:val="34B86DCA"/>
    <w:rsid w:val="34BB6FDD"/>
    <w:rsid w:val="34F17218"/>
    <w:rsid w:val="34FC5671"/>
    <w:rsid w:val="34FD1C21"/>
    <w:rsid w:val="34FD5311"/>
    <w:rsid w:val="35020F4A"/>
    <w:rsid w:val="35503912"/>
    <w:rsid w:val="3554101B"/>
    <w:rsid w:val="358B4152"/>
    <w:rsid w:val="35A02688"/>
    <w:rsid w:val="35A26038"/>
    <w:rsid w:val="35A35882"/>
    <w:rsid w:val="35A56991"/>
    <w:rsid w:val="35A73EFF"/>
    <w:rsid w:val="35BB3C53"/>
    <w:rsid w:val="35D1797B"/>
    <w:rsid w:val="35DE7EF3"/>
    <w:rsid w:val="35E02339"/>
    <w:rsid w:val="35E47B11"/>
    <w:rsid w:val="35E93D12"/>
    <w:rsid w:val="35ED2F66"/>
    <w:rsid w:val="36031B6D"/>
    <w:rsid w:val="36125429"/>
    <w:rsid w:val="361F1843"/>
    <w:rsid w:val="362C3C16"/>
    <w:rsid w:val="362F7F11"/>
    <w:rsid w:val="36355141"/>
    <w:rsid w:val="364A69CF"/>
    <w:rsid w:val="365331AA"/>
    <w:rsid w:val="36595D57"/>
    <w:rsid w:val="366B0335"/>
    <w:rsid w:val="367C03FF"/>
    <w:rsid w:val="36BA030A"/>
    <w:rsid w:val="36CA1CFA"/>
    <w:rsid w:val="36CB5E5B"/>
    <w:rsid w:val="36E84E0E"/>
    <w:rsid w:val="36EC4D60"/>
    <w:rsid w:val="36FB4721"/>
    <w:rsid w:val="370D0CBF"/>
    <w:rsid w:val="372455D3"/>
    <w:rsid w:val="37263DF3"/>
    <w:rsid w:val="37420737"/>
    <w:rsid w:val="374F78F7"/>
    <w:rsid w:val="375D6757"/>
    <w:rsid w:val="37820788"/>
    <w:rsid w:val="378604F8"/>
    <w:rsid w:val="3786758E"/>
    <w:rsid w:val="37950E4E"/>
    <w:rsid w:val="37975B99"/>
    <w:rsid w:val="379D086D"/>
    <w:rsid w:val="379F4F25"/>
    <w:rsid w:val="37B22EAA"/>
    <w:rsid w:val="37D82118"/>
    <w:rsid w:val="37DF56F3"/>
    <w:rsid w:val="37E7070F"/>
    <w:rsid w:val="37EA5590"/>
    <w:rsid w:val="37F468C5"/>
    <w:rsid w:val="3800091C"/>
    <w:rsid w:val="38152618"/>
    <w:rsid w:val="381B41B2"/>
    <w:rsid w:val="381E7FFE"/>
    <w:rsid w:val="38205026"/>
    <w:rsid w:val="38290ED2"/>
    <w:rsid w:val="3839141B"/>
    <w:rsid w:val="38443E3D"/>
    <w:rsid w:val="386451A1"/>
    <w:rsid w:val="386B655E"/>
    <w:rsid w:val="387E05DF"/>
    <w:rsid w:val="38A327F3"/>
    <w:rsid w:val="38A5008A"/>
    <w:rsid w:val="38C20081"/>
    <w:rsid w:val="38C97BA5"/>
    <w:rsid w:val="38D94CCF"/>
    <w:rsid w:val="38EC6B60"/>
    <w:rsid w:val="38F60B75"/>
    <w:rsid w:val="38FB529C"/>
    <w:rsid w:val="38FC3668"/>
    <w:rsid w:val="39395065"/>
    <w:rsid w:val="393E6AF3"/>
    <w:rsid w:val="39406294"/>
    <w:rsid w:val="394D0515"/>
    <w:rsid w:val="396106E4"/>
    <w:rsid w:val="396433F7"/>
    <w:rsid w:val="39864320"/>
    <w:rsid w:val="39AC619E"/>
    <w:rsid w:val="39B92206"/>
    <w:rsid w:val="39C53A8A"/>
    <w:rsid w:val="39F46F42"/>
    <w:rsid w:val="3A0652EA"/>
    <w:rsid w:val="3A1C5AD5"/>
    <w:rsid w:val="3A253F23"/>
    <w:rsid w:val="3A3C044C"/>
    <w:rsid w:val="3A3E7596"/>
    <w:rsid w:val="3A405FFD"/>
    <w:rsid w:val="3A4613D3"/>
    <w:rsid w:val="3A5778C3"/>
    <w:rsid w:val="3A755744"/>
    <w:rsid w:val="3A8B7171"/>
    <w:rsid w:val="3A8D102E"/>
    <w:rsid w:val="3A9B5EBA"/>
    <w:rsid w:val="3AA80F88"/>
    <w:rsid w:val="3AAE5D46"/>
    <w:rsid w:val="3ACA6286"/>
    <w:rsid w:val="3ACE5FB7"/>
    <w:rsid w:val="3ADE5FD3"/>
    <w:rsid w:val="3AF64230"/>
    <w:rsid w:val="3AF70C95"/>
    <w:rsid w:val="3AF85A3E"/>
    <w:rsid w:val="3B095344"/>
    <w:rsid w:val="3B12186B"/>
    <w:rsid w:val="3B1A3241"/>
    <w:rsid w:val="3B3812B5"/>
    <w:rsid w:val="3B49208F"/>
    <w:rsid w:val="3B4C2AB1"/>
    <w:rsid w:val="3B58722A"/>
    <w:rsid w:val="3B7312F9"/>
    <w:rsid w:val="3B8F446D"/>
    <w:rsid w:val="3BA76C03"/>
    <w:rsid w:val="3BA87822"/>
    <w:rsid w:val="3BC1270B"/>
    <w:rsid w:val="3BD57388"/>
    <w:rsid w:val="3BFE2784"/>
    <w:rsid w:val="3C077D37"/>
    <w:rsid w:val="3C0C0917"/>
    <w:rsid w:val="3C19208C"/>
    <w:rsid w:val="3C303D38"/>
    <w:rsid w:val="3C384414"/>
    <w:rsid w:val="3C3E1E1F"/>
    <w:rsid w:val="3C3E2F5F"/>
    <w:rsid w:val="3C493636"/>
    <w:rsid w:val="3C4B064F"/>
    <w:rsid w:val="3C5A5960"/>
    <w:rsid w:val="3C5D1821"/>
    <w:rsid w:val="3C820975"/>
    <w:rsid w:val="3C83587D"/>
    <w:rsid w:val="3C86109B"/>
    <w:rsid w:val="3C9A4CDA"/>
    <w:rsid w:val="3CB85772"/>
    <w:rsid w:val="3CBA4084"/>
    <w:rsid w:val="3CC6091B"/>
    <w:rsid w:val="3CDF4A80"/>
    <w:rsid w:val="3CEE2E3C"/>
    <w:rsid w:val="3CF84451"/>
    <w:rsid w:val="3D0446A1"/>
    <w:rsid w:val="3D0F7821"/>
    <w:rsid w:val="3D1F733B"/>
    <w:rsid w:val="3D221132"/>
    <w:rsid w:val="3D2D15AC"/>
    <w:rsid w:val="3D2E093E"/>
    <w:rsid w:val="3D591A19"/>
    <w:rsid w:val="3D6C02AF"/>
    <w:rsid w:val="3D7E100E"/>
    <w:rsid w:val="3D8919C0"/>
    <w:rsid w:val="3D8E3DCC"/>
    <w:rsid w:val="3D9A36DA"/>
    <w:rsid w:val="3DAE5BFE"/>
    <w:rsid w:val="3DE376C3"/>
    <w:rsid w:val="3DE66B93"/>
    <w:rsid w:val="3DEB7771"/>
    <w:rsid w:val="3DEE127D"/>
    <w:rsid w:val="3E1364BB"/>
    <w:rsid w:val="3E277831"/>
    <w:rsid w:val="3E3975DB"/>
    <w:rsid w:val="3E8C6C61"/>
    <w:rsid w:val="3E8D5F9C"/>
    <w:rsid w:val="3E966495"/>
    <w:rsid w:val="3EA55819"/>
    <w:rsid w:val="3EAC1CE7"/>
    <w:rsid w:val="3EAF33CA"/>
    <w:rsid w:val="3ED65D1B"/>
    <w:rsid w:val="3EEB371B"/>
    <w:rsid w:val="3F077EE1"/>
    <w:rsid w:val="3F306825"/>
    <w:rsid w:val="3F32547C"/>
    <w:rsid w:val="3F5213B9"/>
    <w:rsid w:val="3F543B89"/>
    <w:rsid w:val="3F6E796B"/>
    <w:rsid w:val="3F9C6744"/>
    <w:rsid w:val="3F9C7F6E"/>
    <w:rsid w:val="3FC42AC7"/>
    <w:rsid w:val="3FDA77B8"/>
    <w:rsid w:val="3FEF7981"/>
    <w:rsid w:val="40094223"/>
    <w:rsid w:val="400B7BD6"/>
    <w:rsid w:val="40121EDF"/>
    <w:rsid w:val="40275785"/>
    <w:rsid w:val="402B6038"/>
    <w:rsid w:val="40377C7D"/>
    <w:rsid w:val="40552F07"/>
    <w:rsid w:val="405D2F9D"/>
    <w:rsid w:val="4073274C"/>
    <w:rsid w:val="40AB4DF9"/>
    <w:rsid w:val="40B1714B"/>
    <w:rsid w:val="40BF74FC"/>
    <w:rsid w:val="40C51F76"/>
    <w:rsid w:val="40D14551"/>
    <w:rsid w:val="40D914A8"/>
    <w:rsid w:val="40F05426"/>
    <w:rsid w:val="40FB3B61"/>
    <w:rsid w:val="41153501"/>
    <w:rsid w:val="41201CB1"/>
    <w:rsid w:val="41213916"/>
    <w:rsid w:val="41217B6F"/>
    <w:rsid w:val="412C4D02"/>
    <w:rsid w:val="413B0506"/>
    <w:rsid w:val="4142456A"/>
    <w:rsid w:val="41566AF3"/>
    <w:rsid w:val="41572753"/>
    <w:rsid w:val="416B7EB2"/>
    <w:rsid w:val="418179EC"/>
    <w:rsid w:val="41897B97"/>
    <w:rsid w:val="41934E1C"/>
    <w:rsid w:val="41C80294"/>
    <w:rsid w:val="41C96E48"/>
    <w:rsid w:val="41E6671B"/>
    <w:rsid w:val="41EA3F85"/>
    <w:rsid w:val="41EF2AE8"/>
    <w:rsid w:val="41FD742A"/>
    <w:rsid w:val="421161A9"/>
    <w:rsid w:val="42133BFF"/>
    <w:rsid w:val="42135F49"/>
    <w:rsid w:val="421C2215"/>
    <w:rsid w:val="425E2508"/>
    <w:rsid w:val="427158A5"/>
    <w:rsid w:val="42716912"/>
    <w:rsid w:val="429723BB"/>
    <w:rsid w:val="42B66534"/>
    <w:rsid w:val="42BB44BC"/>
    <w:rsid w:val="42FA61AA"/>
    <w:rsid w:val="43091EB4"/>
    <w:rsid w:val="43092038"/>
    <w:rsid w:val="430A3AF6"/>
    <w:rsid w:val="43401C26"/>
    <w:rsid w:val="434352D1"/>
    <w:rsid w:val="43472A8D"/>
    <w:rsid w:val="434A4B9A"/>
    <w:rsid w:val="43790D44"/>
    <w:rsid w:val="43827178"/>
    <w:rsid w:val="43832FDD"/>
    <w:rsid w:val="43890350"/>
    <w:rsid w:val="439B215D"/>
    <w:rsid w:val="43BB491B"/>
    <w:rsid w:val="43BE0169"/>
    <w:rsid w:val="43C92591"/>
    <w:rsid w:val="43DD04ED"/>
    <w:rsid w:val="43E27D57"/>
    <w:rsid w:val="43E74787"/>
    <w:rsid w:val="43E82062"/>
    <w:rsid w:val="43EE01DB"/>
    <w:rsid w:val="43EF52F2"/>
    <w:rsid w:val="43F402BB"/>
    <w:rsid w:val="44097CC0"/>
    <w:rsid w:val="440E72ED"/>
    <w:rsid w:val="4415452C"/>
    <w:rsid w:val="44293F1B"/>
    <w:rsid w:val="442D5A54"/>
    <w:rsid w:val="44315112"/>
    <w:rsid w:val="443E5D31"/>
    <w:rsid w:val="446665DC"/>
    <w:rsid w:val="447061AA"/>
    <w:rsid w:val="447C1E13"/>
    <w:rsid w:val="44831648"/>
    <w:rsid w:val="448A2774"/>
    <w:rsid w:val="448D5E65"/>
    <w:rsid w:val="448E174B"/>
    <w:rsid w:val="44990EAD"/>
    <w:rsid w:val="44BD2825"/>
    <w:rsid w:val="44F362D5"/>
    <w:rsid w:val="44F56248"/>
    <w:rsid w:val="44F762F8"/>
    <w:rsid w:val="44FB6A91"/>
    <w:rsid w:val="450540CE"/>
    <w:rsid w:val="4507522E"/>
    <w:rsid w:val="45271E5F"/>
    <w:rsid w:val="455E4B5F"/>
    <w:rsid w:val="456125A4"/>
    <w:rsid w:val="459073C0"/>
    <w:rsid w:val="459D2872"/>
    <w:rsid w:val="45B546EC"/>
    <w:rsid w:val="45D15DB5"/>
    <w:rsid w:val="45D92233"/>
    <w:rsid w:val="45E246AF"/>
    <w:rsid w:val="45F135BF"/>
    <w:rsid w:val="45F80962"/>
    <w:rsid w:val="46075D95"/>
    <w:rsid w:val="46106BDF"/>
    <w:rsid w:val="462A1C28"/>
    <w:rsid w:val="462B3E0E"/>
    <w:rsid w:val="46303CE3"/>
    <w:rsid w:val="46587977"/>
    <w:rsid w:val="46631889"/>
    <w:rsid w:val="467C0A06"/>
    <w:rsid w:val="46A31E5A"/>
    <w:rsid w:val="46C628E4"/>
    <w:rsid w:val="46D6723E"/>
    <w:rsid w:val="46F3470C"/>
    <w:rsid w:val="46F647CB"/>
    <w:rsid w:val="474F5BC6"/>
    <w:rsid w:val="475061EE"/>
    <w:rsid w:val="47704162"/>
    <w:rsid w:val="47777C35"/>
    <w:rsid w:val="47816900"/>
    <w:rsid w:val="47A704E7"/>
    <w:rsid w:val="47AE3345"/>
    <w:rsid w:val="47BC6343"/>
    <w:rsid w:val="47CF438D"/>
    <w:rsid w:val="48293633"/>
    <w:rsid w:val="48317160"/>
    <w:rsid w:val="48491C64"/>
    <w:rsid w:val="486456C6"/>
    <w:rsid w:val="486B399D"/>
    <w:rsid w:val="48707AA6"/>
    <w:rsid w:val="487B199C"/>
    <w:rsid w:val="48877C41"/>
    <w:rsid w:val="489966B3"/>
    <w:rsid w:val="489E71CB"/>
    <w:rsid w:val="48B910BF"/>
    <w:rsid w:val="48BD6F84"/>
    <w:rsid w:val="48CB55FC"/>
    <w:rsid w:val="48D47683"/>
    <w:rsid w:val="48DE77FB"/>
    <w:rsid w:val="48E0228B"/>
    <w:rsid w:val="48EE6FBB"/>
    <w:rsid w:val="48FF5B0E"/>
    <w:rsid w:val="491C286D"/>
    <w:rsid w:val="4926660D"/>
    <w:rsid w:val="493D01C0"/>
    <w:rsid w:val="49595FCE"/>
    <w:rsid w:val="49646881"/>
    <w:rsid w:val="496973BA"/>
    <w:rsid w:val="497A63A5"/>
    <w:rsid w:val="4981042D"/>
    <w:rsid w:val="49852D79"/>
    <w:rsid w:val="498C5384"/>
    <w:rsid w:val="4990334C"/>
    <w:rsid w:val="499A5EBE"/>
    <w:rsid w:val="49A76F8C"/>
    <w:rsid w:val="49BC1465"/>
    <w:rsid w:val="49D2789A"/>
    <w:rsid w:val="49DA1421"/>
    <w:rsid w:val="49E84240"/>
    <w:rsid w:val="4A0044D8"/>
    <w:rsid w:val="4A1C0454"/>
    <w:rsid w:val="4A25315F"/>
    <w:rsid w:val="4A267BAF"/>
    <w:rsid w:val="4A473C4C"/>
    <w:rsid w:val="4A6475AC"/>
    <w:rsid w:val="4A83294D"/>
    <w:rsid w:val="4A993930"/>
    <w:rsid w:val="4A9D6BEB"/>
    <w:rsid w:val="4AA94550"/>
    <w:rsid w:val="4AB26764"/>
    <w:rsid w:val="4AE456FD"/>
    <w:rsid w:val="4AEA65FB"/>
    <w:rsid w:val="4AED56DB"/>
    <w:rsid w:val="4AF453CE"/>
    <w:rsid w:val="4B0F744C"/>
    <w:rsid w:val="4B12212F"/>
    <w:rsid w:val="4B1425AF"/>
    <w:rsid w:val="4B147355"/>
    <w:rsid w:val="4B2873E9"/>
    <w:rsid w:val="4B2A7D6D"/>
    <w:rsid w:val="4B37110B"/>
    <w:rsid w:val="4B45653F"/>
    <w:rsid w:val="4B62723A"/>
    <w:rsid w:val="4B6B1D5E"/>
    <w:rsid w:val="4B6D5CBC"/>
    <w:rsid w:val="4B8B130A"/>
    <w:rsid w:val="4B9E4C30"/>
    <w:rsid w:val="4BDD7210"/>
    <w:rsid w:val="4BFB00B8"/>
    <w:rsid w:val="4C1A33A3"/>
    <w:rsid w:val="4C2967FE"/>
    <w:rsid w:val="4C347DF0"/>
    <w:rsid w:val="4C373327"/>
    <w:rsid w:val="4C531452"/>
    <w:rsid w:val="4C544CA6"/>
    <w:rsid w:val="4C645572"/>
    <w:rsid w:val="4C736BFA"/>
    <w:rsid w:val="4C841B76"/>
    <w:rsid w:val="4C860ACB"/>
    <w:rsid w:val="4C885A8B"/>
    <w:rsid w:val="4C8B09BA"/>
    <w:rsid w:val="4C902D00"/>
    <w:rsid w:val="4CDF5521"/>
    <w:rsid w:val="4CE357A5"/>
    <w:rsid w:val="4CEB4059"/>
    <w:rsid w:val="4CF96F9F"/>
    <w:rsid w:val="4CFE3DF7"/>
    <w:rsid w:val="4D0646D4"/>
    <w:rsid w:val="4D1D617B"/>
    <w:rsid w:val="4D275AAD"/>
    <w:rsid w:val="4D287D93"/>
    <w:rsid w:val="4D2900A0"/>
    <w:rsid w:val="4D406BB3"/>
    <w:rsid w:val="4D554E29"/>
    <w:rsid w:val="4D732500"/>
    <w:rsid w:val="4D854DDD"/>
    <w:rsid w:val="4D890C22"/>
    <w:rsid w:val="4D8F1D9D"/>
    <w:rsid w:val="4D900A8F"/>
    <w:rsid w:val="4D9E08B8"/>
    <w:rsid w:val="4DA60A3E"/>
    <w:rsid w:val="4DBD69C9"/>
    <w:rsid w:val="4DCD484B"/>
    <w:rsid w:val="4DF14EF1"/>
    <w:rsid w:val="4E342F16"/>
    <w:rsid w:val="4E3A7CFE"/>
    <w:rsid w:val="4E6E4764"/>
    <w:rsid w:val="4E7F377F"/>
    <w:rsid w:val="4E9C00EE"/>
    <w:rsid w:val="4EE54ED5"/>
    <w:rsid w:val="4EEC39D3"/>
    <w:rsid w:val="4EFA7677"/>
    <w:rsid w:val="4EFB6B0E"/>
    <w:rsid w:val="4F0937B2"/>
    <w:rsid w:val="4F2857C7"/>
    <w:rsid w:val="4F3610DB"/>
    <w:rsid w:val="4F431676"/>
    <w:rsid w:val="4F432221"/>
    <w:rsid w:val="4F545FBC"/>
    <w:rsid w:val="4F5A23B3"/>
    <w:rsid w:val="4F757C16"/>
    <w:rsid w:val="4F7947A4"/>
    <w:rsid w:val="4F7B00A1"/>
    <w:rsid w:val="4FA4224F"/>
    <w:rsid w:val="4FB65797"/>
    <w:rsid w:val="4FC63EF5"/>
    <w:rsid w:val="4FDC6AED"/>
    <w:rsid w:val="4FE830D5"/>
    <w:rsid w:val="4FF348F8"/>
    <w:rsid w:val="5003209D"/>
    <w:rsid w:val="50251807"/>
    <w:rsid w:val="5031300B"/>
    <w:rsid w:val="505251BC"/>
    <w:rsid w:val="50645571"/>
    <w:rsid w:val="50692626"/>
    <w:rsid w:val="506C5C64"/>
    <w:rsid w:val="506D432E"/>
    <w:rsid w:val="507E4ED3"/>
    <w:rsid w:val="50863385"/>
    <w:rsid w:val="50915118"/>
    <w:rsid w:val="50A31457"/>
    <w:rsid w:val="50BB78D7"/>
    <w:rsid w:val="50C0662F"/>
    <w:rsid w:val="50D50739"/>
    <w:rsid w:val="50D57A12"/>
    <w:rsid w:val="50DF0FBB"/>
    <w:rsid w:val="50E07F94"/>
    <w:rsid w:val="50EC176C"/>
    <w:rsid w:val="510B1B3E"/>
    <w:rsid w:val="510D3B38"/>
    <w:rsid w:val="511138CB"/>
    <w:rsid w:val="512C4E33"/>
    <w:rsid w:val="512F5D65"/>
    <w:rsid w:val="51374E3B"/>
    <w:rsid w:val="51426AE5"/>
    <w:rsid w:val="51752299"/>
    <w:rsid w:val="517A4CCF"/>
    <w:rsid w:val="517B029F"/>
    <w:rsid w:val="51835941"/>
    <w:rsid w:val="51876FF6"/>
    <w:rsid w:val="519B74F6"/>
    <w:rsid w:val="51D273D5"/>
    <w:rsid w:val="51DC232B"/>
    <w:rsid w:val="520F58C1"/>
    <w:rsid w:val="52135C4A"/>
    <w:rsid w:val="52403F36"/>
    <w:rsid w:val="52473BC9"/>
    <w:rsid w:val="5249493D"/>
    <w:rsid w:val="524B3243"/>
    <w:rsid w:val="525271D5"/>
    <w:rsid w:val="52745E0B"/>
    <w:rsid w:val="527776B7"/>
    <w:rsid w:val="528307AF"/>
    <w:rsid w:val="5283773B"/>
    <w:rsid w:val="52A35987"/>
    <w:rsid w:val="52BA45C4"/>
    <w:rsid w:val="52C4228B"/>
    <w:rsid w:val="52E4697A"/>
    <w:rsid w:val="5311289B"/>
    <w:rsid w:val="531B4D2A"/>
    <w:rsid w:val="53383BA0"/>
    <w:rsid w:val="533D4FF0"/>
    <w:rsid w:val="534F1512"/>
    <w:rsid w:val="53637AC5"/>
    <w:rsid w:val="53674E4A"/>
    <w:rsid w:val="537422DC"/>
    <w:rsid w:val="537911B8"/>
    <w:rsid w:val="538023C7"/>
    <w:rsid w:val="53950FB5"/>
    <w:rsid w:val="53AB5F76"/>
    <w:rsid w:val="53BD25F3"/>
    <w:rsid w:val="53D51BB9"/>
    <w:rsid w:val="53D62CFE"/>
    <w:rsid w:val="53D85512"/>
    <w:rsid w:val="53E1310B"/>
    <w:rsid w:val="53E54BE1"/>
    <w:rsid w:val="53F31E34"/>
    <w:rsid w:val="53FD2559"/>
    <w:rsid w:val="54101674"/>
    <w:rsid w:val="54131ACB"/>
    <w:rsid w:val="5422508C"/>
    <w:rsid w:val="546F773C"/>
    <w:rsid w:val="54731968"/>
    <w:rsid w:val="54791C2B"/>
    <w:rsid w:val="549B01A8"/>
    <w:rsid w:val="549B25E6"/>
    <w:rsid w:val="54A1121E"/>
    <w:rsid w:val="54A32C23"/>
    <w:rsid w:val="54AB42FB"/>
    <w:rsid w:val="54AC0DB1"/>
    <w:rsid w:val="54AD3239"/>
    <w:rsid w:val="54AE1FFD"/>
    <w:rsid w:val="54CC6C91"/>
    <w:rsid w:val="54D0067B"/>
    <w:rsid w:val="54E6795D"/>
    <w:rsid w:val="55082218"/>
    <w:rsid w:val="5511603C"/>
    <w:rsid w:val="55246AC2"/>
    <w:rsid w:val="552C299E"/>
    <w:rsid w:val="555B7CDB"/>
    <w:rsid w:val="55764891"/>
    <w:rsid w:val="55765D49"/>
    <w:rsid w:val="557A3E08"/>
    <w:rsid w:val="557B0C25"/>
    <w:rsid w:val="558106D5"/>
    <w:rsid w:val="55906771"/>
    <w:rsid w:val="559A395C"/>
    <w:rsid w:val="55EE56F2"/>
    <w:rsid w:val="55EF138F"/>
    <w:rsid w:val="55F55897"/>
    <w:rsid w:val="56245F34"/>
    <w:rsid w:val="5626135C"/>
    <w:rsid w:val="56262CA6"/>
    <w:rsid w:val="562F6C08"/>
    <w:rsid w:val="56362537"/>
    <w:rsid w:val="564A6308"/>
    <w:rsid w:val="565560D9"/>
    <w:rsid w:val="56562D66"/>
    <w:rsid w:val="565B6752"/>
    <w:rsid w:val="565D457E"/>
    <w:rsid w:val="56614709"/>
    <w:rsid w:val="56653F0B"/>
    <w:rsid w:val="56694408"/>
    <w:rsid w:val="567D66C6"/>
    <w:rsid w:val="56883376"/>
    <w:rsid w:val="568D05E1"/>
    <w:rsid w:val="56B06E56"/>
    <w:rsid w:val="56BE129B"/>
    <w:rsid w:val="56BE58E9"/>
    <w:rsid w:val="56C360E3"/>
    <w:rsid w:val="56E000AD"/>
    <w:rsid w:val="5712340F"/>
    <w:rsid w:val="57172E9C"/>
    <w:rsid w:val="572309C4"/>
    <w:rsid w:val="57613B56"/>
    <w:rsid w:val="576735CA"/>
    <w:rsid w:val="577C1E9C"/>
    <w:rsid w:val="578B12C7"/>
    <w:rsid w:val="57AF7659"/>
    <w:rsid w:val="57C830CD"/>
    <w:rsid w:val="57D34898"/>
    <w:rsid w:val="57DC6327"/>
    <w:rsid w:val="57DE511E"/>
    <w:rsid w:val="57E91CB8"/>
    <w:rsid w:val="57EA5B4F"/>
    <w:rsid w:val="58062C21"/>
    <w:rsid w:val="58064093"/>
    <w:rsid w:val="5813238F"/>
    <w:rsid w:val="581737DB"/>
    <w:rsid w:val="5848489E"/>
    <w:rsid w:val="58525781"/>
    <w:rsid w:val="58596D09"/>
    <w:rsid w:val="587A5FAD"/>
    <w:rsid w:val="58961D60"/>
    <w:rsid w:val="58A31494"/>
    <w:rsid w:val="58A5060C"/>
    <w:rsid w:val="58C2652B"/>
    <w:rsid w:val="58C708D4"/>
    <w:rsid w:val="58DD2FF0"/>
    <w:rsid w:val="58FE7239"/>
    <w:rsid w:val="59257AEB"/>
    <w:rsid w:val="592D0751"/>
    <w:rsid w:val="592D66B9"/>
    <w:rsid w:val="595E07B8"/>
    <w:rsid w:val="596B68C1"/>
    <w:rsid w:val="59712398"/>
    <w:rsid w:val="59897E15"/>
    <w:rsid w:val="59952857"/>
    <w:rsid w:val="599A39EE"/>
    <w:rsid w:val="599F3D1E"/>
    <w:rsid w:val="59A03D5A"/>
    <w:rsid w:val="59A42F6E"/>
    <w:rsid w:val="59A678A0"/>
    <w:rsid w:val="59AB4B62"/>
    <w:rsid w:val="59BD1481"/>
    <w:rsid w:val="59CE4819"/>
    <w:rsid w:val="59E43D42"/>
    <w:rsid w:val="59E77F7D"/>
    <w:rsid w:val="59EB3C5A"/>
    <w:rsid w:val="59FA215E"/>
    <w:rsid w:val="59FA2D6C"/>
    <w:rsid w:val="5A087406"/>
    <w:rsid w:val="5A0B6276"/>
    <w:rsid w:val="5A13197D"/>
    <w:rsid w:val="5A1B40A7"/>
    <w:rsid w:val="5A1E1F0A"/>
    <w:rsid w:val="5A374883"/>
    <w:rsid w:val="5A640006"/>
    <w:rsid w:val="5A753BAA"/>
    <w:rsid w:val="5A7C1112"/>
    <w:rsid w:val="5A8B0F6A"/>
    <w:rsid w:val="5A910024"/>
    <w:rsid w:val="5AA068FE"/>
    <w:rsid w:val="5AC95353"/>
    <w:rsid w:val="5ACA7531"/>
    <w:rsid w:val="5AEB2599"/>
    <w:rsid w:val="5AFD5D13"/>
    <w:rsid w:val="5B044C91"/>
    <w:rsid w:val="5B0A3491"/>
    <w:rsid w:val="5B2D45FA"/>
    <w:rsid w:val="5B2F047E"/>
    <w:rsid w:val="5B326E48"/>
    <w:rsid w:val="5B415656"/>
    <w:rsid w:val="5B6C3383"/>
    <w:rsid w:val="5BBA7132"/>
    <w:rsid w:val="5BCB3058"/>
    <w:rsid w:val="5BCE2BCE"/>
    <w:rsid w:val="5BE60685"/>
    <w:rsid w:val="5BEA1233"/>
    <w:rsid w:val="5BF96AEB"/>
    <w:rsid w:val="5BFF4D81"/>
    <w:rsid w:val="5C080323"/>
    <w:rsid w:val="5C2674E1"/>
    <w:rsid w:val="5C273056"/>
    <w:rsid w:val="5C2D5B1D"/>
    <w:rsid w:val="5C2F6FE2"/>
    <w:rsid w:val="5C4D59EF"/>
    <w:rsid w:val="5C77597B"/>
    <w:rsid w:val="5C7C37C0"/>
    <w:rsid w:val="5C9807B6"/>
    <w:rsid w:val="5CA424D8"/>
    <w:rsid w:val="5CA64F93"/>
    <w:rsid w:val="5CA66FDC"/>
    <w:rsid w:val="5CA76313"/>
    <w:rsid w:val="5CB46883"/>
    <w:rsid w:val="5CB546C7"/>
    <w:rsid w:val="5CBE6F5F"/>
    <w:rsid w:val="5CD74575"/>
    <w:rsid w:val="5CDC01DE"/>
    <w:rsid w:val="5CEC576B"/>
    <w:rsid w:val="5D0F44EF"/>
    <w:rsid w:val="5D125E2A"/>
    <w:rsid w:val="5D2C6ABB"/>
    <w:rsid w:val="5D302458"/>
    <w:rsid w:val="5D36408D"/>
    <w:rsid w:val="5D5E6F58"/>
    <w:rsid w:val="5D6A31A7"/>
    <w:rsid w:val="5D6C076B"/>
    <w:rsid w:val="5D796BBB"/>
    <w:rsid w:val="5D917A7D"/>
    <w:rsid w:val="5D930784"/>
    <w:rsid w:val="5DB0166F"/>
    <w:rsid w:val="5DB11F5E"/>
    <w:rsid w:val="5DD24B13"/>
    <w:rsid w:val="5DF750D6"/>
    <w:rsid w:val="5E076AC6"/>
    <w:rsid w:val="5E1438AC"/>
    <w:rsid w:val="5E22511A"/>
    <w:rsid w:val="5E23784B"/>
    <w:rsid w:val="5E4A7518"/>
    <w:rsid w:val="5E4E3B6C"/>
    <w:rsid w:val="5E5B1C8C"/>
    <w:rsid w:val="5E5E0147"/>
    <w:rsid w:val="5E677152"/>
    <w:rsid w:val="5EA227CE"/>
    <w:rsid w:val="5EC07C58"/>
    <w:rsid w:val="5ECB7D14"/>
    <w:rsid w:val="5EE30B87"/>
    <w:rsid w:val="5EE441CB"/>
    <w:rsid w:val="5EE673AB"/>
    <w:rsid w:val="5F086D5D"/>
    <w:rsid w:val="5F150812"/>
    <w:rsid w:val="5F294887"/>
    <w:rsid w:val="5F3117CC"/>
    <w:rsid w:val="5F322EF6"/>
    <w:rsid w:val="5F626764"/>
    <w:rsid w:val="5FB00065"/>
    <w:rsid w:val="5FCF1DAC"/>
    <w:rsid w:val="5FD70E27"/>
    <w:rsid w:val="60027523"/>
    <w:rsid w:val="60144508"/>
    <w:rsid w:val="6017187D"/>
    <w:rsid w:val="6020607C"/>
    <w:rsid w:val="60365F57"/>
    <w:rsid w:val="60555EDE"/>
    <w:rsid w:val="60807842"/>
    <w:rsid w:val="60851B9F"/>
    <w:rsid w:val="60A46139"/>
    <w:rsid w:val="60DC6835"/>
    <w:rsid w:val="60E71CBA"/>
    <w:rsid w:val="60F167C2"/>
    <w:rsid w:val="60FB537C"/>
    <w:rsid w:val="610132E5"/>
    <w:rsid w:val="61026672"/>
    <w:rsid w:val="611229C1"/>
    <w:rsid w:val="6127537D"/>
    <w:rsid w:val="613F2D41"/>
    <w:rsid w:val="614650AD"/>
    <w:rsid w:val="61592AF8"/>
    <w:rsid w:val="616962D0"/>
    <w:rsid w:val="616C254F"/>
    <w:rsid w:val="61791C67"/>
    <w:rsid w:val="61900891"/>
    <w:rsid w:val="61B809F0"/>
    <w:rsid w:val="61C6554B"/>
    <w:rsid w:val="61CF7DE1"/>
    <w:rsid w:val="61F07B63"/>
    <w:rsid w:val="621168E6"/>
    <w:rsid w:val="622F7DD0"/>
    <w:rsid w:val="6232061E"/>
    <w:rsid w:val="623D75E3"/>
    <w:rsid w:val="625131FA"/>
    <w:rsid w:val="6260036C"/>
    <w:rsid w:val="62D07F21"/>
    <w:rsid w:val="62EB04BF"/>
    <w:rsid w:val="63043C1E"/>
    <w:rsid w:val="630B05DA"/>
    <w:rsid w:val="63100DD4"/>
    <w:rsid w:val="63164C85"/>
    <w:rsid w:val="63341E57"/>
    <w:rsid w:val="633F495D"/>
    <w:rsid w:val="63423479"/>
    <w:rsid w:val="637C5BE4"/>
    <w:rsid w:val="63915EF8"/>
    <w:rsid w:val="63B40C6B"/>
    <w:rsid w:val="63BA00AB"/>
    <w:rsid w:val="63BB6897"/>
    <w:rsid w:val="63BE26C5"/>
    <w:rsid w:val="63D70FEF"/>
    <w:rsid w:val="63F049DD"/>
    <w:rsid w:val="63F50E65"/>
    <w:rsid w:val="6403572B"/>
    <w:rsid w:val="641B705F"/>
    <w:rsid w:val="641C4955"/>
    <w:rsid w:val="642804BA"/>
    <w:rsid w:val="643B3608"/>
    <w:rsid w:val="64523867"/>
    <w:rsid w:val="645405FF"/>
    <w:rsid w:val="645657AD"/>
    <w:rsid w:val="64681B38"/>
    <w:rsid w:val="64965B97"/>
    <w:rsid w:val="64AC5BE7"/>
    <w:rsid w:val="64B321BD"/>
    <w:rsid w:val="64CF16C0"/>
    <w:rsid w:val="64FE4DD1"/>
    <w:rsid w:val="65191F26"/>
    <w:rsid w:val="651F2AC5"/>
    <w:rsid w:val="652236B2"/>
    <w:rsid w:val="652B36E9"/>
    <w:rsid w:val="6530196C"/>
    <w:rsid w:val="654150C7"/>
    <w:rsid w:val="6550785E"/>
    <w:rsid w:val="655D573B"/>
    <w:rsid w:val="655F40D5"/>
    <w:rsid w:val="65630F93"/>
    <w:rsid w:val="65984CE4"/>
    <w:rsid w:val="65A26F45"/>
    <w:rsid w:val="65A57A52"/>
    <w:rsid w:val="65A72A05"/>
    <w:rsid w:val="65AE584B"/>
    <w:rsid w:val="65B271C6"/>
    <w:rsid w:val="65B826CA"/>
    <w:rsid w:val="65BD7E6F"/>
    <w:rsid w:val="65BF30EC"/>
    <w:rsid w:val="65C00F78"/>
    <w:rsid w:val="65C52517"/>
    <w:rsid w:val="65F96837"/>
    <w:rsid w:val="660425CD"/>
    <w:rsid w:val="660E50D2"/>
    <w:rsid w:val="663D4BD2"/>
    <w:rsid w:val="664C096B"/>
    <w:rsid w:val="66686127"/>
    <w:rsid w:val="668A5B5E"/>
    <w:rsid w:val="668C0203"/>
    <w:rsid w:val="66912CF7"/>
    <w:rsid w:val="669141AB"/>
    <w:rsid w:val="66A02511"/>
    <w:rsid w:val="66A654CA"/>
    <w:rsid w:val="66DF4B1E"/>
    <w:rsid w:val="670F44A1"/>
    <w:rsid w:val="67362901"/>
    <w:rsid w:val="67433CE2"/>
    <w:rsid w:val="675148C2"/>
    <w:rsid w:val="675327E1"/>
    <w:rsid w:val="676833EB"/>
    <w:rsid w:val="677342DF"/>
    <w:rsid w:val="67773AA9"/>
    <w:rsid w:val="679215C8"/>
    <w:rsid w:val="67A54D61"/>
    <w:rsid w:val="67A65D82"/>
    <w:rsid w:val="67A85E52"/>
    <w:rsid w:val="67AE6AC0"/>
    <w:rsid w:val="67B5073D"/>
    <w:rsid w:val="67BB174F"/>
    <w:rsid w:val="67CB526B"/>
    <w:rsid w:val="67D131E7"/>
    <w:rsid w:val="67EA75E4"/>
    <w:rsid w:val="68024FE2"/>
    <w:rsid w:val="681C07BB"/>
    <w:rsid w:val="68202EA0"/>
    <w:rsid w:val="682F429D"/>
    <w:rsid w:val="6838217F"/>
    <w:rsid w:val="68396DEF"/>
    <w:rsid w:val="68420836"/>
    <w:rsid w:val="68454B16"/>
    <w:rsid w:val="686055A3"/>
    <w:rsid w:val="68626798"/>
    <w:rsid w:val="686533BF"/>
    <w:rsid w:val="686864DB"/>
    <w:rsid w:val="687370FE"/>
    <w:rsid w:val="68742F77"/>
    <w:rsid w:val="68A71AF7"/>
    <w:rsid w:val="68C52A97"/>
    <w:rsid w:val="68DD2C93"/>
    <w:rsid w:val="68E95A07"/>
    <w:rsid w:val="68EC4FD8"/>
    <w:rsid w:val="68EC72A9"/>
    <w:rsid w:val="691164BD"/>
    <w:rsid w:val="692731E9"/>
    <w:rsid w:val="693F0EFD"/>
    <w:rsid w:val="69480A28"/>
    <w:rsid w:val="695243DF"/>
    <w:rsid w:val="695968AB"/>
    <w:rsid w:val="69692AC4"/>
    <w:rsid w:val="696F5CBD"/>
    <w:rsid w:val="6973570F"/>
    <w:rsid w:val="698762D8"/>
    <w:rsid w:val="69B966C7"/>
    <w:rsid w:val="69CA6E7F"/>
    <w:rsid w:val="69CB4B33"/>
    <w:rsid w:val="69E85895"/>
    <w:rsid w:val="69E93F3B"/>
    <w:rsid w:val="69F65F0C"/>
    <w:rsid w:val="6A11595B"/>
    <w:rsid w:val="6A132F95"/>
    <w:rsid w:val="6A2C0918"/>
    <w:rsid w:val="6A2F56EA"/>
    <w:rsid w:val="6A470972"/>
    <w:rsid w:val="6A5C38A4"/>
    <w:rsid w:val="6A9634C0"/>
    <w:rsid w:val="6AB370B4"/>
    <w:rsid w:val="6AE26AA2"/>
    <w:rsid w:val="6AEF52A0"/>
    <w:rsid w:val="6AF60CBB"/>
    <w:rsid w:val="6AFE2B10"/>
    <w:rsid w:val="6B1359C3"/>
    <w:rsid w:val="6B1F3DD1"/>
    <w:rsid w:val="6B212AA2"/>
    <w:rsid w:val="6B213FEB"/>
    <w:rsid w:val="6B2477BA"/>
    <w:rsid w:val="6B4B595F"/>
    <w:rsid w:val="6B8E619D"/>
    <w:rsid w:val="6B9D7482"/>
    <w:rsid w:val="6BA37D61"/>
    <w:rsid w:val="6BB42A56"/>
    <w:rsid w:val="6BB70539"/>
    <w:rsid w:val="6BDA5B1D"/>
    <w:rsid w:val="6C0256BB"/>
    <w:rsid w:val="6C10737C"/>
    <w:rsid w:val="6C131F18"/>
    <w:rsid w:val="6C166FD7"/>
    <w:rsid w:val="6C1C46BA"/>
    <w:rsid w:val="6C1F0223"/>
    <w:rsid w:val="6C560BBD"/>
    <w:rsid w:val="6C5D14D5"/>
    <w:rsid w:val="6C642028"/>
    <w:rsid w:val="6C76429F"/>
    <w:rsid w:val="6C992AA0"/>
    <w:rsid w:val="6CB67880"/>
    <w:rsid w:val="6CB85EB5"/>
    <w:rsid w:val="6CCC62B8"/>
    <w:rsid w:val="6CCF0B44"/>
    <w:rsid w:val="6CCF4C98"/>
    <w:rsid w:val="6CEC3B8C"/>
    <w:rsid w:val="6CEC4D76"/>
    <w:rsid w:val="6CEC6E42"/>
    <w:rsid w:val="6CF61925"/>
    <w:rsid w:val="6CFD35FB"/>
    <w:rsid w:val="6D1A178E"/>
    <w:rsid w:val="6D286C0C"/>
    <w:rsid w:val="6D3179FF"/>
    <w:rsid w:val="6D532F1A"/>
    <w:rsid w:val="6D700A38"/>
    <w:rsid w:val="6D7A65AC"/>
    <w:rsid w:val="6D815DC5"/>
    <w:rsid w:val="6D83732A"/>
    <w:rsid w:val="6D860102"/>
    <w:rsid w:val="6D902A78"/>
    <w:rsid w:val="6D9B7B75"/>
    <w:rsid w:val="6D9D75C2"/>
    <w:rsid w:val="6DAE42DF"/>
    <w:rsid w:val="6DB638B5"/>
    <w:rsid w:val="6DCA3E36"/>
    <w:rsid w:val="6DD70610"/>
    <w:rsid w:val="6DDC57B5"/>
    <w:rsid w:val="6DEB3E28"/>
    <w:rsid w:val="6DF900A1"/>
    <w:rsid w:val="6DFF697E"/>
    <w:rsid w:val="6E021E34"/>
    <w:rsid w:val="6E130186"/>
    <w:rsid w:val="6E217C36"/>
    <w:rsid w:val="6E3E37E4"/>
    <w:rsid w:val="6E56310E"/>
    <w:rsid w:val="6E777A87"/>
    <w:rsid w:val="6E7C662B"/>
    <w:rsid w:val="6E8B54C6"/>
    <w:rsid w:val="6E9057D6"/>
    <w:rsid w:val="6E953234"/>
    <w:rsid w:val="6E9A0A42"/>
    <w:rsid w:val="6EAB64B4"/>
    <w:rsid w:val="6EB6617C"/>
    <w:rsid w:val="6EC86534"/>
    <w:rsid w:val="6ECA6E5D"/>
    <w:rsid w:val="6ED111A3"/>
    <w:rsid w:val="6EEA127B"/>
    <w:rsid w:val="6F2272A3"/>
    <w:rsid w:val="6F3F0072"/>
    <w:rsid w:val="6F5053DB"/>
    <w:rsid w:val="6F7F65A4"/>
    <w:rsid w:val="6F91040F"/>
    <w:rsid w:val="6F91790C"/>
    <w:rsid w:val="6F962A56"/>
    <w:rsid w:val="6F9A0D85"/>
    <w:rsid w:val="6FA219AD"/>
    <w:rsid w:val="6FD74338"/>
    <w:rsid w:val="6FD978FB"/>
    <w:rsid w:val="6FDB2BF1"/>
    <w:rsid w:val="700A1978"/>
    <w:rsid w:val="70614425"/>
    <w:rsid w:val="706C1D23"/>
    <w:rsid w:val="707A1C60"/>
    <w:rsid w:val="70867BF3"/>
    <w:rsid w:val="70A16016"/>
    <w:rsid w:val="70A52813"/>
    <w:rsid w:val="70BC1CFE"/>
    <w:rsid w:val="70BE3262"/>
    <w:rsid w:val="70BF66FA"/>
    <w:rsid w:val="70C65D8E"/>
    <w:rsid w:val="70D457C5"/>
    <w:rsid w:val="70D47CEF"/>
    <w:rsid w:val="70EB08C9"/>
    <w:rsid w:val="70FA430B"/>
    <w:rsid w:val="7103583A"/>
    <w:rsid w:val="711D5440"/>
    <w:rsid w:val="712A17A9"/>
    <w:rsid w:val="714075FA"/>
    <w:rsid w:val="714A0D03"/>
    <w:rsid w:val="716817A6"/>
    <w:rsid w:val="71844488"/>
    <w:rsid w:val="71A870FC"/>
    <w:rsid w:val="71C26463"/>
    <w:rsid w:val="71CB6084"/>
    <w:rsid w:val="71DC7C70"/>
    <w:rsid w:val="721D0F66"/>
    <w:rsid w:val="72220DA9"/>
    <w:rsid w:val="723531DE"/>
    <w:rsid w:val="72644CBC"/>
    <w:rsid w:val="726D19B8"/>
    <w:rsid w:val="727E12A6"/>
    <w:rsid w:val="7280546E"/>
    <w:rsid w:val="728C7C2C"/>
    <w:rsid w:val="729B105A"/>
    <w:rsid w:val="729C0EDD"/>
    <w:rsid w:val="72A746B3"/>
    <w:rsid w:val="72B37A4F"/>
    <w:rsid w:val="72C16B78"/>
    <w:rsid w:val="72D53E9D"/>
    <w:rsid w:val="72F065C8"/>
    <w:rsid w:val="731A2321"/>
    <w:rsid w:val="733446D3"/>
    <w:rsid w:val="73363373"/>
    <w:rsid w:val="733F5915"/>
    <w:rsid w:val="7359506B"/>
    <w:rsid w:val="73615C7E"/>
    <w:rsid w:val="737B5FA3"/>
    <w:rsid w:val="738B306F"/>
    <w:rsid w:val="73B7633E"/>
    <w:rsid w:val="73CA21C9"/>
    <w:rsid w:val="73F71B90"/>
    <w:rsid w:val="73FB627C"/>
    <w:rsid w:val="74053D61"/>
    <w:rsid w:val="74132D70"/>
    <w:rsid w:val="741D0754"/>
    <w:rsid w:val="741D29A9"/>
    <w:rsid w:val="742F735C"/>
    <w:rsid w:val="74503E0E"/>
    <w:rsid w:val="74533853"/>
    <w:rsid w:val="74642890"/>
    <w:rsid w:val="74870118"/>
    <w:rsid w:val="749C3BE9"/>
    <w:rsid w:val="749F36C2"/>
    <w:rsid w:val="74BF1E11"/>
    <w:rsid w:val="74F50CD9"/>
    <w:rsid w:val="74F5193A"/>
    <w:rsid w:val="74FC0B05"/>
    <w:rsid w:val="751241C8"/>
    <w:rsid w:val="75180144"/>
    <w:rsid w:val="75193B99"/>
    <w:rsid w:val="75350EA6"/>
    <w:rsid w:val="753D3D9B"/>
    <w:rsid w:val="75586AA4"/>
    <w:rsid w:val="756429A1"/>
    <w:rsid w:val="757271FA"/>
    <w:rsid w:val="75923859"/>
    <w:rsid w:val="75AF60C9"/>
    <w:rsid w:val="75B1536B"/>
    <w:rsid w:val="75B22011"/>
    <w:rsid w:val="75B64BE3"/>
    <w:rsid w:val="75CC0297"/>
    <w:rsid w:val="75CC69F3"/>
    <w:rsid w:val="75E60835"/>
    <w:rsid w:val="75FD1826"/>
    <w:rsid w:val="76263051"/>
    <w:rsid w:val="762910F7"/>
    <w:rsid w:val="762E38C8"/>
    <w:rsid w:val="763A391E"/>
    <w:rsid w:val="763C3994"/>
    <w:rsid w:val="765422B0"/>
    <w:rsid w:val="7655602C"/>
    <w:rsid w:val="765D4E71"/>
    <w:rsid w:val="76967AB0"/>
    <w:rsid w:val="769C1EA6"/>
    <w:rsid w:val="769E08A6"/>
    <w:rsid w:val="76B36BE4"/>
    <w:rsid w:val="76BD36AD"/>
    <w:rsid w:val="76E03A70"/>
    <w:rsid w:val="76F47B7A"/>
    <w:rsid w:val="76F622EC"/>
    <w:rsid w:val="77004FC0"/>
    <w:rsid w:val="771426BD"/>
    <w:rsid w:val="772D7554"/>
    <w:rsid w:val="775700CB"/>
    <w:rsid w:val="77586440"/>
    <w:rsid w:val="777A5947"/>
    <w:rsid w:val="778A6AAE"/>
    <w:rsid w:val="778C5527"/>
    <w:rsid w:val="779648E4"/>
    <w:rsid w:val="77A83F14"/>
    <w:rsid w:val="77B0541D"/>
    <w:rsid w:val="77D56395"/>
    <w:rsid w:val="77D979A0"/>
    <w:rsid w:val="77E62631"/>
    <w:rsid w:val="77E92368"/>
    <w:rsid w:val="780947A8"/>
    <w:rsid w:val="78294B4F"/>
    <w:rsid w:val="78343E43"/>
    <w:rsid w:val="7843404F"/>
    <w:rsid w:val="78633D5B"/>
    <w:rsid w:val="789B5CDC"/>
    <w:rsid w:val="78AA5949"/>
    <w:rsid w:val="78B701BC"/>
    <w:rsid w:val="78BC4C92"/>
    <w:rsid w:val="78DD671C"/>
    <w:rsid w:val="78DE6D61"/>
    <w:rsid w:val="78E20920"/>
    <w:rsid w:val="78EF793F"/>
    <w:rsid w:val="78F457CA"/>
    <w:rsid w:val="78F815AC"/>
    <w:rsid w:val="790A1592"/>
    <w:rsid w:val="790A62BA"/>
    <w:rsid w:val="790F0FB8"/>
    <w:rsid w:val="7910093F"/>
    <w:rsid w:val="791D7C40"/>
    <w:rsid w:val="79690C87"/>
    <w:rsid w:val="796F774A"/>
    <w:rsid w:val="79812EF4"/>
    <w:rsid w:val="79945611"/>
    <w:rsid w:val="79AB2A44"/>
    <w:rsid w:val="79C67BBC"/>
    <w:rsid w:val="79E042AB"/>
    <w:rsid w:val="79E34301"/>
    <w:rsid w:val="79EA0112"/>
    <w:rsid w:val="79ED6C62"/>
    <w:rsid w:val="7A027B2C"/>
    <w:rsid w:val="7A210C73"/>
    <w:rsid w:val="7A2779A2"/>
    <w:rsid w:val="7A2A0D03"/>
    <w:rsid w:val="7A3A3FB4"/>
    <w:rsid w:val="7A4808DB"/>
    <w:rsid w:val="7A591EE5"/>
    <w:rsid w:val="7A5D1757"/>
    <w:rsid w:val="7A642789"/>
    <w:rsid w:val="7A741315"/>
    <w:rsid w:val="7A7D0F4E"/>
    <w:rsid w:val="7A8172E0"/>
    <w:rsid w:val="7A862F16"/>
    <w:rsid w:val="7ABA520B"/>
    <w:rsid w:val="7ABB733E"/>
    <w:rsid w:val="7ACD3530"/>
    <w:rsid w:val="7AD200D2"/>
    <w:rsid w:val="7AF946B0"/>
    <w:rsid w:val="7AFE7986"/>
    <w:rsid w:val="7B206134"/>
    <w:rsid w:val="7B2C1AED"/>
    <w:rsid w:val="7B3763ED"/>
    <w:rsid w:val="7B3F0E6B"/>
    <w:rsid w:val="7B404EB5"/>
    <w:rsid w:val="7B492279"/>
    <w:rsid w:val="7B5830C1"/>
    <w:rsid w:val="7B627CBA"/>
    <w:rsid w:val="7B6A1339"/>
    <w:rsid w:val="7B821035"/>
    <w:rsid w:val="7B894995"/>
    <w:rsid w:val="7B8E125A"/>
    <w:rsid w:val="7BB525B4"/>
    <w:rsid w:val="7BBC5EBE"/>
    <w:rsid w:val="7BD03186"/>
    <w:rsid w:val="7BD06E25"/>
    <w:rsid w:val="7BDA5C26"/>
    <w:rsid w:val="7C2E01BD"/>
    <w:rsid w:val="7C3C617D"/>
    <w:rsid w:val="7C4E00BA"/>
    <w:rsid w:val="7C5A474A"/>
    <w:rsid w:val="7C613F4A"/>
    <w:rsid w:val="7C8570C1"/>
    <w:rsid w:val="7C8D5632"/>
    <w:rsid w:val="7C905320"/>
    <w:rsid w:val="7C9719A9"/>
    <w:rsid w:val="7CAA7213"/>
    <w:rsid w:val="7CAE4A6B"/>
    <w:rsid w:val="7CDF1979"/>
    <w:rsid w:val="7D1B7934"/>
    <w:rsid w:val="7D294722"/>
    <w:rsid w:val="7D2F5E5A"/>
    <w:rsid w:val="7D335E8F"/>
    <w:rsid w:val="7D3B55BA"/>
    <w:rsid w:val="7D480AB7"/>
    <w:rsid w:val="7D587843"/>
    <w:rsid w:val="7D5A3130"/>
    <w:rsid w:val="7D72028F"/>
    <w:rsid w:val="7DC5632A"/>
    <w:rsid w:val="7DD63B0A"/>
    <w:rsid w:val="7DDF5A56"/>
    <w:rsid w:val="7DF04F70"/>
    <w:rsid w:val="7DF35445"/>
    <w:rsid w:val="7E027CF2"/>
    <w:rsid w:val="7E0A37AC"/>
    <w:rsid w:val="7E676054"/>
    <w:rsid w:val="7E93551C"/>
    <w:rsid w:val="7EA051D4"/>
    <w:rsid w:val="7EBD25B0"/>
    <w:rsid w:val="7EE65CB2"/>
    <w:rsid w:val="7EF17574"/>
    <w:rsid w:val="7EF829AD"/>
    <w:rsid w:val="7F380E4F"/>
    <w:rsid w:val="7F387519"/>
    <w:rsid w:val="7F535470"/>
    <w:rsid w:val="7F645E05"/>
    <w:rsid w:val="7F737B43"/>
    <w:rsid w:val="7FAA2D3B"/>
    <w:rsid w:val="7FAC3C48"/>
    <w:rsid w:val="7FB9293E"/>
    <w:rsid w:val="7FBA62F1"/>
    <w:rsid w:val="7FBE1E6B"/>
    <w:rsid w:val="7FE633F5"/>
    <w:rsid w:val="7FF7133F"/>
    <w:rsid w:val="7FF77794"/>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link w:val="12"/>
    <w:qFormat/>
    <w:uiPriority w:val="0"/>
    <w:pPr>
      <w:keepNext/>
      <w:keepLines/>
      <w:snapToGrid w:val="0"/>
      <w:spacing w:line="360" w:lineRule="auto"/>
      <w:outlineLvl w:val="0"/>
    </w:pPr>
    <w:rPr>
      <w:rFonts w:eastAsia="黑体"/>
      <w:b/>
      <w:kern w:val="44"/>
      <w:sz w:val="32"/>
    </w:rPr>
  </w:style>
  <w:style w:type="paragraph" w:styleId="2">
    <w:name w:val="heading 2"/>
    <w:basedOn w:val="1"/>
    <w:next w:val="1"/>
    <w:qFormat/>
    <w:uiPriority w:val="0"/>
    <w:pPr>
      <w:keepNext/>
      <w:keepLines/>
      <w:spacing w:before="50" w:beforeLines="50" w:after="50" w:afterLines="50" w:line="480" w:lineRule="exact"/>
      <w:jc w:val="center"/>
      <w:outlineLvl w:val="1"/>
    </w:pPr>
    <w:rPr>
      <w:rFonts w:ascii="Arial" w:hAnsi="Arial" w:eastAsia="方正小标宋简体"/>
      <w:sz w:val="36"/>
    </w:rPr>
  </w:style>
  <w:style w:type="paragraph" w:styleId="4">
    <w:name w:val="heading 3"/>
    <w:basedOn w:val="1"/>
    <w:next w:val="1"/>
    <w:link w:val="14"/>
    <w:unhideWhenUsed/>
    <w:qFormat/>
    <w:uiPriority w:val="0"/>
    <w:pPr>
      <w:keepNext/>
      <w:keepLines/>
      <w:spacing w:before="260" w:after="260" w:line="416" w:lineRule="auto"/>
      <w:outlineLvl w:val="2"/>
    </w:pPr>
    <w:rPr>
      <w:b/>
      <w:bCs/>
      <w:sz w:val="32"/>
      <w:szCs w:val="32"/>
    </w:rPr>
  </w:style>
  <w:style w:type="character" w:default="1" w:styleId="8">
    <w:name w:val="Default Paragraph Font"/>
    <w:unhideWhenUsed/>
    <w:uiPriority w:val="1"/>
  </w:style>
  <w:style w:type="table" w:default="1" w:styleId="10">
    <w:name w:val="Normal Table"/>
    <w:unhideWhenUsed/>
    <w:uiPriority w:val="99"/>
    <w:tblPr>
      <w:tblStyle w:val="10"/>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9">
    <w:name w:val="Emphasis"/>
    <w:basedOn w:val="8"/>
    <w:qFormat/>
    <w:uiPriority w:val="0"/>
    <w:rPr>
      <w:i/>
    </w:rPr>
  </w:style>
  <w:style w:type="paragraph" w:customStyle="1" w:styleId="11">
    <w:name w:val="Revision"/>
    <w:hidden/>
    <w:unhideWhenUsed/>
    <w:uiPriority w:val="99"/>
    <w:rPr>
      <w:rFonts w:ascii="Calibri" w:hAnsi="Calibri" w:eastAsia="宋体" w:cs="黑体"/>
      <w:kern w:val="2"/>
      <w:sz w:val="21"/>
      <w:szCs w:val="24"/>
      <w:lang w:val="en-US" w:eastAsia="zh-CN" w:bidi="ar-SA"/>
    </w:rPr>
  </w:style>
  <w:style w:type="character" w:customStyle="1" w:styleId="12">
    <w:name w:val="标题 1 字符"/>
    <w:link w:val="3"/>
    <w:qFormat/>
    <w:uiPriority w:val="0"/>
    <w:rPr>
      <w:rFonts w:ascii="Calibri" w:hAnsi="Calibri" w:eastAsia="黑体"/>
      <w:b/>
      <w:kern w:val="44"/>
      <w:sz w:val="32"/>
    </w:rPr>
  </w:style>
  <w:style w:type="character" w:customStyle="1" w:styleId="13">
    <w:name w:val="font61"/>
    <w:basedOn w:val="8"/>
    <w:qFormat/>
    <w:uiPriority w:val="0"/>
    <w:rPr>
      <w:rFonts w:hint="eastAsia" w:ascii="仿宋_GB2312" w:eastAsia="仿宋_GB2312" w:cs="仿宋_GB2312"/>
      <w:color w:val="000000"/>
      <w:sz w:val="28"/>
      <w:szCs w:val="28"/>
      <w:u w:val="none"/>
    </w:rPr>
  </w:style>
  <w:style w:type="character" w:customStyle="1" w:styleId="14">
    <w:name w:val="标题 3 字符"/>
    <w:basedOn w:val="8"/>
    <w:link w:val="4"/>
    <w:semiHidden/>
    <w:uiPriority w:val="0"/>
    <w:rPr>
      <w:rFonts w:ascii="Calibri" w:hAnsi="Calibri" w:eastAsia="宋体" w:cs="黑体"/>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951</Words>
  <Characters>5422</Characters>
  <Lines>45</Lines>
  <Paragraphs>12</Paragraphs>
  <TotalTime>0</TotalTime>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2022-01-06T01:05:00Z</dcterms:created>
  <dc:creator>LULING</dc:creator>
  <cp:lastModifiedBy>Administrator</cp:lastModifiedBy>
  <cp:lastPrinted>2024-10-10T01:45:00Z</cp:lastPrinted>
  <dcterms:modified xsi:type="dcterms:W3CDTF">2024-10-10T08:38:24Z</dcterms:modified>
  <dc:title>山西省数据流通交易管理办法（试行）</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y fmtid="{D5CDD505-2E9C-101B-9397-08002B2CF9AE}" pid="3" name="ICV">
    <vt:lpwstr>1325C4FC0EC043C5BE30856BD4689F05_13</vt:lpwstr>
  </property>
</Properties>
</file>