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cs="Times New Roman"/>
          <w:sz w:val="44"/>
          <w:szCs w:val="44"/>
        </w:rPr>
      </w:pPr>
    </w:p>
    <w:p>
      <w:pPr>
        <w:pStyle w:val="8"/>
        <w:spacing w:before="0" w:after="0" w:line="600" w:lineRule="exact"/>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《关于部分辅助生殖类诊疗项目纳入医保</w:t>
      </w:r>
    </w:p>
    <w:p>
      <w:pPr>
        <w:pStyle w:val="8"/>
        <w:spacing w:before="0" w:after="0" w:line="600" w:lineRule="exact"/>
        <w:rPr>
          <w:rFonts w:hint="eastAsia"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支付的通知（</w:t>
      </w:r>
      <w:r>
        <w:rPr>
          <w:rFonts w:hint="eastAsia" w:ascii="Times New Roman" w:hAnsi="Times New Roman" w:eastAsia="方正小标宋简体" w:cs="Times New Roman"/>
          <w:b w:val="0"/>
          <w:sz w:val="44"/>
          <w:szCs w:val="44"/>
          <w:lang w:val="en-US" w:eastAsia="zh-CN"/>
        </w:rPr>
        <w:t>征求意见</w:t>
      </w:r>
      <w:r>
        <w:rPr>
          <w:rFonts w:hint="eastAsia" w:ascii="Times New Roman" w:hAnsi="Times New Roman" w:eastAsia="方正小标宋简体" w:cs="Times New Roman"/>
          <w:b w:val="0"/>
          <w:sz w:val="44"/>
          <w:szCs w:val="44"/>
        </w:rPr>
        <w:t>稿）》</w:t>
      </w:r>
    </w:p>
    <w:p>
      <w:pPr>
        <w:pStyle w:val="8"/>
        <w:spacing w:before="0" w:after="0" w:line="600" w:lineRule="exact"/>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lang w:val="en-US" w:eastAsia="zh-CN"/>
        </w:rPr>
        <w:t>的</w:t>
      </w:r>
      <w:r>
        <w:rPr>
          <w:rFonts w:hint="eastAsia" w:ascii="Times New Roman" w:hAnsi="Times New Roman" w:eastAsia="方正小标宋简体" w:cs="Times New Roman"/>
          <w:b w:val="0"/>
          <w:sz w:val="44"/>
          <w:szCs w:val="44"/>
        </w:rPr>
        <w:t>起草说明</w:t>
      </w:r>
    </w:p>
    <w:p>
      <w:pPr>
        <w:tabs>
          <w:tab w:val="right" w:pos="8844"/>
        </w:tabs>
        <w:spacing w:line="600" w:lineRule="exact"/>
        <w:jc w:val="left"/>
        <w:rPr>
          <w:rFonts w:ascii="仿宋_GB2312" w:hAnsi="仿宋_GB2312" w:eastAsia="仿宋_GB2312" w:cs="仿宋_GB2312"/>
          <w:sz w:val="32"/>
          <w:szCs w:val="32"/>
        </w:rPr>
      </w:pPr>
    </w:p>
    <w:p>
      <w:pPr>
        <w:tabs>
          <w:tab w:val="right" w:pos="8844"/>
        </w:tabs>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为贯彻落实《广东省医疗保障局关于公布辅助生殖类医疗服务价格项目和支付政策的通知》（粤医保</w:t>
      </w:r>
      <w:r>
        <w:rPr>
          <w:rFonts w:ascii="Times New Roman" w:hAnsi="Times New Roman" w:eastAsia="仿宋_GB2312" w:cs="Times New Roman"/>
          <w:sz w:val="32"/>
          <w:szCs w:val="32"/>
        </w:rPr>
        <w:t>发〔2024〕23号）</w:t>
      </w:r>
      <w:r>
        <w:rPr>
          <w:rFonts w:hint="eastAsia" w:ascii="仿宋_GB2312" w:hAnsi="仿宋_GB2312" w:eastAsia="仿宋_GB2312" w:cs="仿宋_GB2312"/>
          <w:sz w:val="32"/>
          <w:szCs w:val="32"/>
        </w:rPr>
        <w:t>等文件要求，进一步完善和落实积极生育支持措施，在确保基金运行安全的基础上，我局草拟了《关于部分辅助生殖类诊疗项目纳入医保支付的通知》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rPr>
        <w:t>。</w:t>
      </w:r>
    </w:p>
    <w:p>
      <w:pPr>
        <w:spacing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一、主要政策依据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（一）《广东省医疗保障局关于公布辅助生殖类医疗服务价格项目和支付政策的通知》（粤医保发〔2024〕23号）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（二）《广东省医疗保障局广东省人力资源和社会保障厅关于将“取卵术”等8个辅助生殖类诊疗项目纳入医保目录的通知》（粤医保发〔2024〕24号）</w:t>
      </w:r>
    </w:p>
    <w:p>
      <w:pPr>
        <w:spacing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二、主要内容</w:t>
      </w:r>
    </w:p>
    <w:p>
      <w:pPr>
        <w:spacing w:line="60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（一）明确医保基金支付范围。</w:t>
      </w:r>
      <w:r>
        <w:rPr>
          <w:rFonts w:hint="eastAsia" w:ascii="仿宋_GB2312" w:hAnsi="仿宋_GB2312" w:eastAsia="仿宋_GB2312" w:cs="仿宋_GB2312"/>
          <w:sz w:val="32"/>
          <w:szCs w:val="32"/>
        </w:rPr>
        <w:t>按《广东省医疗保障局关于公布辅助生殖类医疗服务价格项目和支付政策的通知》（粤医保发〔2024〕23号）文</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要求将“取卵术”等8个辅助生殖类医疗服务价格项目纳入基本医疗保险支付范围。</w:t>
      </w:r>
    </w:p>
    <w:p>
      <w:pPr>
        <w:spacing w:line="600" w:lineRule="exact"/>
        <w:ind w:firstLine="640" w:firstLineChars="200"/>
        <w:rPr>
          <w:rFonts w:hint="default" w:ascii="楷体" w:hAnsi="楷体" w:eastAsia="仿宋_GB2312" w:cs="楷体"/>
          <w:sz w:val="32"/>
          <w:szCs w:val="32"/>
          <w:lang w:val="en-US" w:eastAsia="zh-CN"/>
        </w:rPr>
      </w:pPr>
      <w:r>
        <w:rPr>
          <w:rFonts w:hint="eastAsia" w:ascii="楷体" w:hAnsi="楷体" w:eastAsia="楷体" w:cs="楷体"/>
          <w:sz w:val="32"/>
          <w:szCs w:val="32"/>
        </w:rPr>
        <w:t>（二）明确医保基金待遇标准。</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门诊医疗费用参照门诊特定病种待遇予以保障，不设起付线，政策范围内支付比例参照住院标准执行。</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明确</w:t>
      </w:r>
      <w:r>
        <w:rPr>
          <w:rFonts w:hint="eastAsia" w:ascii="Times New Roman" w:hAnsi="Times New Roman" w:eastAsia="仿宋_GB2312" w:cs="Times New Roman"/>
          <w:sz w:val="32"/>
          <w:szCs w:val="32"/>
        </w:rPr>
        <w:t>年度最高支付限额分别为职工医保</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000元、居民医保5000元，门诊特定病种限额计入参保人当年度基金最高支付限额。</w:t>
      </w:r>
      <w:r>
        <w:rPr>
          <w:rFonts w:hint="eastAsia"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sz w:val="32"/>
          <w:szCs w:val="32"/>
          <w:lang w:val="en-US" w:eastAsia="zh-CN"/>
        </w:rPr>
        <w:t>明确</w:t>
      </w:r>
      <w:r>
        <w:rPr>
          <w:rFonts w:hint="eastAsia" w:ascii="Times New Roman" w:hAnsi="Times New Roman" w:eastAsia="仿宋_GB2312" w:cs="Times New Roman"/>
          <w:sz w:val="32"/>
          <w:szCs w:val="32"/>
        </w:rPr>
        <w:t>待遇支付标准可根据医保基金实际运行情况进行适时调整。</w:t>
      </w:r>
    </w:p>
    <w:p>
      <w:pPr>
        <w:spacing w:line="60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）明确</w:t>
      </w:r>
      <w:r>
        <w:rPr>
          <w:rFonts w:hint="eastAsia" w:ascii="楷体" w:hAnsi="楷体" w:eastAsia="楷体" w:cs="楷体"/>
          <w:sz w:val="32"/>
          <w:szCs w:val="32"/>
          <w:lang w:val="en-US" w:eastAsia="zh-CN"/>
        </w:rPr>
        <w:t>部门职责分工。</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医保部门要加强政策宣传解读，</w:t>
      </w:r>
      <w:r>
        <w:rPr>
          <w:rFonts w:hint="eastAsia" w:ascii="Times New Roman" w:hAnsi="Times New Roman" w:eastAsia="仿宋_GB2312" w:cs="Times New Roman"/>
          <w:sz w:val="32"/>
          <w:szCs w:val="32"/>
        </w:rPr>
        <w:t>及时回应群众关切</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Times New Roman" w:hAnsi="Times New Roman" w:eastAsia="仿宋_GB2312" w:cs="Times New Roman"/>
          <w:sz w:val="32"/>
          <w:szCs w:val="32"/>
        </w:rPr>
        <w:t>医保经办部门</w:t>
      </w:r>
      <w:r>
        <w:rPr>
          <w:rFonts w:hint="eastAsia" w:ascii="Times New Roman" w:hAnsi="Times New Roman" w:eastAsia="仿宋_GB2312" w:cs="Times New Roman"/>
          <w:sz w:val="32"/>
          <w:szCs w:val="32"/>
          <w:lang w:val="en-US" w:eastAsia="zh-CN"/>
        </w:rPr>
        <w:t>做好</w:t>
      </w:r>
      <w:r>
        <w:rPr>
          <w:rFonts w:hint="eastAsia" w:ascii="Times New Roman" w:hAnsi="Times New Roman" w:eastAsia="仿宋_GB2312" w:cs="Times New Roman"/>
          <w:sz w:val="32"/>
          <w:szCs w:val="32"/>
        </w:rPr>
        <w:t>国家医保信息平台配置病种报销政策和类别，实现就医费用医保直接结算。</w:t>
      </w:r>
      <w:r>
        <w:rPr>
          <w:rFonts w:hint="eastAsia" w:ascii="Times New Roman" w:hAnsi="Times New Roman" w:eastAsia="仿宋_GB2312" w:cs="Times New Roman"/>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ascii="Times New Roman" w:hAnsi="Times New Roman" w:eastAsia="仿宋_GB2312" w:cs="Times New Roman"/>
          <w:sz w:val="32"/>
          <w:szCs w:val="32"/>
        </w:rPr>
        <w:t>各相关定点医疗机构要严格按照卫生健康部门制定的相关技术规范，为符合条件的参保人员提供治疗性辅助生殖服务。</w:t>
      </w:r>
      <w:bookmarkStart w:id="0" w:name="_GoBack"/>
      <w:bookmarkEnd w:id="0"/>
    </w:p>
    <w:p>
      <w:pPr>
        <w:spacing w:line="600" w:lineRule="exact"/>
        <w:ind w:firstLine="640" w:firstLineChars="200"/>
        <w:rPr>
          <w:rFonts w:ascii="仿宋_GB2312" w:hAnsi="仿宋_GB2312" w:eastAsia="仿宋_GB2312" w:cs="仿宋_GB2312"/>
          <w:sz w:val="32"/>
          <w:szCs w:val="32"/>
        </w:rPr>
      </w:pPr>
    </w:p>
    <w:sectPr>
      <w:footerReference r:id="rId3" w:type="default"/>
      <w:pgSz w:w="11906" w:h="16838"/>
      <w:pgMar w:top="1880" w:right="1797" w:bottom="1938" w:left="179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7027BC-7B3B-492B-9D61-FB3C782323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40AF268-CB2F-4963-9851-6218EE343385}"/>
  </w:font>
  <w:font w:name="仿宋_GB2312">
    <w:panose1 w:val="02010609030101010101"/>
    <w:charset w:val="86"/>
    <w:family w:val="modern"/>
    <w:pitch w:val="default"/>
    <w:sig w:usb0="00000001" w:usb1="080E0000" w:usb2="00000000" w:usb3="00000000" w:csb0="00040000" w:csb1="00000000"/>
    <w:embedRegular r:id="rId3" w:fontKey="{FA2E45B3-39FC-462E-90B0-D83B5A1AA9F6}"/>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4" w:fontKey="{BB82EEDE-8B61-469E-BB56-9999F03B3E6B}"/>
  </w:font>
  <w:font w:name="楷体">
    <w:panose1 w:val="02010609060101010101"/>
    <w:charset w:val="86"/>
    <w:family w:val="modern"/>
    <w:pitch w:val="default"/>
    <w:sig w:usb0="800002BF" w:usb1="38CF7CFA" w:usb2="00000016" w:usb3="00000000" w:csb0="00040001" w:csb1="00000000"/>
    <w:embedRegular r:id="rId5" w:fontKey="{78D0F673-EA1B-4B3C-8E6A-1960E2F4BF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8"/>
        <w:szCs w:val="28"/>
      </w:rPr>
    </w:pPr>
  </w:p>
  <w:p>
    <w:pPr>
      <w:spacing w:before="1" w:line="176" w:lineRule="auto"/>
      <w:ind w:left="21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zZTQwMzE2MzVhNDAxNDE1OWYwMzcwMDM0MGMyZDIifQ=="/>
  </w:docVars>
  <w:rsids>
    <w:rsidRoot w:val="00172A27"/>
    <w:rsid w:val="00000684"/>
    <w:rsid w:val="00025AEA"/>
    <w:rsid w:val="00031BED"/>
    <w:rsid w:val="000436D3"/>
    <w:rsid w:val="0006055A"/>
    <w:rsid w:val="000720D8"/>
    <w:rsid w:val="0009362A"/>
    <w:rsid w:val="000A1EA5"/>
    <w:rsid w:val="000A4F44"/>
    <w:rsid w:val="000D2D85"/>
    <w:rsid w:val="000E1EDF"/>
    <w:rsid w:val="000F1891"/>
    <w:rsid w:val="000F534F"/>
    <w:rsid w:val="00121726"/>
    <w:rsid w:val="001408E2"/>
    <w:rsid w:val="00143230"/>
    <w:rsid w:val="00164B97"/>
    <w:rsid w:val="00172A27"/>
    <w:rsid w:val="00186CB0"/>
    <w:rsid w:val="001924C6"/>
    <w:rsid w:val="001A7C4B"/>
    <w:rsid w:val="001B4281"/>
    <w:rsid w:val="001E4DD4"/>
    <w:rsid w:val="001F43EF"/>
    <w:rsid w:val="002649DE"/>
    <w:rsid w:val="002876DC"/>
    <w:rsid w:val="002C1BE4"/>
    <w:rsid w:val="002E1BC1"/>
    <w:rsid w:val="002E7137"/>
    <w:rsid w:val="00300FB2"/>
    <w:rsid w:val="0030375C"/>
    <w:rsid w:val="003065DF"/>
    <w:rsid w:val="00306810"/>
    <w:rsid w:val="00324831"/>
    <w:rsid w:val="00357E99"/>
    <w:rsid w:val="0037640A"/>
    <w:rsid w:val="003C3EC8"/>
    <w:rsid w:val="003C40E3"/>
    <w:rsid w:val="003E2323"/>
    <w:rsid w:val="004150A1"/>
    <w:rsid w:val="00450F94"/>
    <w:rsid w:val="00467F9E"/>
    <w:rsid w:val="004818BA"/>
    <w:rsid w:val="00490E7D"/>
    <w:rsid w:val="00496B5C"/>
    <w:rsid w:val="004A08B7"/>
    <w:rsid w:val="004F6DDB"/>
    <w:rsid w:val="00545ED7"/>
    <w:rsid w:val="00547048"/>
    <w:rsid w:val="00555CC8"/>
    <w:rsid w:val="005D1AA1"/>
    <w:rsid w:val="005D4A95"/>
    <w:rsid w:val="005F599B"/>
    <w:rsid w:val="005F77F9"/>
    <w:rsid w:val="006077D0"/>
    <w:rsid w:val="006077FA"/>
    <w:rsid w:val="0062244C"/>
    <w:rsid w:val="00654516"/>
    <w:rsid w:val="006A343F"/>
    <w:rsid w:val="00703EB5"/>
    <w:rsid w:val="00713140"/>
    <w:rsid w:val="00715E65"/>
    <w:rsid w:val="00733A03"/>
    <w:rsid w:val="00776B22"/>
    <w:rsid w:val="00797AD9"/>
    <w:rsid w:val="007D4E13"/>
    <w:rsid w:val="00812AAF"/>
    <w:rsid w:val="00822465"/>
    <w:rsid w:val="008446C6"/>
    <w:rsid w:val="0084599E"/>
    <w:rsid w:val="00896DAE"/>
    <w:rsid w:val="008A056A"/>
    <w:rsid w:val="008C31D4"/>
    <w:rsid w:val="008D6CB5"/>
    <w:rsid w:val="008E31A7"/>
    <w:rsid w:val="008E6007"/>
    <w:rsid w:val="008F23B0"/>
    <w:rsid w:val="0091251D"/>
    <w:rsid w:val="00927570"/>
    <w:rsid w:val="00957EC6"/>
    <w:rsid w:val="0096740C"/>
    <w:rsid w:val="009A705C"/>
    <w:rsid w:val="009E24E4"/>
    <w:rsid w:val="009F328B"/>
    <w:rsid w:val="00A077D2"/>
    <w:rsid w:val="00A2106D"/>
    <w:rsid w:val="00A264DA"/>
    <w:rsid w:val="00A2771E"/>
    <w:rsid w:val="00AA32D0"/>
    <w:rsid w:val="00AB3DF2"/>
    <w:rsid w:val="00AB72C6"/>
    <w:rsid w:val="00AC22A0"/>
    <w:rsid w:val="00AC6F82"/>
    <w:rsid w:val="00AF214A"/>
    <w:rsid w:val="00AF5742"/>
    <w:rsid w:val="00B01A34"/>
    <w:rsid w:val="00B10679"/>
    <w:rsid w:val="00B12A6E"/>
    <w:rsid w:val="00B653F2"/>
    <w:rsid w:val="00B960BC"/>
    <w:rsid w:val="00BB6687"/>
    <w:rsid w:val="00BF191E"/>
    <w:rsid w:val="00BF3D20"/>
    <w:rsid w:val="00C10A9B"/>
    <w:rsid w:val="00C1666B"/>
    <w:rsid w:val="00C76484"/>
    <w:rsid w:val="00C964EA"/>
    <w:rsid w:val="00CA6D96"/>
    <w:rsid w:val="00CC29BD"/>
    <w:rsid w:val="00CD454F"/>
    <w:rsid w:val="00CD4917"/>
    <w:rsid w:val="00D25AE9"/>
    <w:rsid w:val="00D274A3"/>
    <w:rsid w:val="00D521A1"/>
    <w:rsid w:val="00D8702D"/>
    <w:rsid w:val="00DC0406"/>
    <w:rsid w:val="00E152F2"/>
    <w:rsid w:val="00E771A4"/>
    <w:rsid w:val="00ED65AA"/>
    <w:rsid w:val="00EF1E0D"/>
    <w:rsid w:val="00EF6B40"/>
    <w:rsid w:val="00F06482"/>
    <w:rsid w:val="00F06D94"/>
    <w:rsid w:val="00F26506"/>
    <w:rsid w:val="00F618B0"/>
    <w:rsid w:val="00F733EC"/>
    <w:rsid w:val="00F83AD8"/>
    <w:rsid w:val="00F8705E"/>
    <w:rsid w:val="00FA40CF"/>
    <w:rsid w:val="00FC15A4"/>
    <w:rsid w:val="00FD209A"/>
    <w:rsid w:val="010D473E"/>
    <w:rsid w:val="01DC0CB0"/>
    <w:rsid w:val="037E4CAF"/>
    <w:rsid w:val="03E726C4"/>
    <w:rsid w:val="067E1E56"/>
    <w:rsid w:val="06D0216D"/>
    <w:rsid w:val="07022E99"/>
    <w:rsid w:val="072145DC"/>
    <w:rsid w:val="07283946"/>
    <w:rsid w:val="08320404"/>
    <w:rsid w:val="08DF02AB"/>
    <w:rsid w:val="0B0240BB"/>
    <w:rsid w:val="0B733FCB"/>
    <w:rsid w:val="0BEF4CA9"/>
    <w:rsid w:val="0F0E2966"/>
    <w:rsid w:val="0FA5049D"/>
    <w:rsid w:val="1032537E"/>
    <w:rsid w:val="11682C64"/>
    <w:rsid w:val="123F5A9D"/>
    <w:rsid w:val="12857C72"/>
    <w:rsid w:val="12D72A92"/>
    <w:rsid w:val="13AA3D12"/>
    <w:rsid w:val="149E54BE"/>
    <w:rsid w:val="15657D89"/>
    <w:rsid w:val="16041350"/>
    <w:rsid w:val="169F1079"/>
    <w:rsid w:val="18160592"/>
    <w:rsid w:val="196954E5"/>
    <w:rsid w:val="19C332D1"/>
    <w:rsid w:val="1C8925AF"/>
    <w:rsid w:val="1D31734C"/>
    <w:rsid w:val="1DA653E3"/>
    <w:rsid w:val="1EBE4505"/>
    <w:rsid w:val="23F219E7"/>
    <w:rsid w:val="23FC7B0B"/>
    <w:rsid w:val="24C5587B"/>
    <w:rsid w:val="24CC0B7B"/>
    <w:rsid w:val="250824DF"/>
    <w:rsid w:val="293D304E"/>
    <w:rsid w:val="2A307D13"/>
    <w:rsid w:val="2D8566CB"/>
    <w:rsid w:val="2E3B60DB"/>
    <w:rsid w:val="2FCE01FD"/>
    <w:rsid w:val="31AA1E4A"/>
    <w:rsid w:val="34B54432"/>
    <w:rsid w:val="34E402F2"/>
    <w:rsid w:val="36637EBD"/>
    <w:rsid w:val="372E351E"/>
    <w:rsid w:val="375F1793"/>
    <w:rsid w:val="398443D3"/>
    <w:rsid w:val="3BA913A7"/>
    <w:rsid w:val="3BC606A0"/>
    <w:rsid w:val="3DC456E6"/>
    <w:rsid w:val="3E226954"/>
    <w:rsid w:val="4063738F"/>
    <w:rsid w:val="40A614DE"/>
    <w:rsid w:val="41C22F22"/>
    <w:rsid w:val="423E416A"/>
    <w:rsid w:val="42997141"/>
    <w:rsid w:val="42CD2946"/>
    <w:rsid w:val="43B4754A"/>
    <w:rsid w:val="464C6532"/>
    <w:rsid w:val="49D73896"/>
    <w:rsid w:val="49DD29FF"/>
    <w:rsid w:val="4A0B6D7E"/>
    <w:rsid w:val="4B33502F"/>
    <w:rsid w:val="4B5D4A84"/>
    <w:rsid w:val="4F073CFD"/>
    <w:rsid w:val="51037E7B"/>
    <w:rsid w:val="528D1BB8"/>
    <w:rsid w:val="53E37E72"/>
    <w:rsid w:val="543C3DD0"/>
    <w:rsid w:val="55392BEA"/>
    <w:rsid w:val="569F22DF"/>
    <w:rsid w:val="57174680"/>
    <w:rsid w:val="5C071F06"/>
    <w:rsid w:val="5F4F7A03"/>
    <w:rsid w:val="5F516F81"/>
    <w:rsid w:val="5F846772"/>
    <w:rsid w:val="614B2FEE"/>
    <w:rsid w:val="61EC02FE"/>
    <w:rsid w:val="63626C83"/>
    <w:rsid w:val="636A0712"/>
    <w:rsid w:val="63CA3982"/>
    <w:rsid w:val="64FD6C64"/>
    <w:rsid w:val="660D07D9"/>
    <w:rsid w:val="66FB6F62"/>
    <w:rsid w:val="68823B22"/>
    <w:rsid w:val="68FB2919"/>
    <w:rsid w:val="69FF2571"/>
    <w:rsid w:val="6ADC731B"/>
    <w:rsid w:val="6E153FB5"/>
    <w:rsid w:val="6E3B7BBF"/>
    <w:rsid w:val="6ECD131A"/>
    <w:rsid w:val="6F2474E3"/>
    <w:rsid w:val="6FC37133"/>
    <w:rsid w:val="71864810"/>
    <w:rsid w:val="71970440"/>
    <w:rsid w:val="727D3192"/>
    <w:rsid w:val="73A45C16"/>
    <w:rsid w:val="74D004C4"/>
    <w:rsid w:val="75A153E9"/>
    <w:rsid w:val="76AB27CA"/>
    <w:rsid w:val="772B5A68"/>
    <w:rsid w:val="773A3291"/>
    <w:rsid w:val="7A67404E"/>
    <w:rsid w:val="7B0A28DC"/>
    <w:rsid w:val="7BDD7EF6"/>
    <w:rsid w:val="7C191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semiHidden/>
    <w:qFormat/>
    <w:uiPriority w:val="0"/>
    <w:pPr>
      <w:widowControl/>
      <w:kinsoku w:val="0"/>
      <w:autoSpaceDE w:val="0"/>
      <w:autoSpaceDN w:val="0"/>
      <w:adjustRightInd w:val="0"/>
      <w:snapToGrid w:val="0"/>
      <w:jc w:val="left"/>
      <w:textAlignment w:val="baseline"/>
    </w:pPr>
    <w:rPr>
      <w:rFonts w:ascii="仿宋_GB2312" w:hAnsi="仿宋_GB2312" w:eastAsia="仿宋_GB2312" w:cs="仿宋_GB2312"/>
      <w:snapToGrid w:val="0"/>
      <w:color w:val="000000"/>
      <w:kern w:val="0"/>
      <w:sz w:val="31"/>
      <w:szCs w:val="31"/>
      <w:lang w:eastAsia="en-US"/>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11"/>
    <w:pPr>
      <w:spacing w:before="240" w:after="60" w:line="312" w:lineRule="auto"/>
      <w:jc w:val="center"/>
      <w:outlineLvl w:val="1"/>
    </w:pPr>
    <w:rPr>
      <w:b/>
      <w:bCs/>
      <w:kern w:val="28"/>
      <w:sz w:val="32"/>
      <w:szCs w:val="32"/>
    </w:rPr>
  </w:style>
  <w:style w:type="paragraph" w:styleId="8">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customStyle="1" w:styleId="13">
    <w:name w:val="标题 字符"/>
    <w:basedOn w:val="11"/>
    <w:link w:val="8"/>
    <w:qFormat/>
    <w:uiPriority w:val="10"/>
    <w:rPr>
      <w:rFonts w:asciiTheme="majorHAnsi" w:hAnsiTheme="majorHAnsi" w:eastAsiaTheme="majorEastAsia" w:cstheme="majorBidi"/>
      <w:b/>
      <w:bCs/>
      <w:sz w:val="32"/>
      <w:szCs w:val="32"/>
    </w:rPr>
  </w:style>
  <w:style w:type="character" w:customStyle="1" w:styleId="14">
    <w:name w:val="副标题 字符"/>
    <w:basedOn w:val="11"/>
    <w:link w:val="7"/>
    <w:qFormat/>
    <w:uiPriority w:val="11"/>
    <w:rPr>
      <w:b/>
      <w:bCs/>
      <w:kern w:val="28"/>
      <w:sz w:val="32"/>
      <w:szCs w:val="32"/>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标题 1 字符"/>
    <w:basedOn w:val="11"/>
    <w:link w:val="2"/>
    <w:qFormat/>
    <w:uiPriority w:val="9"/>
    <w:rPr>
      <w:b/>
      <w:bCs/>
      <w:kern w:val="44"/>
      <w:sz w:val="44"/>
      <w:szCs w:val="44"/>
    </w:rPr>
  </w:style>
  <w:style w:type="character" w:customStyle="1" w:styleId="18">
    <w:name w:val="正文文本 字符"/>
    <w:basedOn w:val="11"/>
    <w:link w:val="4"/>
    <w:semiHidden/>
    <w:qFormat/>
    <w:uiPriority w:val="0"/>
    <w:rPr>
      <w:rFonts w:ascii="仿宋_GB2312" w:hAnsi="仿宋_GB2312" w:eastAsia="仿宋_GB2312" w:cs="仿宋_GB2312"/>
      <w:snapToGrid w:val="0"/>
      <w:color w:val="000000"/>
      <w:sz w:val="31"/>
      <w:szCs w:val="31"/>
      <w:lang w:eastAsia="en-US"/>
    </w:rPr>
  </w:style>
  <w:style w:type="character" w:customStyle="1" w:styleId="19">
    <w:name w:val="标题 3 字符"/>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2664</Words>
  <Characters>2858</Characters>
  <Lines>21</Lines>
  <Paragraphs>5</Paragraphs>
  <TotalTime>0</TotalTime>
  <ScaleCrop>false</ScaleCrop>
  <LinksUpToDate>false</LinksUpToDate>
  <CharactersWithSpaces>2878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2024-09-14T01:43:00Z</dcterms:created>
  <dc:creator>king</dc:creator>
  <cp:lastModifiedBy>平衡点</cp:lastModifiedBy>
  <cp:lastPrinted>2024-03-27T01:14:00Z</cp:lastPrinted>
  <dcterms:modified xsi:type="dcterms:W3CDTF">2024-09-26T02:41:08Z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B70F3A0B0BEB4D6F8EAB4B4D5911B431_13</vt:lpwstr>
  </property>
</Properties>
</file>