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68852">
      <w:pPr>
        <w:spacing w:line="560" w:lineRule="exact"/>
        <w:rPr>
          <w:rFonts w:ascii="方正黑体_GBK" w:eastAsia="方正黑体_GBK"/>
          <w:bCs/>
          <w:szCs w:val="32"/>
        </w:rPr>
      </w:pPr>
      <w:r>
        <w:rPr>
          <w:rFonts w:hint="eastAsia" w:ascii="方正黑体_GBK" w:eastAsia="方正黑体_GBK"/>
          <w:bCs/>
          <w:szCs w:val="32"/>
        </w:rPr>
        <w:t>附件1</w:t>
      </w:r>
    </w:p>
    <w:p w14:paraId="3C5BB989">
      <w:pPr>
        <w:spacing w:line="560" w:lineRule="exact"/>
        <w:jc w:val="center"/>
        <w:rPr>
          <w:rFonts w:eastAsia="方正小标宋_GBK"/>
          <w:bCs/>
          <w:sz w:val="44"/>
          <w:szCs w:val="44"/>
        </w:rPr>
      </w:pPr>
    </w:p>
    <w:p w14:paraId="7FDCAF79">
      <w:pPr>
        <w:spacing w:line="560" w:lineRule="exact"/>
        <w:jc w:val="center"/>
        <w:rPr>
          <w:rFonts w:eastAsia="方正小标宋_GBK"/>
          <w:bCs/>
          <w:sz w:val="44"/>
          <w:szCs w:val="44"/>
        </w:rPr>
      </w:pPr>
      <w:r>
        <w:rPr>
          <w:rFonts w:eastAsia="方正小标宋_GBK"/>
          <w:bCs/>
          <w:sz w:val="44"/>
          <w:szCs w:val="44"/>
        </w:rPr>
        <w:t>重庆市学校结核病防控工作规范（2024版）</w:t>
      </w:r>
    </w:p>
    <w:p w14:paraId="11DAA315">
      <w:pPr>
        <w:spacing w:line="560" w:lineRule="exact"/>
        <w:jc w:val="center"/>
        <w:rPr>
          <w:rFonts w:eastAsia="方正楷体_GBK"/>
          <w:bCs/>
          <w:szCs w:val="32"/>
        </w:rPr>
      </w:pPr>
      <w:r>
        <w:rPr>
          <w:rFonts w:eastAsia="方正楷体_GBK"/>
          <w:bCs/>
          <w:szCs w:val="32"/>
        </w:rPr>
        <w:t>（征求意见稿）</w:t>
      </w:r>
    </w:p>
    <w:p w14:paraId="6E23E5D3">
      <w:pPr>
        <w:spacing w:line="560" w:lineRule="exact"/>
        <w:rPr>
          <w:rFonts w:eastAsia="方正仿宋-GBK"/>
        </w:rPr>
      </w:pPr>
    </w:p>
    <w:p w14:paraId="5F6C9D80">
      <w:pPr>
        <w:spacing w:line="560" w:lineRule="exact"/>
        <w:ind w:firstLine="640" w:firstLineChars="200"/>
        <w:rPr>
          <w:rFonts w:ascii="方正仿宋_GBK" w:eastAsia="方正仿宋_GBK"/>
          <w:bCs/>
          <w:szCs w:val="32"/>
        </w:rPr>
      </w:pPr>
      <w:r>
        <w:rPr>
          <w:rFonts w:hint="eastAsia" w:ascii="方正仿宋_GBK" w:eastAsia="方正仿宋_GBK"/>
          <w:bCs/>
          <w:szCs w:val="32"/>
        </w:rPr>
        <w:t>为加强学校结核病预防控制工作，有效防范学校结核病疫情的传播流行，确保广大师生身体健康与生命安全，根据《中华人民共和国传染病防治法》《结核病防治管理办法》《中国学校结核病防控指南（</w:t>
      </w:r>
      <w:r>
        <w:rPr>
          <w:rFonts w:eastAsia="方正仿宋_GBK"/>
          <w:bCs/>
          <w:szCs w:val="32"/>
        </w:rPr>
        <w:t>2020</w:t>
      </w:r>
      <w:r>
        <w:rPr>
          <w:rFonts w:hint="eastAsia" w:ascii="方正仿宋_GBK" w:eastAsia="方正仿宋_GBK"/>
          <w:bCs/>
          <w:szCs w:val="32"/>
        </w:rPr>
        <w:t>版）》要求，结合我市实际，制定本</w:t>
      </w:r>
      <w:r>
        <w:rPr>
          <w:rFonts w:hint="default" w:ascii="方正仿宋_GBK" w:eastAsia="方正仿宋_GBK"/>
          <w:bCs/>
          <w:szCs w:val="32"/>
          <w:woUserID w:val="2"/>
        </w:rPr>
        <w:t>规范</w:t>
      </w:r>
      <w:r>
        <w:rPr>
          <w:rFonts w:hint="eastAsia" w:ascii="方正仿宋_GBK" w:eastAsia="方正仿宋_GBK"/>
          <w:bCs/>
          <w:szCs w:val="32"/>
        </w:rPr>
        <w:t>。</w:t>
      </w:r>
    </w:p>
    <w:p w14:paraId="2110E377">
      <w:pPr>
        <w:spacing w:line="560" w:lineRule="exact"/>
        <w:ind w:firstLine="640" w:firstLineChars="200"/>
        <w:rPr>
          <w:rFonts w:eastAsia="方正黑体_GBK"/>
          <w:bCs/>
          <w:szCs w:val="32"/>
        </w:rPr>
      </w:pPr>
      <w:r>
        <w:rPr>
          <w:rFonts w:eastAsia="方正黑体_GBK"/>
          <w:bCs/>
          <w:szCs w:val="32"/>
        </w:rPr>
        <w:t>一、学校结核病常规预防控制措施</w:t>
      </w:r>
    </w:p>
    <w:p w14:paraId="5289E750">
      <w:pPr>
        <w:spacing w:line="560" w:lineRule="exact"/>
        <w:ind w:firstLine="640" w:firstLineChars="200"/>
        <w:rPr>
          <w:rFonts w:ascii="方正仿宋_GBK" w:eastAsia="方正仿宋_GBK"/>
          <w:bCs/>
          <w:szCs w:val="32"/>
        </w:rPr>
      </w:pPr>
      <w:r>
        <w:rPr>
          <w:rFonts w:hint="eastAsia" w:ascii="方正仿宋_GBK" w:eastAsia="方正仿宋_GBK"/>
          <w:bCs/>
          <w:szCs w:val="32"/>
        </w:rPr>
        <w:t>学校结核病常规防控工作是预防学校结核病疫情发生的基础。疾控主管部门、卫生健康</w:t>
      </w:r>
      <w:r>
        <w:rPr>
          <w:rFonts w:hint="default" w:ascii="方正仿宋_GBK" w:eastAsia="方正仿宋_GBK"/>
          <w:bCs/>
          <w:szCs w:val="32"/>
          <w:woUserID w:val="2"/>
        </w:rPr>
        <w:t>、</w:t>
      </w:r>
      <w:r>
        <w:rPr>
          <w:rFonts w:hint="eastAsia" w:ascii="方正仿宋_GBK" w:eastAsia="方正仿宋_GBK"/>
          <w:bCs/>
          <w:szCs w:val="32"/>
        </w:rPr>
        <w:t>教育行政部门应当依法履行相应职责，遵循属地管理原则，建立联防联控工作机制，每年召开部门间沟通协调会，制定日常防控工作计划，督促各项防控措施的落实。</w:t>
      </w:r>
    </w:p>
    <w:p w14:paraId="2AF22FC7">
      <w:pPr>
        <w:numPr>
          <w:ilvl w:val="0"/>
          <w:numId w:val="1"/>
        </w:numPr>
        <w:spacing w:line="560" w:lineRule="exact"/>
        <w:ind w:firstLine="640" w:firstLineChars="200"/>
        <w:rPr>
          <w:rFonts w:eastAsia="方正楷体_GBK"/>
          <w:bCs/>
          <w:szCs w:val="32"/>
        </w:rPr>
      </w:pPr>
      <w:r>
        <w:rPr>
          <w:rFonts w:eastAsia="方正楷体_GBK"/>
          <w:bCs/>
          <w:szCs w:val="32"/>
        </w:rPr>
        <w:t>健康体检</w:t>
      </w:r>
    </w:p>
    <w:p w14:paraId="317A0322">
      <w:pPr>
        <w:numPr>
          <w:ilvl w:val="255"/>
          <w:numId w:val="0"/>
        </w:numPr>
        <w:spacing w:line="560" w:lineRule="exact"/>
        <w:ind w:firstLine="640" w:firstLineChars="200"/>
        <w:rPr>
          <w:rFonts w:ascii="方正仿宋_GBK" w:eastAsia="方正仿宋_GBK"/>
          <w:bCs/>
          <w:szCs w:val="32"/>
        </w:rPr>
      </w:pPr>
      <w:r>
        <w:rPr>
          <w:rFonts w:hint="eastAsia" w:ascii="方正仿宋_GBK" w:eastAsia="方正仿宋_GBK"/>
          <w:bCs/>
          <w:szCs w:val="32"/>
        </w:rPr>
        <w:t>各级各类学校</w:t>
      </w:r>
      <w:r>
        <w:rPr>
          <w:rFonts w:ascii="方正仿宋_GBK" w:eastAsia="方正仿宋_GBK"/>
          <w:bCs/>
          <w:szCs w:val="32"/>
        </w:rPr>
        <w:t>应</w:t>
      </w:r>
      <w:r>
        <w:rPr>
          <w:rFonts w:hint="eastAsia" w:ascii="方正仿宋_GBK" w:eastAsia="方正仿宋_GBK"/>
          <w:bCs/>
          <w:szCs w:val="32"/>
        </w:rPr>
        <w:t>按有关规定将结核病检查项目作为新生入学（转学）体检和教职员工常规体检的必查项目，由具备资质的医疗卫生机构（含结核病定点医疗机构和</w:t>
      </w:r>
      <w:r>
        <w:rPr>
          <w:rFonts w:hint="eastAsia" w:ascii="方正仿宋_GBK" w:eastAsia="方正仿宋_GBK"/>
          <w:szCs w:val="28"/>
        </w:rPr>
        <w:t>疾病预防控制机构</w:t>
      </w:r>
      <w:r>
        <w:rPr>
          <w:rFonts w:hint="eastAsia" w:ascii="方正仿宋_GBK" w:eastAsia="方正仿宋_GBK"/>
          <w:bCs/>
          <w:szCs w:val="32"/>
        </w:rPr>
        <w:t>）进行学校师生健康体检，并将体检结果纳入学生和教职员工的健康档案。高中教育阶段应每年组织开展高二年级学生结核病筛查。鼓励有条件的区县对初二学生开展结核感染检测。疾病预防控制机构为学校师生结核病健康体检提供技术支持和指导（结核病健康体检筛查方案见附件</w:t>
      </w:r>
      <w:r>
        <w:rPr>
          <w:rFonts w:eastAsia="方正仿宋_GBK"/>
          <w:bCs/>
          <w:szCs w:val="32"/>
        </w:rPr>
        <w:t>1</w:t>
      </w:r>
      <w:r>
        <w:rPr>
          <w:rFonts w:hint="eastAsia" w:ascii="方正仿宋_GBK" w:eastAsia="方正仿宋_GBK"/>
          <w:bCs/>
          <w:szCs w:val="32"/>
        </w:rPr>
        <w:t>）。对发现的疑似病例，健康体检机构要及时反馈给学校，由学校告知学生（或家长）到当地结核病定点医疗机构确诊并跟踪了解诊断结果，同时通知属地疾病预防控制机构。</w:t>
      </w:r>
    </w:p>
    <w:p w14:paraId="1E4E0D97">
      <w:pPr>
        <w:numPr>
          <w:ilvl w:val="0"/>
          <w:numId w:val="1"/>
        </w:numPr>
        <w:spacing w:line="560" w:lineRule="exact"/>
        <w:ind w:firstLine="640" w:firstLineChars="200"/>
        <w:rPr>
          <w:rFonts w:eastAsia="方正楷体_GBK"/>
          <w:bCs/>
          <w:szCs w:val="32"/>
        </w:rPr>
      </w:pPr>
      <w:r>
        <w:rPr>
          <w:rFonts w:eastAsia="方正楷体_GBK"/>
          <w:bCs/>
          <w:szCs w:val="32"/>
        </w:rPr>
        <w:t>健康教育</w:t>
      </w:r>
    </w:p>
    <w:p w14:paraId="182E4327">
      <w:pPr>
        <w:numPr>
          <w:ilvl w:val="255"/>
          <w:numId w:val="0"/>
        </w:numPr>
        <w:spacing w:line="560" w:lineRule="exact"/>
        <w:ind w:firstLine="640" w:firstLineChars="200"/>
        <w:rPr>
          <w:rFonts w:ascii="方正仿宋_GBK" w:eastAsia="方正仿宋_GBK"/>
          <w:bCs/>
          <w:szCs w:val="32"/>
        </w:rPr>
      </w:pPr>
      <w:r>
        <w:rPr>
          <w:rFonts w:hint="eastAsia" w:ascii="方正仿宋_GBK" w:eastAsia="方正仿宋_GBK"/>
          <w:bCs/>
          <w:szCs w:val="32"/>
        </w:rPr>
        <w:t>学校通过健康教育课、主题班会、专题讲座，以及校园内传统媒介或新媒体等多种形式，向在校学生和教职员工广泛宣传结核病防治的核心知识（学校结核病健康教育宣传核心知识见附件</w:t>
      </w:r>
      <w:r>
        <w:rPr>
          <w:rFonts w:eastAsia="方正仿宋_GBK"/>
          <w:bCs/>
          <w:szCs w:val="32"/>
        </w:rPr>
        <w:t>2</w:t>
      </w:r>
      <w:r>
        <w:rPr>
          <w:rFonts w:hint="eastAsia" w:ascii="方正仿宋_GBK" w:eastAsia="方正仿宋_GBK"/>
          <w:bCs/>
          <w:szCs w:val="32"/>
        </w:rPr>
        <w:t>），提高师生对结核病的认知水平，增强自我防护意识，减少对结核病患者的歧视。学校以班级为单位，每学期至少开展</w:t>
      </w:r>
      <w:r>
        <w:rPr>
          <w:rFonts w:eastAsia="方正仿宋_GBK"/>
          <w:bCs/>
          <w:szCs w:val="32"/>
        </w:rPr>
        <w:t>1</w:t>
      </w:r>
      <w:r>
        <w:rPr>
          <w:rFonts w:hint="eastAsia" w:ascii="方正仿宋_GBK" w:eastAsia="方正仿宋_GBK"/>
          <w:bCs/>
          <w:szCs w:val="32"/>
        </w:rPr>
        <w:t>次结核病健康教育。积极发挥大学生志愿者作用，结合百千万志愿者结核病防治知识传播活动提升行动，开展形式多样的结核病健康教育活动。疾病预防控制机构要主动提供技术支持和指导，协助学校开展工作。</w:t>
      </w:r>
    </w:p>
    <w:p w14:paraId="6846B3FD">
      <w:pPr>
        <w:numPr>
          <w:ilvl w:val="0"/>
          <w:numId w:val="1"/>
        </w:numPr>
        <w:spacing w:line="560" w:lineRule="exact"/>
        <w:ind w:firstLine="640" w:firstLineChars="200"/>
        <w:rPr>
          <w:rFonts w:eastAsia="方正楷体_GBK"/>
          <w:bCs/>
          <w:szCs w:val="32"/>
        </w:rPr>
      </w:pPr>
      <w:r>
        <w:rPr>
          <w:rFonts w:eastAsia="方正楷体_GBK"/>
          <w:bCs/>
          <w:szCs w:val="32"/>
        </w:rPr>
        <w:t>学校环境卫生</w:t>
      </w:r>
    </w:p>
    <w:p w14:paraId="019491AB">
      <w:pPr>
        <w:numPr>
          <w:ilvl w:val="255"/>
          <w:numId w:val="0"/>
        </w:numPr>
        <w:spacing w:line="560" w:lineRule="exact"/>
        <w:ind w:firstLine="640" w:firstLineChars="200"/>
        <w:rPr>
          <w:rFonts w:ascii="方正仿宋_GBK" w:eastAsia="方正仿宋_GBK"/>
          <w:bCs/>
          <w:szCs w:val="32"/>
        </w:rPr>
      </w:pPr>
      <w:r>
        <w:rPr>
          <w:rFonts w:hint="eastAsia" w:ascii="方正仿宋_GBK" w:eastAsia="方正仿宋_GBK"/>
          <w:bCs/>
          <w:szCs w:val="32"/>
        </w:rPr>
        <w:t>学校应当按照《国家学校体育卫生条件试行基本标准》《农村寄宿制学校生活卫生设施建设与管理规范》等涉及学校卫生的相关规范、标准和要求，保障学生学习和生活场所的人均使用面积；加强教室、宿舍、图书馆等人群聚集场所的通风换气，保持室内空气流通；做好校园环境的清扫保洁，消除卫生死角。</w:t>
      </w:r>
    </w:p>
    <w:p w14:paraId="0F93D25A">
      <w:pPr>
        <w:spacing w:line="560" w:lineRule="exact"/>
        <w:ind w:firstLine="640" w:firstLineChars="200"/>
        <w:rPr>
          <w:rFonts w:eastAsia="方正楷体_GBK"/>
          <w:bCs/>
          <w:szCs w:val="32"/>
        </w:rPr>
      </w:pPr>
      <w:r>
        <w:rPr>
          <w:rFonts w:eastAsia="方正楷体_GBK"/>
          <w:bCs/>
          <w:szCs w:val="32"/>
        </w:rPr>
        <w:t>（四）监测与报告</w:t>
      </w:r>
    </w:p>
    <w:p w14:paraId="37084E0F">
      <w:pPr>
        <w:spacing w:line="560" w:lineRule="exact"/>
        <w:ind w:firstLine="640" w:firstLineChars="200"/>
        <w:rPr>
          <w:rFonts w:ascii="方正仿宋_GBK" w:eastAsia="方正仿宋_GBK"/>
          <w:bCs/>
          <w:szCs w:val="32"/>
        </w:rPr>
      </w:pPr>
      <w:r>
        <w:rPr>
          <w:rFonts w:eastAsia="方正仿宋_GBK"/>
          <w:szCs w:val="32"/>
        </w:rPr>
        <w:t>1</w:t>
      </w:r>
      <w:r>
        <w:rPr>
          <w:rFonts w:hint="eastAsia" w:ascii="方正仿宋_GBK" w:eastAsia="方正仿宋_GBK"/>
          <w:szCs w:val="32"/>
        </w:rPr>
        <w:t>.晨检工作。</w:t>
      </w:r>
      <w:r>
        <w:rPr>
          <w:rFonts w:hint="eastAsia" w:ascii="方正仿宋_GBK" w:eastAsia="方正仿宋_GBK"/>
          <w:bCs/>
          <w:szCs w:val="32"/>
        </w:rPr>
        <w:t>托幼机构、中小学校应当由班主任或校医（保健教师）落实晨、午检工作。结核病高流行地区的寄宿制学校可由寝室室长负责晨检工作，有条件的大专院校也可开展晨检，重点了解每名学生是否有咳嗽、咳痰、咯血或血痰、发热、盗汗等肺结核可疑症状。发现肺结核可疑症状者后，应当及时报告学校卫生（保健）室。</w:t>
      </w:r>
    </w:p>
    <w:p w14:paraId="74B55975">
      <w:pPr>
        <w:spacing w:line="560" w:lineRule="exact"/>
        <w:ind w:firstLine="640" w:firstLineChars="200"/>
        <w:rPr>
          <w:rFonts w:ascii="方正仿宋_GBK" w:eastAsia="方正仿宋_GBK"/>
          <w:bCs/>
          <w:szCs w:val="32"/>
        </w:rPr>
      </w:pPr>
      <w:r>
        <w:rPr>
          <w:rFonts w:eastAsia="方正仿宋_GBK"/>
          <w:szCs w:val="32"/>
        </w:rPr>
        <w:t>2</w:t>
      </w:r>
      <w:r>
        <w:rPr>
          <w:rFonts w:hint="eastAsia" w:ascii="方正仿宋_GBK" w:eastAsia="方正仿宋_GBK"/>
          <w:szCs w:val="32"/>
        </w:rPr>
        <w:t>.因病缺勤病因追查及登记制度。</w:t>
      </w:r>
      <w:r>
        <w:rPr>
          <w:rFonts w:hint="eastAsia" w:ascii="方正仿宋_GBK" w:eastAsia="方正仿宋_GBK"/>
          <w:bCs/>
          <w:szCs w:val="32"/>
        </w:rPr>
        <w:t>班主任（或辅导员）应当及时了解因病缺勤学生的患病情况和可能原因。如怀疑为肺结核，应当及时报告学校卫生（保健）室或校医院，并由学校指定人员或通知家长陪伴学生到属地结核病定点医疗机构进一步诊治，学校卫生（保健）室或校医院追踪了解学生的诊断和治疗情况。</w:t>
      </w:r>
    </w:p>
    <w:p w14:paraId="66673BC2">
      <w:pPr>
        <w:spacing w:line="560" w:lineRule="exact"/>
        <w:ind w:firstLine="640" w:firstLineChars="200"/>
        <w:rPr>
          <w:rFonts w:ascii="方正仿宋_GBK" w:eastAsia="方正仿宋_GBK"/>
          <w:bCs/>
          <w:szCs w:val="32"/>
        </w:rPr>
      </w:pPr>
      <w:r>
        <w:rPr>
          <w:rFonts w:eastAsia="方正仿宋_GBK"/>
          <w:szCs w:val="32"/>
        </w:rPr>
        <w:t>3</w:t>
      </w:r>
      <w:r>
        <w:rPr>
          <w:rFonts w:hint="eastAsia" w:ascii="方正仿宋_GBK" w:eastAsia="方正仿宋_GBK"/>
          <w:szCs w:val="32"/>
        </w:rPr>
        <w:t>.病例报告。</w:t>
      </w:r>
      <w:r>
        <w:rPr>
          <w:rFonts w:hint="eastAsia" w:ascii="方正仿宋_GBK" w:eastAsia="方正仿宋_GBK"/>
          <w:bCs/>
          <w:szCs w:val="32"/>
        </w:rPr>
        <w:t>对学校发现的肺结核疑似病例或确诊病例，按照《</w:t>
      </w:r>
      <w:bookmarkStart w:id="0" w:name="OLE_LINK1"/>
      <w:r>
        <w:rPr>
          <w:rFonts w:hint="eastAsia" w:ascii="方正仿宋_GBK" w:eastAsia="方正仿宋_GBK"/>
          <w:bCs/>
          <w:szCs w:val="32"/>
        </w:rPr>
        <w:t>学校和托幼机构传染病疫情报告工作规范</w:t>
      </w:r>
      <w:bookmarkEnd w:id="0"/>
      <w:r>
        <w:rPr>
          <w:rFonts w:hint="eastAsia" w:ascii="方正仿宋_GBK" w:eastAsia="方正仿宋_GBK"/>
          <w:bCs/>
          <w:szCs w:val="32"/>
        </w:rPr>
        <w:t>（试行）》的要求，由学校疫情报告人立即向属地疾病预防控制机构和教育行政部门报告。</w:t>
      </w:r>
    </w:p>
    <w:p w14:paraId="667C95D5">
      <w:pPr>
        <w:spacing w:line="560" w:lineRule="exact"/>
        <w:ind w:firstLine="640" w:firstLineChars="200"/>
        <w:rPr>
          <w:rFonts w:ascii="方正仿宋_GBK" w:eastAsia="方正仿宋_GBK"/>
          <w:bCs/>
          <w:szCs w:val="32"/>
        </w:rPr>
      </w:pPr>
      <w:r>
        <w:rPr>
          <w:rFonts w:eastAsia="方正仿宋_GBK"/>
          <w:szCs w:val="32"/>
        </w:rPr>
        <w:t>4</w:t>
      </w:r>
      <w:r>
        <w:rPr>
          <w:rFonts w:hint="eastAsia" w:ascii="方正仿宋_GBK" w:eastAsia="方正仿宋_GBK"/>
          <w:szCs w:val="32"/>
        </w:rPr>
        <w:t>.疫情监测。</w:t>
      </w:r>
      <w:r>
        <w:rPr>
          <w:rFonts w:hint="eastAsia" w:ascii="方正仿宋_GBK" w:eastAsia="方正仿宋_GBK"/>
          <w:bCs/>
          <w:szCs w:val="32"/>
        </w:rPr>
        <w:t>各区县（自治县）疾病预防控制机构要充分利用国家疾病预防控制信息系统-传染病监测系统、国家传染病自动预警信息系统和重庆市学校结核病信息管理系统，开展学校结核病单病例预警及疫情和舆情监测。对监测发现职业为幼托儿童、学生（或教师）以及</w:t>
      </w:r>
      <w:r>
        <w:rPr>
          <w:rFonts w:eastAsia="方正仿宋_GBK"/>
          <w:bCs/>
          <w:szCs w:val="32"/>
        </w:rPr>
        <w:t>3</w:t>
      </w:r>
      <w:r>
        <w:rPr>
          <w:rFonts w:hint="eastAsia" w:ascii="方正仿宋_GBK" w:eastAsia="方正仿宋_GBK"/>
          <w:bCs/>
          <w:szCs w:val="32"/>
        </w:rPr>
        <w:t>-</w:t>
      </w:r>
      <w:r>
        <w:rPr>
          <w:rFonts w:eastAsia="方正仿宋_GBK"/>
          <w:bCs/>
          <w:szCs w:val="32"/>
        </w:rPr>
        <w:t>24</w:t>
      </w:r>
      <w:r>
        <w:rPr>
          <w:rFonts w:hint="eastAsia" w:ascii="方正仿宋_GBK" w:eastAsia="方正仿宋_GBK"/>
          <w:bCs/>
          <w:szCs w:val="32"/>
        </w:rPr>
        <w:t>岁的肺结核或疑似病例的报告信息，应当及时组织人员进行调查核实，将结果反馈给学校。同时，各区县（自治县）疾病预防控制机构应定期开展辖区学校结核病病例报告与个案调查信息的一致性、完整性、准确性自查及疫情处置情况自查。</w:t>
      </w:r>
    </w:p>
    <w:p w14:paraId="16090D04">
      <w:pPr>
        <w:spacing w:line="560" w:lineRule="exact"/>
        <w:ind w:firstLine="640" w:firstLineChars="200"/>
        <w:rPr>
          <w:rFonts w:eastAsia="方正黑体_GBK"/>
          <w:bCs/>
          <w:szCs w:val="32"/>
        </w:rPr>
      </w:pPr>
      <w:r>
        <w:rPr>
          <w:rFonts w:eastAsia="方正黑体_GBK"/>
          <w:bCs/>
          <w:szCs w:val="32"/>
        </w:rPr>
        <w:t>二、学校结核病散发疫情的防控措施</w:t>
      </w:r>
    </w:p>
    <w:p w14:paraId="6D237161">
      <w:pPr>
        <w:spacing w:line="560" w:lineRule="exact"/>
        <w:ind w:firstLine="640" w:firstLineChars="200"/>
        <w:rPr>
          <w:rFonts w:eastAsia="方正仿宋_GBK"/>
          <w:bCs/>
          <w:szCs w:val="32"/>
        </w:rPr>
      </w:pPr>
      <w:r>
        <w:rPr>
          <w:rFonts w:eastAsia="方正仿宋_GBK"/>
          <w:bCs/>
          <w:szCs w:val="32"/>
        </w:rPr>
        <w:t>学校结核病散发疫情是指在学校内发现活动性肺结核患者，但尚未构成结核病突发公共卫生事件。</w:t>
      </w:r>
      <w:r>
        <w:rPr>
          <w:rFonts w:hint="eastAsia" w:eastAsia="方正仿宋_GBK"/>
          <w:bCs/>
          <w:szCs w:val="32"/>
        </w:rPr>
        <w:t>疾控主管部门、卫生健康</w:t>
      </w:r>
      <w:r>
        <w:rPr>
          <w:rFonts w:eastAsia="方正仿宋_GBK"/>
          <w:bCs/>
          <w:szCs w:val="32"/>
        </w:rPr>
        <w:t>和教育行政部门要共同做好结核病散发疫情的处置工作，协调解决疫情应对和处置工作中出现的问题，确保工作有效开展。各相关单位和机构应当在强化各项常规预防控制措施的同时，采取以病例管理和密切接触者筛查为主的防控措施，严防结核病在校园内传播蔓延。疫情的相关处置工作均须及时录入重庆市学校结核病信息管理系统。</w:t>
      </w:r>
    </w:p>
    <w:p w14:paraId="0AC3E386">
      <w:pPr>
        <w:spacing w:line="560" w:lineRule="exact"/>
        <w:ind w:firstLine="640" w:firstLineChars="200"/>
        <w:rPr>
          <w:rFonts w:eastAsia="方正楷体_GBK"/>
          <w:bCs/>
          <w:szCs w:val="32"/>
        </w:rPr>
      </w:pPr>
      <w:r>
        <w:rPr>
          <w:rFonts w:eastAsia="方正楷体_GBK"/>
          <w:bCs/>
          <w:szCs w:val="32"/>
        </w:rPr>
        <w:t>（一）及时确诊并报告</w:t>
      </w:r>
    </w:p>
    <w:p w14:paraId="4DBAFA9B">
      <w:pPr>
        <w:spacing w:line="560" w:lineRule="exact"/>
        <w:ind w:firstLine="640" w:firstLineChars="200"/>
        <w:rPr>
          <w:rFonts w:ascii="方正仿宋_GBK" w:eastAsia="方正仿宋_GBK"/>
          <w:bCs/>
          <w:szCs w:val="32"/>
        </w:rPr>
      </w:pPr>
      <w:r>
        <w:rPr>
          <w:rFonts w:eastAsia="方正仿宋_GBK"/>
          <w:bCs/>
          <w:szCs w:val="32"/>
        </w:rPr>
        <w:t>1</w:t>
      </w:r>
      <w:r>
        <w:rPr>
          <w:rFonts w:hint="eastAsia" w:ascii="方正仿宋_GBK" w:eastAsia="方正仿宋_GBK"/>
          <w:bCs/>
          <w:szCs w:val="32"/>
        </w:rPr>
        <w:t>.各级各类医疗机构的临床医生，对就诊的学生及教职员工肺结核疑似患者或已确诊患者必须按照《传染病信息报告管理规范》要求规范地填写传染病报告卡，如实填写患者身份证号码和职业（如学生或教师）。对于职业是学生的患者，应在工作单位栏中详细、准确地填写学生所在学校及班级名称，并在</w:t>
      </w:r>
      <w:r>
        <w:rPr>
          <w:rFonts w:eastAsia="方正仿宋_GBK"/>
          <w:bCs/>
          <w:szCs w:val="32"/>
        </w:rPr>
        <w:t>24</w:t>
      </w:r>
      <w:r>
        <w:rPr>
          <w:rFonts w:hint="eastAsia" w:ascii="方正仿宋_GBK" w:eastAsia="方正仿宋_GBK"/>
          <w:bCs/>
          <w:szCs w:val="32"/>
        </w:rPr>
        <w:t>小时内进行网络报告。非结核病定点医疗机构应当按《结核病防治管理办法》要求将患者转诊到结核病定点医疗机构。</w:t>
      </w:r>
    </w:p>
    <w:p w14:paraId="2C536BF6">
      <w:pPr>
        <w:spacing w:line="560" w:lineRule="exact"/>
        <w:ind w:firstLine="640" w:firstLineChars="200"/>
        <w:rPr>
          <w:rFonts w:ascii="方正仿宋_GBK" w:eastAsia="方正仿宋_GBK"/>
          <w:bCs/>
          <w:szCs w:val="32"/>
        </w:rPr>
      </w:pPr>
      <w:r>
        <w:rPr>
          <w:rFonts w:eastAsia="方正仿宋_GBK"/>
          <w:bCs/>
          <w:szCs w:val="32"/>
        </w:rPr>
        <w:t>2</w:t>
      </w:r>
      <w:r>
        <w:rPr>
          <w:rFonts w:hint="eastAsia" w:ascii="方正仿宋_GBK" w:eastAsia="方正仿宋_GBK"/>
          <w:bCs/>
          <w:szCs w:val="32"/>
        </w:rPr>
        <w:t>.结核病定点医疗机构对学校师生中因症就诊或转诊的肺结核可疑症状者要详细询问病史和临床表现等，按照肺结核的诊疗规范进行胸部</w:t>
      </w:r>
      <w:r>
        <w:rPr>
          <w:rFonts w:eastAsia="方正仿宋_GBK"/>
          <w:bCs/>
          <w:szCs w:val="32"/>
        </w:rPr>
        <w:t>X</w:t>
      </w:r>
      <w:r>
        <w:rPr>
          <w:rFonts w:hint="eastAsia" w:ascii="方正仿宋_GBK" w:eastAsia="方正仿宋_GBK"/>
          <w:bCs/>
          <w:szCs w:val="32"/>
        </w:rPr>
        <w:t>光片检查、痰菌实验室检查，按照《肺结核诊断》（</w:t>
      </w:r>
      <w:r>
        <w:rPr>
          <w:rFonts w:eastAsia="方正仿宋_GBK"/>
          <w:bCs/>
          <w:szCs w:val="32"/>
        </w:rPr>
        <w:t>WS288-2017</w:t>
      </w:r>
      <w:r>
        <w:rPr>
          <w:rFonts w:hint="eastAsia" w:ascii="方正仿宋_GBK" w:eastAsia="方正仿宋_GBK"/>
          <w:bCs/>
          <w:szCs w:val="32"/>
        </w:rPr>
        <w:t>）要求作出明确诊断，并根据《结核病分类》（</w:t>
      </w:r>
      <w:r>
        <w:rPr>
          <w:rFonts w:eastAsia="方正仿宋_GBK"/>
          <w:bCs/>
          <w:szCs w:val="32"/>
        </w:rPr>
        <w:t>WS196-2017</w:t>
      </w:r>
      <w:r>
        <w:rPr>
          <w:rFonts w:hint="eastAsia" w:ascii="方正仿宋_GBK" w:eastAsia="方正仿宋_GBK"/>
          <w:bCs/>
          <w:szCs w:val="32"/>
        </w:rPr>
        <w:t>）进行分类。确诊的学校肺结核患者应</w:t>
      </w:r>
      <w:r>
        <w:rPr>
          <w:rFonts w:hint="eastAsia" w:ascii="方正仿宋_GBK" w:eastAsia="方正仿宋_GBK"/>
        </w:rPr>
        <w:t>当</w:t>
      </w:r>
      <w:r>
        <w:rPr>
          <w:rFonts w:hint="eastAsia" w:ascii="方正仿宋_GBK" w:eastAsia="方正仿宋_GBK"/>
          <w:bCs/>
          <w:szCs w:val="32"/>
        </w:rPr>
        <w:t>及时在结核病患者登记本和结核病管理信息系统中进行登记。</w:t>
      </w:r>
    </w:p>
    <w:p w14:paraId="555D5E12">
      <w:pPr>
        <w:spacing w:line="560" w:lineRule="exact"/>
        <w:ind w:firstLine="640" w:firstLineChars="200"/>
        <w:rPr>
          <w:rFonts w:ascii="方正仿宋_GBK" w:eastAsia="方正仿宋_GBK"/>
          <w:bCs/>
          <w:szCs w:val="32"/>
        </w:rPr>
      </w:pPr>
      <w:r>
        <w:rPr>
          <w:rFonts w:eastAsia="方正仿宋_GBK"/>
          <w:bCs/>
          <w:szCs w:val="32"/>
        </w:rPr>
        <w:t>3</w:t>
      </w:r>
      <w:r>
        <w:rPr>
          <w:rFonts w:hint="eastAsia" w:ascii="方正仿宋_GBK" w:eastAsia="方正仿宋_GBK"/>
          <w:bCs/>
          <w:szCs w:val="32"/>
        </w:rPr>
        <w:t>.同一学校同一学期发现</w:t>
      </w:r>
      <w:r>
        <w:rPr>
          <w:rFonts w:eastAsia="方正仿宋_GBK"/>
          <w:bCs/>
          <w:szCs w:val="32"/>
        </w:rPr>
        <w:t>2</w:t>
      </w:r>
      <w:r>
        <w:rPr>
          <w:rFonts w:hint="eastAsia" w:ascii="方正仿宋_GBK" w:eastAsia="方正仿宋_GBK"/>
          <w:bCs/>
          <w:szCs w:val="32"/>
        </w:rPr>
        <w:t>例及以下患者，区县级疾病预防控制机构应当及时向患者所在学校反馈；发现</w:t>
      </w:r>
      <w:r>
        <w:rPr>
          <w:rFonts w:eastAsia="方正仿宋_GBK"/>
          <w:bCs/>
          <w:szCs w:val="32"/>
        </w:rPr>
        <w:t>3</w:t>
      </w:r>
      <w:r>
        <w:rPr>
          <w:rFonts w:hint="eastAsia" w:ascii="方正仿宋_GBK" w:eastAsia="方正仿宋_GBK"/>
          <w:bCs/>
          <w:szCs w:val="32"/>
        </w:rPr>
        <w:t>例及以上有流行病学关联的患者时，应当向同级疾控主管部门、市级疾病预防控制机构（市结防所）和学校报告、反馈，同级疾控主管部门还需向市级疾控主管部门报告，学校向所属教育行政部门报告。学校所在地</w:t>
      </w:r>
      <w:r>
        <w:rPr>
          <w:rFonts w:hint="eastAsia" w:ascii="方正仿宋_GBK" w:eastAsia="方正仿宋_GBK"/>
          <w:szCs w:val="28"/>
        </w:rPr>
        <w:t>疾病预防控制机构</w:t>
      </w:r>
      <w:r>
        <w:rPr>
          <w:rFonts w:hint="eastAsia" w:ascii="方正仿宋_GBK" w:eastAsia="方正仿宋_GBK"/>
          <w:bCs/>
          <w:szCs w:val="32"/>
        </w:rPr>
        <w:t>对发现的每个学校病例，要在</w:t>
      </w:r>
      <w:r>
        <w:rPr>
          <w:rFonts w:eastAsia="方正仿宋_GBK"/>
          <w:bCs/>
          <w:szCs w:val="32"/>
        </w:rPr>
        <w:t>2</w:t>
      </w:r>
      <w:r>
        <w:rPr>
          <w:rFonts w:hint="eastAsia" w:ascii="方正仿宋_GBK" w:eastAsia="方正仿宋_GBK"/>
          <w:bCs/>
          <w:szCs w:val="32"/>
        </w:rPr>
        <w:t>个工作日内完成流行病学调查，在调查完成后</w:t>
      </w:r>
      <w:r>
        <w:rPr>
          <w:rFonts w:eastAsia="方正仿宋_GBK"/>
          <w:bCs/>
          <w:szCs w:val="32"/>
        </w:rPr>
        <w:t>5</w:t>
      </w:r>
      <w:r>
        <w:rPr>
          <w:rFonts w:hint="eastAsia" w:ascii="方正仿宋_GBK" w:eastAsia="方正仿宋_GBK"/>
          <w:bCs/>
          <w:szCs w:val="32"/>
        </w:rPr>
        <w:t>个工作日内录入重庆市学校结核病信息管理系统。</w:t>
      </w:r>
    </w:p>
    <w:p w14:paraId="72586F41">
      <w:pPr>
        <w:spacing w:line="560" w:lineRule="exact"/>
        <w:ind w:firstLine="640" w:firstLineChars="200"/>
        <w:rPr>
          <w:rFonts w:ascii="方正仿宋_GBK" w:eastAsia="方正仿宋_GBK"/>
          <w:bCs/>
          <w:szCs w:val="32"/>
        </w:rPr>
      </w:pPr>
      <w:r>
        <w:rPr>
          <w:rFonts w:eastAsia="方正仿宋_GBK"/>
          <w:bCs/>
          <w:szCs w:val="32"/>
        </w:rPr>
        <w:t>4</w:t>
      </w:r>
      <w:r>
        <w:rPr>
          <w:rFonts w:hint="eastAsia" w:ascii="方正仿宋_GBK" w:eastAsia="方正仿宋_GBK"/>
          <w:bCs/>
          <w:szCs w:val="32"/>
        </w:rPr>
        <w:t>.各区县（自治县）</w:t>
      </w:r>
      <w:r>
        <w:rPr>
          <w:rFonts w:hint="eastAsia" w:ascii="方正仿宋_GBK" w:eastAsia="方正仿宋_GBK"/>
          <w:szCs w:val="28"/>
        </w:rPr>
        <w:t>疾病预防控制机构如</w:t>
      </w:r>
      <w:r>
        <w:rPr>
          <w:rFonts w:hint="eastAsia" w:ascii="方正仿宋_GBK" w:eastAsia="方正仿宋_GBK"/>
          <w:bCs/>
          <w:szCs w:val="32"/>
        </w:rPr>
        <w:t>监测到就读重庆市外学校的学生病例信息，在</w:t>
      </w:r>
      <w:r>
        <w:rPr>
          <w:rFonts w:eastAsia="方正仿宋_GBK"/>
          <w:bCs/>
          <w:szCs w:val="32"/>
        </w:rPr>
        <w:t>2</w:t>
      </w:r>
      <w:r>
        <w:rPr>
          <w:rFonts w:hint="eastAsia" w:ascii="方正仿宋_GBK" w:eastAsia="方正仿宋_GBK"/>
          <w:bCs/>
          <w:szCs w:val="32"/>
        </w:rPr>
        <w:t>个工作日内向市结防所报告，在市结防所的协调下，与学校所在地疾病预防控制机构联系报送《跨区域学生肺结核患者/疑似病例告知单》。各区县（自治县）疾病预防控制机构如监测到就读重庆市内非本辖区学校的学生病例信息，应在</w:t>
      </w:r>
      <w:r>
        <w:rPr>
          <w:rFonts w:eastAsia="方正仿宋_GBK"/>
          <w:bCs/>
          <w:szCs w:val="32"/>
        </w:rPr>
        <w:t>2</w:t>
      </w:r>
      <w:r>
        <w:rPr>
          <w:rFonts w:hint="eastAsia" w:ascii="方正仿宋_GBK" w:eastAsia="方正仿宋_GBK"/>
          <w:bCs/>
          <w:szCs w:val="32"/>
        </w:rPr>
        <w:t>个工作日内通过重庆市学校结核病信息管理系统进行跨区域推送。</w:t>
      </w:r>
    </w:p>
    <w:p w14:paraId="46022A49">
      <w:pPr>
        <w:spacing w:line="560" w:lineRule="exact"/>
        <w:ind w:firstLine="640" w:firstLineChars="200"/>
        <w:rPr>
          <w:rFonts w:eastAsia="方正仿宋_GBK"/>
          <w:bCs/>
          <w:szCs w:val="32"/>
        </w:rPr>
      </w:pPr>
      <w:r>
        <w:rPr>
          <w:rFonts w:eastAsia="方正楷体_GBK"/>
          <w:bCs/>
          <w:szCs w:val="32"/>
        </w:rPr>
        <w:t>（二）接触者筛查</w:t>
      </w:r>
    </w:p>
    <w:p w14:paraId="478F972D">
      <w:pPr>
        <w:spacing w:line="560" w:lineRule="exact"/>
        <w:ind w:firstLine="640" w:firstLineChars="200"/>
        <w:rPr>
          <w:rFonts w:ascii="方正仿宋_GBK" w:eastAsia="方正仿宋_GBK"/>
          <w:bCs/>
          <w:szCs w:val="32"/>
        </w:rPr>
      </w:pPr>
      <w:r>
        <w:rPr>
          <w:rFonts w:eastAsia="方正仿宋_GBK"/>
          <w:bCs/>
          <w:szCs w:val="32"/>
        </w:rPr>
        <w:t>1</w:t>
      </w:r>
      <w:r>
        <w:rPr>
          <w:rFonts w:hint="eastAsia" w:ascii="方正仿宋_GBK" w:eastAsia="方正仿宋_GBK"/>
          <w:bCs/>
          <w:szCs w:val="32"/>
        </w:rPr>
        <w:t>.一旦发现活动性肺结核患者，疾病预防控制机构应当及时组织开展病例所在学校师生密切接触者的筛查工作，筛查应在指示病例个案调查后的</w:t>
      </w:r>
      <w:r>
        <w:rPr>
          <w:rFonts w:eastAsia="方正仿宋_GBK"/>
          <w:bCs/>
          <w:szCs w:val="32"/>
        </w:rPr>
        <w:t>10</w:t>
      </w:r>
      <w:r>
        <w:rPr>
          <w:rFonts w:hint="eastAsia" w:ascii="方正仿宋_GBK" w:eastAsia="方正仿宋_GBK"/>
          <w:bCs/>
          <w:szCs w:val="32"/>
        </w:rPr>
        <w:t>个工作日内完成。指示病例发现日期在寒暑假时，筛查也应立即启动，对不在校的师生，可通知其到就近的结核病定点医疗机构开展筛查，筛查工作最晚于开学后</w:t>
      </w:r>
      <w:r>
        <w:rPr>
          <w:rFonts w:eastAsia="方正仿宋_GBK"/>
          <w:bCs/>
          <w:szCs w:val="32"/>
        </w:rPr>
        <w:t>10</w:t>
      </w:r>
      <w:r>
        <w:rPr>
          <w:rFonts w:hint="eastAsia" w:ascii="方正仿宋_GBK" w:eastAsia="方正仿宋_GBK"/>
          <w:bCs/>
          <w:szCs w:val="32"/>
        </w:rPr>
        <w:t>个工作日内全部完成。（接触者筛查及处理方案见附件</w:t>
      </w:r>
      <w:r>
        <w:rPr>
          <w:rFonts w:eastAsia="方正仿宋_GBK"/>
          <w:bCs/>
          <w:szCs w:val="32"/>
        </w:rPr>
        <w:t>3</w:t>
      </w:r>
      <w:r>
        <w:rPr>
          <w:rFonts w:hint="eastAsia" w:ascii="方正仿宋_GBK" w:eastAsia="方正仿宋_GBK"/>
          <w:bCs/>
          <w:szCs w:val="32"/>
        </w:rPr>
        <w:t>）。</w:t>
      </w:r>
    </w:p>
    <w:p w14:paraId="1A337A3C">
      <w:pPr>
        <w:spacing w:line="560" w:lineRule="exact"/>
        <w:ind w:firstLine="640" w:firstLineChars="200"/>
        <w:rPr>
          <w:rFonts w:ascii="方正仿宋_GBK" w:eastAsia="方正仿宋_GBK"/>
          <w:bCs/>
          <w:szCs w:val="32"/>
        </w:rPr>
      </w:pPr>
      <w:r>
        <w:rPr>
          <w:rFonts w:eastAsia="方正仿宋_GBK"/>
          <w:bCs/>
          <w:szCs w:val="32"/>
        </w:rPr>
        <w:t>2</w:t>
      </w:r>
      <w:r>
        <w:rPr>
          <w:rFonts w:hint="eastAsia" w:ascii="方正仿宋_GBK" w:eastAsia="方正仿宋_GBK"/>
          <w:bCs/>
          <w:szCs w:val="32"/>
        </w:rPr>
        <w:t>.学校应当积极配合筛查工作，要密切关注与确诊病例同班级、同宿舍学生及授课教师的健康状况，强化宣传教育，要求学生进行自我观察，一旦出现咳嗽、咳痰等肺结核可疑症状，应当及时就诊。</w:t>
      </w:r>
    </w:p>
    <w:p w14:paraId="606F461B">
      <w:pPr>
        <w:spacing w:line="560" w:lineRule="exact"/>
        <w:ind w:firstLine="640" w:firstLineChars="200"/>
        <w:rPr>
          <w:rFonts w:ascii="方正仿宋_GBK" w:eastAsia="方正仿宋_GBK"/>
          <w:bCs/>
          <w:szCs w:val="32"/>
        </w:rPr>
      </w:pPr>
      <w:r>
        <w:rPr>
          <w:rFonts w:eastAsia="方正仿宋_GBK"/>
          <w:bCs/>
          <w:szCs w:val="32"/>
        </w:rPr>
        <w:t>3</w:t>
      </w:r>
      <w:r>
        <w:rPr>
          <w:rFonts w:hint="eastAsia" w:ascii="方正仿宋_GBK" w:eastAsia="方正仿宋_GBK"/>
          <w:bCs/>
          <w:szCs w:val="32"/>
        </w:rPr>
        <w:t>.学校和医疗卫生机构要劝导和动员符合条件的人员开展预防性治疗。依托结核病定点医疗机构、疾病预防控制机构和有条件的基层医疗卫生机构开展预防性治疗。</w:t>
      </w:r>
    </w:p>
    <w:p w14:paraId="2EB6214B">
      <w:pPr>
        <w:spacing w:line="560" w:lineRule="exact"/>
        <w:ind w:firstLine="640" w:firstLineChars="200"/>
        <w:rPr>
          <w:rFonts w:eastAsia="方正楷体_GBK"/>
          <w:bCs/>
          <w:szCs w:val="32"/>
        </w:rPr>
      </w:pPr>
      <w:r>
        <w:rPr>
          <w:rFonts w:eastAsia="方正楷体_GBK"/>
          <w:bCs/>
          <w:szCs w:val="32"/>
        </w:rPr>
        <w:t>（三）治疗管理</w:t>
      </w:r>
    </w:p>
    <w:p w14:paraId="4CBA52B5">
      <w:pPr>
        <w:spacing w:line="560" w:lineRule="exact"/>
        <w:ind w:firstLine="640" w:firstLineChars="200"/>
        <w:rPr>
          <w:rFonts w:ascii="方正仿宋_GBK" w:eastAsia="方正仿宋_GBK"/>
          <w:bCs/>
          <w:szCs w:val="32"/>
        </w:rPr>
      </w:pPr>
      <w:r>
        <w:rPr>
          <w:rFonts w:eastAsia="方正仿宋_GBK"/>
          <w:bCs/>
          <w:szCs w:val="32"/>
        </w:rPr>
        <w:t>1</w:t>
      </w:r>
      <w:r>
        <w:rPr>
          <w:rFonts w:hint="eastAsia" w:ascii="方正仿宋_GBK" w:eastAsia="方正仿宋_GBK"/>
          <w:bCs/>
          <w:szCs w:val="32"/>
        </w:rPr>
        <w:t>.结核病定点医疗机构对确诊病例提供规范抗结核病治疗。对休学在家的病例，居住地的疾病预防控制机构应当组织落实治疗期间的规范管理；对在校治疗的病例，学校所在地的疾病预防控制机构应当与学校共同组织落实治疗期间的规范管理，校医或班主任应当协助医疗卫生机构督促患者按时服药并定期复查。</w:t>
      </w:r>
    </w:p>
    <w:p w14:paraId="0697A9FB">
      <w:pPr>
        <w:spacing w:line="560" w:lineRule="exact"/>
        <w:ind w:firstLine="640" w:firstLineChars="200"/>
        <w:rPr>
          <w:rFonts w:ascii="方正仿宋_GBK" w:eastAsia="方正仿宋_GBK"/>
          <w:bCs/>
          <w:szCs w:val="32"/>
        </w:rPr>
      </w:pPr>
      <w:r>
        <w:rPr>
          <w:rFonts w:eastAsia="方正仿宋_GBK"/>
          <w:bCs/>
          <w:szCs w:val="32"/>
        </w:rPr>
        <w:t>2</w:t>
      </w:r>
      <w:r>
        <w:rPr>
          <w:rFonts w:hint="eastAsia" w:ascii="方正仿宋_GBK" w:eastAsia="方正仿宋_GBK"/>
          <w:bCs/>
          <w:szCs w:val="32"/>
        </w:rPr>
        <w:t>.疾病预防控制机构要指导学校做好疑似病例的隔离工作。疑似病例确诊后，学校应当及时登记，掌握后续治疗和转归情况，对不需要休学的学生，应当安排好其在校期间的生活及学习。</w:t>
      </w:r>
    </w:p>
    <w:p w14:paraId="23658746">
      <w:pPr>
        <w:spacing w:line="560" w:lineRule="exact"/>
        <w:ind w:firstLine="640" w:firstLineChars="200"/>
        <w:rPr>
          <w:rFonts w:eastAsia="方正楷体_GBK"/>
          <w:bCs/>
          <w:szCs w:val="32"/>
        </w:rPr>
      </w:pPr>
      <w:r>
        <w:rPr>
          <w:rFonts w:eastAsia="方正楷体_GBK"/>
          <w:bCs/>
          <w:szCs w:val="32"/>
        </w:rPr>
        <w:t>（四）休复学管理</w:t>
      </w:r>
    </w:p>
    <w:p w14:paraId="07B43FD6">
      <w:pPr>
        <w:spacing w:line="560" w:lineRule="exact"/>
        <w:ind w:firstLine="640" w:firstLineChars="200"/>
        <w:rPr>
          <w:rFonts w:ascii="方正仿宋_GBK" w:eastAsia="方正仿宋_GBK"/>
          <w:bCs/>
          <w:szCs w:val="32"/>
        </w:rPr>
      </w:pPr>
      <w:r>
        <w:rPr>
          <w:rFonts w:eastAsia="方正仿宋_GBK"/>
          <w:bCs/>
          <w:szCs w:val="32"/>
        </w:rPr>
        <w:t>1</w:t>
      </w:r>
      <w:r>
        <w:rPr>
          <w:rFonts w:hint="eastAsia" w:ascii="方正仿宋_GBK" w:eastAsia="方正仿宋_GBK"/>
          <w:bCs/>
          <w:szCs w:val="32"/>
        </w:rPr>
        <w:t>.休学管理。原则上活动性肺结核患者均应休学。休学诊断证明</w:t>
      </w:r>
      <w:r>
        <w:rPr>
          <w:rFonts w:ascii="方正仿宋_GBK" w:eastAsia="方正仿宋_GBK"/>
          <w:bCs/>
          <w:szCs w:val="32"/>
        </w:rPr>
        <w:t>由</w:t>
      </w:r>
      <w:r>
        <w:rPr>
          <w:rFonts w:hint="eastAsia" w:ascii="方正仿宋_GBK" w:eastAsia="方正仿宋_GBK"/>
          <w:bCs/>
          <w:szCs w:val="32"/>
        </w:rPr>
        <w:t>结核病定点医疗机构或其他医疗机构的医生开具（休学诊断证明见附件</w:t>
      </w:r>
      <w:r>
        <w:rPr>
          <w:rFonts w:eastAsia="方正仿宋_GBK"/>
          <w:bCs/>
          <w:szCs w:val="32"/>
        </w:rPr>
        <w:t>4</w:t>
      </w:r>
      <w:r>
        <w:rPr>
          <w:rFonts w:hint="eastAsia" w:ascii="方正仿宋_GBK" w:eastAsia="方正仿宋_GBK"/>
          <w:bCs/>
          <w:szCs w:val="32"/>
        </w:rPr>
        <w:t>），</w:t>
      </w:r>
      <w:r>
        <w:rPr>
          <w:rFonts w:ascii="方正仿宋_GBK" w:eastAsia="方正仿宋_GBK"/>
          <w:bCs/>
          <w:szCs w:val="32"/>
        </w:rPr>
        <w:t>开具休学诊断证明时，医生应详细填写患者基本信息，写明休学依据。诊断证明一式三份，患病学生和结核病定点医疗机构各执一份，另一份由定点医疗机构直接或通过疾病预防控制机构送达学校。</w:t>
      </w:r>
      <w:r>
        <w:rPr>
          <w:rFonts w:hint="eastAsia" w:ascii="方正仿宋_GBK" w:eastAsia="方正仿宋_GBK"/>
          <w:bCs/>
          <w:szCs w:val="32"/>
        </w:rPr>
        <w:t>根据休学诊断证明，学校对患肺结核的学生采取休学管理。</w:t>
      </w:r>
    </w:p>
    <w:p w14:paraId="5F4D6CB2">
      <w:pPr>
        <w:spacing w:line="560" w:lineRule="exact"/>
        <w:ind w:firstLine="640" w:firstLineChars="200"/>
        <w:rPr>
          <w:rFonts w:ascii="方正仿宋_GBK" w:eastAsia="方正仿宋_GBK"/>
          <w:bCs/>
          <w:szCs w:val="32"/>
        </w:rPr>
      </w:pPr>
      <w:r>
        <w:rPr>
          <w:rFonts w:eastAsia="方正仿宋_GBK"/>
          <w:bCs/>
          <w:szCs w:val="32"/>
        </w:rPr>
        <w:t>2</w:t>
      </w:r>
      <w:r>
        <w:rPr>
          <w:rFonts w:hint="eastAsia" w:ascii="方正仿宋_GBK" w:eastAsia="方正仿宋_GBK"/>
          <w:bCs/>
          <w:szCs w:val="32"/>
        </w:rPr>
        <w:t>.复学管理。</w:t>
      </w:r>
    </w:p>
    <w:p w14:paraId="1BD912E5">
      <w:pPr>
        <w:spacing w:line="560" w:lineRule="exact"/>
        <w:ind w:firstLine="640" w:firstLineChars="200"/>
        <w:rPr>
          <w:rFonts w:ascii="方正仿宋_GBK" w:eastAsia="方正仿宋_GBK"/>
          <w:bCs/>
          <w:szCs w:val="32"/>
        </w:rPr>
      </w:pPr>
      <w:r>
        <w:rPr>
          <w:rFonts w:hint="eastAsia" w:ascii="方正仿宋_GBK" w:eastAsia="方正仿宋_GBK"/>
          <w:bCs/>
          <w:szCs w:val="32"/>
        </w:rPr>
        <w:t>（</w:t>
      </w:r>
      <w:r>
        <w:rPr>
          <w:rFonts w:eastAsia="方正仿宋_GBK"/>
          <w:bCs/>
          <w:szCs w:val="32"/>
        </w:rPr>
        <w:t>1</w:t>
      </w:r>
      <w:r>
        <w:rPr>
          <w:rFonts w:hint="eastAsia" w:ascii="方正仿宋_GBK" w:eastAsia="方正仿宋_GBK"/>
          <w:bCs/>
          <w:szCs w:val="32"/>
        </w:rPr>
        <w:t>）普通肺结核复学管理。患者经过规范治疗，病情好转,达到下列复学标准的，由学校校区所在地结核病定点医疗机构的医生核实患者治疗情况后，开具复学诊断证明（复学诊断证明见附件</w:t>
      </w:r>
      <w:r>
        <w:rPr>
          <w:rFonts w:eastAsia="方正仿宋_GBK"/>
          <w:bCs/>
          <w:szCs w:val="32"/>
        </w:rPr>
        <w:t>5</w:t>
      </w:r>
      <w:r>
        <w:rPr>
          <w:rFonts w:hint="eastAsia" w:ascii="方正仿宋_GBK" w:eastAsia="方正仿宋_GBK"/>
          <w:bCs/>
          <w:szCs w:val="32"/>
        </w:rPr>
        <w:t>），建议复学，并注明后续治疗管理措施和要求。学校凭复学诊断证明为学生办理复学手续并督促学生落实后续治疗管理措施。</w:t>
      </w:r>
    </w:p>
    <w:p w14:paraId="0012A96E">
      <w:pPr>
        <w:spacing w:line="560" w:lineRule="exact"/>
        <w:ind w:firstLine="640" w:firstLineChars="200"/>
        <w:rPr>
          <w:rFonts w:ascii="方正仿宋_GBK" w:eastAsia="方正仿宋_GBK"/>
          <w:bCs/>
          <w:szCs w:val="32"/>
        </w:rPr>
      </w:pPr>
      <w:r>
        <w:rPr>
          <w:rFonts w:hint="eastAsia" w:ascii="方正仿宋_GBK" w:hAnsi="Cambria Math" w:eastAsia="方正仿宋_GBK" w:cs="Cambria Math"/>
        </w:rPr>
        <w:t>①</w:t>
      </w:r>
      <w:r>
        <w:rPr>
          <w:rFonts w:hint="eastAsia" w:ascii="方正仿宋_GBK" w:eastAsia="方正仿宋_GBK"/>
          <w:bCs/>
          <w:szCs w:val="32"/>
        </w:rPr>
        <w:t>病原学阳性肺结核患者以及重症菌阴肺结核患者（包括有空洞/大片干酪状坏死病灶/粟粒性肺结核等）经过规范治疗完成全疗程，初治、复治患者分别达到其治愈或治疗成功的标准。</w:t>
      </w:r>
    </w:p>
    <w:p w14:paraId="534627F4">
      <w:pPr>
        <w:spacing w:line="560" w:lineRule="exact"/>
        <w:ind w:firstLine="640" w:firstLineChars="200"/>
        <w:rPr>
          <w:rFonts w:ascii="方正仿宋_GBK" w:eastAsia="方正仿宋_GBK"/>
          <w:bCs/>
          <w:szCs w:val="32"/>
        </w:rPr>
      </w:pPr>
      <w:r>
        <w:rPr>
          <w:rFonts w:hint="eastAsia" w:ascii="方正仿宋_GBK" w:hAnsi="Cambria Math" w:eastAsia="方正仿宋_GBK" w:cs="Cambria Math"/>
          <w:bCs/>
          <w:szCs w:val="32"/>
        </w:rPr>
        <w:t>②</w:t>
      </w:r>
      <w:r>
        <w:rPr>
          <w:rFonts w:hint="eastAsia" w:ascii="方正仿宋_GBK" w:eastAsia="方正仿宋_GBK"/>
          <w:bCs/>
          <w:szCs w:val="32"/>
        </w:rPr>
        <w:t>其他病原学阴性肺结核患者经过</w:t>
      </w:r>
      <w:r>
        <w:rPr>
          <w:rFonts w:eastAsia="方正仿宋_GBK"/>
          <w:bCs/>
          <w:szCs w:val="32"/>
        </w:rPr>
        <w:t>2</w:t>
      </w:r>
      <w:r>
        <w:rPr>
          <w:rFonts w:hint="eastAsia" w:ascii="方正仿宋_GBK" w:eastAsia="方正仿宋_GBK"/>
          <w:bCs/>
          <w:szCs w:val="32"/>
        </w:rPr>
        <w:t>个月的规范治疗后，症状减轻或消失，胸部X光片病灶明显吸收；自治疗</w:t>
      </w:r>
      <w:r>
        <w:rPr>
          <w:rFonts w:eastAsia="方正仿宋_GBK"/>
          <w:bCs/>
          <w:szCs w:val="32"/>
        </w:rPr>
        <w:t>3</w:t>
      </w:r>
      <w:r>
        <w:rPr>
          <w:rFonts w:hint="eastAsia" w:ascii="方正仿宋_GBK" w:eastAsia="方正仿宋_GBK"/>
          <w:bCs/>
          <w:szCs w:val="32"/>
        </w:rPr>
        <w:t>月末起，至少两次涂片检查均阴性且至少一次结核分枝杆菌培养检查为阴性（每次检查的间隔时间至少满</w:t>
      </w:r>
      <w:r>
        <w:rPr>
          <w:rFonts w:eastAsia="方正仿宋_GBK"/>
          <w:bCs/>
          <w:szCs w:val="32"/>
        </w:rPr>
        <w:t>1</w:t>
      </w:r>
      <w:r>
        <w:rPr>
          <w:rFonts w:hint="eastAsia" w:ascii="方正仿宋_GBK" w:eastAsia="方正仿宋_GBK"/>
          <w:bCs/>
          <w:szCs w:val="32"/>
        </w:rPr>
        <w:t>个月)。如遇特殊情况的患者，需由当地结核病诊断专家组综合判定。</w:t>
      </w:r>
    </w:p>
    <w:p w14:paraId="4247DE6E">
      <w:pPr>
        <w:spacing w:line="560" w:lineRule="exact"/>
        <w:ind w:firstLine="640" w:firstLineChars="200"/>
        <w:rPr>
          <w:rFonts w:ascii="方正仿宋_GBK" w:eastAsia="方正仿宋_GBK"/>
          <w:bCs/>
          <w:szCs w:val="32"/>
        </w:rPr>
      </w:pPr>
      <w:r>
        <w:rPr>
          <w:rFonts w:hint="eastAsia" w:ascii="方正仿宋_GBK" w:eastAsia="方正仿宋_GBK"/>
          <w:bCs/>
          <w:szCs w:val="32"/>
        </w:rPr>
        <w:t>（</w:t>
      </w:r>
      <w:r>
        <w:rPr>
          <w:rFonts w:eastAsia="方正仿宋_GBK"/>
          <w:bCs/>
          <w:szCs w:val="32"/>
        </w:rPr>
        <w:t>2</w:t>
      </w:r>
      <w:r>
        <w:rPr>
          <w:rFonts w:hint="eastAsia" w:ascii="方正仿宋_GBK" w:eastAsia="方正仿宋_GBK"/>
          <w:bCs/>
          <w:szCs w:val="32"/>
        </w:rPr>
        <w:t>）耐利福平、耐多药/广泛耐药肺结核患者复学管理。耐多药患者和利福平耐药患者经过规范治疗，达到治愈或治疗成功标准后，方可复学。耐多药肺结核患者复学证明由患者治疗的耐药定点医疗机构开具，学校校区所在疾病预防控制机构审核备案。</w:t>
      </w:r>
    </w:p>
    <w:p w14:paraId="19BE1E50">
      <w:pPr>
        <w:spacing w:line="560" w:lineRule="exact"/>
        <w:ind w:firstLine="640" w:firstLineChars="200"/>
        <w:rPr>
          <w:rFonts w:ascii="方正仿宋_GBK" w:eastAsia="方正仿宋_GBK"/>
          <w:bCs/>
          <w:szCs w:val="32"/>
        </w:rPr>
      </w:pPr>
      <w:r>
        <w:rPr>
          <w:rFonts w:eastAsia="方正仿宋_GBK"/>
          <w:bCs/>
          <w:szCs w:val="32"/>
        </w:rPr>
        <w:t>3</w:t>
      </w:r>
      <w:r>
        <w:rPr>
          <w:rFonts w:hint="eastAsia" w:ascii="方正仿宋_GBK" w:eastAsia="方正仿宋_GBK"/>
          <w:bCs/>
          <w:szCs w:val="32"/>
        </w:rPr>
        <w:t>.教职员工肺结核患者的休、复课管理，可参照学生休、复学管理要求执行。</w:t>
      </w:r>
    </w:p>
    <w:p w14:paraId="6EA2C7C8">
      <w:pPr>
        <w:spacing w:line="560" w:lineRule="exact"/>
        <w:ind w:firstLine="640" w:firstLineChars="200"/>
        <w:rPr>
          <w:rFonts w:eastAsia="方正黑体_GBK"/>
          <w:bCs/>
          <w:szCs w:val="32"/>
        </w:rPr>
      </w:pPr>
      <w:r>
        <w:rPr>
          <w:rFonts w:eastAsia="方正黑体_GBK"/>
          <w:bCs/>
          <w:szCs w:val="32"/>
        </w:rPr>
        <w:t>三、学校结核病突发公共卫生事件的应急处置</w:t>
      </w:r>
    </w:p>
    <w:p w14:paraId="037CB534">
      <w:pPr>
        <w:spacing w:line="560" w:lineRule="exact"/>
        <w:ind w:firstLine="640" w:firstLineChars="200"/>
        <w:rPr>
          <w:rFonts w:ascii="方正仿宋_GBK" w:eastAsia="方正仿宋_GBK"/>
          <w:bCs/>
          <w:szCs w:val="32"/>
        </w:rPr>
      </w:pPr>
      <w:r>
        <w:rPr>
          <w:rFonts w:hint="eastAsia" w:ascii="方正仿宋_GBK" w:eastAsia="方正仿宋_GBK"/>
          <w:bCs/>
          <w:szCs w:val="32"/>
        </w:rPr>
        <w:t>一所学校在同一学期内发生</w:t>
      </w:r>
      <w:r>
        <w:rPr>
          <w:rFonts w:eastAsia="方正仿宋_GBK"/>
          <w:bCs/>
          <w:szCs w:val="32"/>
        </w:rPr>
        <w:t>10</w:t>
      </w:r>
      <w:r>
        <w:rPr>
          <w:rFonts w:hint="eastAsia" w:ascii="方正仿宋_GBK" w:eastAsia="方正仿宋_GBK"/>
          <w:bCs/>
          <w:szCs w:val="32"/>
        </w:rPr>
        <w:t>例及以上有流行病学关联的结核病病例，或出现结核病死亡病例时，学校所在地的区县级疾控主管部门应当根据现场调查和公共卫生风险评估结果，判断是否构成突发公共卫生事件。区县级以上疾控主管部门也可根据防控工作实际，按照规定工作程序直接确定事件。学校结核病突发公共卫生事件应当在政府的领导下，严格按照《突发公共卫生事件应急条例》及相关预案的要求，积极开展应急处置工作，落实各项应急响应措施，最大限度地减轻疫情的危害和影响。</w:t>
      </w:r>
    </w:p>
    <w:p w14:paraId="48768F62">
      <w:pPr>
        <w:numPr>
          <w:ilvl w:val="0"/>
          <w:numId w:val="2"/>
        </w:numPr>
        <w:spacing w:line="560" w:lineRule="exact"/>
        <w:ind w:firstLine="640" w:firstLineChars="200"/>
        <w:rPr>
          <w:rFonts w:eastAsia="方正楷体_GBK"/>
          <w:bCs/>
          <w:szCs w:val="32"/>
        </w:rPr>
      </w:pPr>
      <w:r>
        <w:rPr>
          <w:rFonts w:eastAsia="方正楷体_GBK"/>
          <w:bCs/>
          <w:szCs w:val="32"/>
        </w:rPr>
        <w:t>事件核实与上报</w:t>
      </w:r>
    </w:p>
    <w:p w14:paraId="735F0D9D">
      <w:pPr>
        <w:spacing w:line="560" w:lineRule="exact"/>
        <w:ind w:firstLine="640" w:firstLineChars="200"/>
        <w:rPr>
          <w:rFonts w:ascii="方正仿宋_GBK" w:eastAsia="方正仿宋_GBK"/>
          <w:bCs/>
          <w:szCs w:val="32"/>
        </w:rPr>
      </w:pPr>
      <w:r>
        <w:rPr>
          <w:rFonts w:hint="eastAsia" w:ascii="方正仿宋_GBK" w:eastAsia="方正仿宋_GBK"/>
          <w:bCs/>
          <w:szCs w:val="32"/>
        </w:rPr>
        <w:t>疾控主管部门会同教育</w:t>
      </w:r>
      <w:bookmarkStart w:id="1" w:name="OLE_LINK3"/>
      <w:r>
        <w:rPr>
          <w:rFonts w:hint="eastAsia" w:ascii="方正仿宋_GBK" w:eastAsia="方正仿宋_GBK"/>
          <w:bCs/>
          <w:szCs w:val="32"/>
        </w:rPr>
        <w:t>行政部门</w:t>
      </w:r>
      <w:bookmarkEnd w:id="1"/>
      <w:r>
        <w:rPr>
          <w:rFonts w:hint="eastAsia" w:ascii="方正仿宋_GBK" w:eastAsia="方正仿宋_GBK"/>
          <w:bCs/>
          <w:szCs w:val="32"/>
        </w:rPr>
        <w:t>及时对学校结核病突发公共卫生事件进行调查与核实，并组织专家进行风险评估。如确认发生突发公共卫生事件，应当按照《国家突发公共卫生事件应急预案》等规定，确定事件级别。疾控主管部门应当在事件确认后</w:t>
      </w:r>
      <w:r>
        <w:rPr>
          <w:rFonts w:eastAsia="方正仿宋_GBK"/>
          <w:bCs/>
          <w:szCs w:val="32"/>
        </w:rPr>
        <w:t>2</w:t>
      </w:r>
      <w:r>
        <w:rPr>
          <w:rFonts w:hint="eastAsia" w:ascii="方正仿宋_GBK" w:eastAsia="方正仿宋_GBK"/>
          <w:bCs/>
          <w:szCs w:val="32"/>
        </w:rPr>
        <w:t>小时内向上级疾控主管部门和同级政府报告，并告知同级教育行政部门。</w:t>
      </w:r>
    </w:p>
    <w:p w14:paraId="1F44171F">
      <w:pPr>
        <w:numPr>
          <w:ilvl w:val="0"/>
          <w:numId w:val="2"/>
        </w:numPr>
        <w:spacing w:line="560" w:lineRule="exact"/>
        <w:ind w:firstLine="640" w:firstLineChars="200"/>
        <w:rPr>
          <w:rFonts w:eastAsia="方正楷体_GBK"/>
          <w:bCs/>
          <w:szCs w:val="32"/>
        </w:rPr>
      </w:pPr>
      <w:r>
        <w:rPr>
          <w:rFonts w:eastAsia="方正楷体_GBK"/>
          <w:bCs/>
          <w:szCs w:val="32"/>
        </w:rPr>
        <w:t>现场流行病学调查和密切接触者筛查</w:t>
      </w:r>
    </w:p>
    <w:p w14:paraId="75E3EEB4">
      <w:pPr>
        <w:spacing w:line="560" w:lineRule="exact"/>
        <w:ind w:firstLine="640" w:firstLineChars="200"/>
        <w:rPr>
          <w:rFonts w:eastAsia="方正楷体_GBK"/>
          <w:bCs/>
          <w:szCs w:val="32"/>
        </w:rPr>
      </w:pPr>
      <w:r>
        <w:rPr>
          <w:rFonts w:hint="eastAsia" w:ascii="方正仿宋_GBK" w:eastAsia="方正仿宋_GBK"/>
          <w:bCs/>
          <w:szCs w:val="32"/>
        </w:rPr>
        <w:t>在学校的支持配合下，疾病预防控制机构应当及时开展现场流行病学调查和密切接触者筛查工作，根据疫情情况合理确定筛查范围。对密切接触者中初次筛查</w:t>
      </w:r>
      <w:r>
        <w:rPr>
          <w:rFonts w:eastAsia="方正仿宋_GBK"/>
          <w:bCs/>
          <w:szCs w:val="32"/>
        </w:rPr>
        <w:t>结核分枝杆菌感染检测</w:t>
      </w:r>
      <w:r>
        <w:rPr>
          <w:rFonts w:hint="eastAsia" w:ascii="方正仿宋_GBK" w:eastAsia="方正仿宋_GBK"/>
          <w:bCs/>
          <w:szCs w:val="32"/>
        </w:rPr>
        <w:t>阴性者，应当间隔</w:t>
      </w:r>
      <w:r>
        <w:rPr>
          <w:rFonts w:eastAsia="方正仿宋_GBK"/>
          <w:bCs/>
          <w:szCs w:val="32"/>
        </w:rPr>
        <w:t>3</w:t>
      </w:r>
      <w:r>
        <w:rPr>
          <w:rFonts w:hint="eastAsia" w:ascii="方正仿宋_GBK" w:eastAsia="方正仿宋_GBK"/>
          <w:bCs/>
          <w:szCs w:val="32"/>
        </w:rPr>
        <w:t>个月再次进行</w:t>
      </w:r>
      <w:r>
        <w:rPr>
          <w:rFonts w:eastAsia="方正仿宋_GBK"/>
          <w:bCs/>
          <w:szCs w:val="32"/>
        </w:rPr>
        <w:t>结核分枝杆菌感染检测</w:t>
      </w:r>
      <w:r>
        <w:rPr>
          <w:rFonts w:hint="eastAsia" w:ascii="方正仿宋_GBK" w:eastAsia="方正仿宋_GBK"/>
          <w:bCs/>
          <w:szCs w:val="32"/>
        </w:rPr>
        <w:t>，以便早期发现初次筛查时仍处于窗口期的新近感染者。</w:t>
      </w:r>
    </w:p>
    <w:p w14:paraId="062E137C">
      <w:pPr>
        <w:numPr>
          <w:ilvl w:val="0"/>
          <w:numId w:val="2"/>
        </w:numPr>
        <w:spacing w:line="560" w:lineRule="exact"/>
        <w:ind w:firstLine="640" w:firstLineChars="200"/>
        <w:rPr>
          <w:rFonts w:eastAsia="方正楷体_GBK"/>
          <w:bCs/>
          <w:szCs w:val="32"/>
        </w:rPr>
      </w:pPr>
      <w:r>
        <w:rPr>
          <w:rFonts w:eastAsia="方正楷体_GBK"/>
          <w:bCs/>
          <w:szCs w:val="32"/>
        </w:rPr>
        <w:t>健康教育与心理疏导</w:t>
      </w:r>
    </w:p>
    <w:p w14:paraId="3D42FD5B">
      <w:pPr>
        <w:spacing w:line="560" w:lineRule="exact"/>
        <w:ind w:firstLine="640" w:firstLineChars="200"/>
        <w:rPr>
          <w:rFonts w:ascii="方正仿宋_GBK" w:eastAsia="方正仿宋_GBK"/>
          <w:bCs/>
          <w:szCs w:val="32"/>
        </w:rPr>
      </w:pPr>
      <w:r>
        <w:rPr>
          <w:rFonts w:ascii="方正仿宋_GBK" w:eastAsia="方正仿宋_GBK"/>
          <w:bCs/>
          <w:szCs w:val="32"/>
        </w:rPr>
        <w:t>学校应当在医疗卫生机构的指导和协助下，强化开展全校师生及学生家长结核病防治知识的健康教育和心理疏导工作，及时消除其恐慌心理。</w:t>
      </w:r>
    </w:p>
    <w:p w14:paraId="3906258B">
      <w:pPr>
        <w:numPr>
          <w:ilvl w:val="0"/>
          <w:numId w:val="2"/>
        </w:numPr>
        <w:spacing w:line="560" w:lineRule="exact"/>
        <w:ind w:firstLine="640" w:firstLineChars="200"/>
        <w:rPr>
          <w:rFonts w:eastAsia="方正楷体_GBK"/>
          <w:bCs/>
          <w:szCs w:val="32"/>
        </w:rPr>
      </w:pPr>
      <w:r>
        <w:rPr>
          <w:rFonts w:eastAsia="方正楷体_GBK"/>
          <w:bCs/>
          <w:szCs w:val="32"/>
        </w:rPr>
        <w:t>校园环境卫生保障</w:t>
      </w:r>
      <w:bookmarkStart w:id="2" w:name="OLE_LINK11"/>
      <w:bookmarkStart w:id="3" w:name="OLE_LINK7"/>
      <w:bookmarkStart w:id="4" w:name="OLE_LINK13"/>
      <w:bookmarkStart w:id="5" w:name="OLE_LINK8"/>
      <w:bookmarkStart w:id="6" w:name="OLE_LINK14"/>
      <w:bookmarkStart w:id="7" w:name="OLE_LINK15"/>
      <w:bookmarkStart w:id="8" w:name="OLE_LINK9"/>
      <w:bookmarkStart w:id="9" w:name="OLE_LINK12"/>
      <w:bookmarkStart w:id="10" w:name="OLE_LINK10"/>
      <w:bookmarkStart w:id="11" w:name="OLE_LINK6"/>
      <w:bookmarkStart w:id="12" w:name="OLE_LINK5"/>
    </w:p>
    <w:p w14:paraId="442BAAD5">
      <w:pPr>
        <w:spacing w:line="560" w:lineRule="exact"/>
        <w:ind w:firstLine="640" w:firstLineChars="200"/>
        <w:rPr>
          <w:rFonts w:eastAsia="方正楷体_GBK"/>
          <w:bCs/>
          <w:szCs w:val="32"/>
        </w:rPr>
      </w:pPr>
      <w:r>
        <w:rPr>
          <w:rFonts w:ascii="方正仿宋_GBK" w:eastAsia="方正仿宋_GBK"/>
          <w:bCs/>
          <w:szCs w:val="32"/>
        </w:rPr>
        <w:t>学校应当加强公共场所通风、改善学校环境卫生，并在疾病预防控制机构的指导下做好相关场所的消毒工作。</w:t>
      </w:r>
      <w:bookmarkEnd w:id="2"/>
      <w:bookmarkEnd w:id="3"/>
      <w:bookmarkEnd w:id="4"/>
      <w:bookmarkEnd w:id="5"/>
      <w:bookmarkEnd w:id="6"/>
      <w:bookmarkEnd w:id="7"/>
      <w:bookmarkEnd w:id="8"/>
      <w:bookmarkEnd w:id="9"/>
      <w:bookmarkEnd w:id="10"/>
      <w:bookmarkEnd w:id="11"/>
      <w:bookmarkEnd w:id="12"/>
    </w:p>
    <w:p w14:paraId="5E813CF2">
      <w:pPr>
        <w:numPr>
          <w:ilvl w:val="0"/>
          <w:numId w:val="2"/>
        </w:numPr>
        <w:spacing w:line="560" w:lineRule="exact"/>
        <w:ind w:firstLine="640" w:firstLineChars="200"/>
        <w:rPr>
          <w:rFonts w:eastAsia="方正楷体_GBK"/>
          <w:bCs/>
          <w:szCs w:val="32"/>
        </w:rPr>
      </w:pPr>
      <w:r>
        <w:rPr>
          <w:rFonts w:eastAsia="方正楷体_GBK"/>
          <w:bCs/>
          <w:szCs w:val="32"/>
        </w:rPr>
        <w:t>事件评估</w:t>
      </w:r>
    </w:p>
    <w:p w14:paraId="5A9DD520">
      <w:pPr>
        <w:spacing w:line="560" w:lineRule="exact"/>
        <w:rPr>
          <w:rFonts w:ascii="方正仿宋_GBK" w:eastAsia="方正仿宋_GBK"/>
          <w:bCs/>
          <w:szCs w:val="32"/>
        </w:rPr>
      </w:pPr>
      <w:r>
        <w:rPr>
          <w:rFonts w:ascii="方正仿宋_GBK" w:eastAsia="方正仿宋_GBK"/>
          <w:bCs/>
          <w:szCs w:val="32"/>
        </w:rPr>
        <w:t xml:space="preserve">     </w:t>
      </w:r>
      <w:r>
        <w:rPr>
          <w:rFonts w:hint="eastAsia" w:ascii="方正仿宋_GBK" w:eastAsia="方正仿宋_GBK"/>
          <w:bCs/>
          <w:szCs w:val="32"/>
        </w:rPr>
        <w:t>疾控主管部门、卫生健康</w:t>
      </w:r>
      <w:r>
        <w:rPr>
          <w:rFonts w:ascii="方正仿宋_GBK" w:eastAsia="方正仿宋_GBK"/>
          <w:bCs/>
          <w:szCs w:val="32"/>
        </w:rPr>
        <w:t>和教育</w:t>
      </w:r>
      <w:r>
        <w:rPr>
          <w:rFonts w:hint="eastAsia" w:ascii="方正仿宋_GBK" w:eastAsia="方正仿宋_GBK"/>
          <w:bCs/>
          <w:szCs w:val="32"/>
        </w:rPr>
        <w:t>行政</w:t>
      </w:r>
      <w:r>
        <w:rPr>
          <w:rFonts w:ascii="方正仿宋_GBK" w:eastAsia="方正仿宋_GBK"/>
          <w:bCs/>
          <w:szCs w:val="32"/>
        </w:rPr>
        <w:t>部门应当及时了解医疗卫生机构和学校各项应急响应措施的落实情况，对应急处置情况组织开展综合评估，包括事件的危害程度、发展趋势、所采取的措施及效果等。</w:t>
      </w:r>
    </w:p>
    <w:p w14:paraId="66650E86">
      <w:pPr>
        <w:spacing w:line="560" w:lineRule="exact"/>
        <w:ind w:firstLine="640" w:firstLineChars="200"/>
        <w:rPr>
          <w:rFonts w:eastAsia="方正黑体_GBK"/>
          <w:bCs/>
          <w:szCs w:val="32"/>
        </w:rPr>
      </w:pPr>
      <w:bookmarkStart w:id="13" w:name="_Hlk178178060"/>
      <w:r>
        <w:rPr>
          <w:rFonts w:hint="eastAsia" w:eastAsia="方正黑体_GBK"/>
          <w:bCs/>
          <w:szCs w:val="32"/>
        </w:rPr>
        <w:t>四</w:t>
      </w:r>
      <w:r>
        <w:rPr>
          <w:rFonts w:eastAsia="方正黑体_GBK"/>
          <w:bCs/>
          <w:szCs w:val="32"/>
        </w:rPr>
        <w:t>、监督与管理</w:t>
      </w:r>
    </w:p>
    <w:bookmarkEnd w:id="13"/>
    <w:p w14:paraId="0E367B09">
      <w:pPr>
        <w:spacing w:line="560" w:lineRule="exact"/>
        <w:ind w:firstLine="640" w:firstLineChars="200"/>
        <w:rPr>
          <w:rFonts w:eastAsia="方正仿宋_GBK"/>
          <w:bCs/>
          <w:szCs w:val="32"/>
        </w:rPr>
      </w:pPr>
      <w:r>
        <w:rPr>
          <w:rFonts w:eastAsia="方正仿宋_GBK"/>
          <w:bCs/>
          <w:szCs w:val="32"/>
        </w:rPr>
        <w:t>各区县（自治县）</w:t>
      </w:r>
      <w:r>
        <w:rPr>
          <w:rFonts w:hint="eastAsia" w:eastAsia="方正仿宋_GBK"/>
          <w:bCs/>
          <w:szCs w:val="32"/>
        </w:rPr>
        <w:t>疾控主管部门、</w:t>
      </w:r>
      <w:r>
        <w:rPr>
          <w:rFonts w:eastAsia="方正仿宋_GBK"/>
          <w:bCs/>
          <w:szCs w:val="32"/>
        </w:rPr>
        <w:t>卫生健康和教育行政部门要</w:t>
      </w:r>
      <w:r>
        <w:rPr>
          <w:rFonts w:eastAsia="方正仿宋_GBK"/>
        </w:rPr>
        <w:t>切实落实主管责任，对辖区内学校结核病防控工作进行定期监督检查</w:t>
      </w:r>
      <w:r>
        <w:rPr>
          <w:rFonts w:eastAsia="方正仿宋_GBK"/>
          <w:bCs/>
          <w:szCs w:val="32"/>
        </w:rPr>
        <w:t>，督促学校落实结核病防控各项措施。对未按照</w:t>
      </w:r>
      <w:r>
        <w:rPr>
          <w:rFonts w:hint="eastAsia" w:eastAsia="方正仿宋_GBK"/>
          <w:bCs/>
          <w:szCs w:val="32"/>
        </w:rPr>
        <w:t>要求</w:t>
      </w:r>
      <w:r>
        <w:rPr>
          <w:rFonts w:eastAsia="方正仿宋_GBK"/>
          <w:bCs/>
          <w:szCs w:val="32"/>
        </w:rPr>
        <w:t>落实各项防控措施的</w:t>
      </w:r>
      <w:r>
        <w:rPr>
          <w:rFonts w:hint="eastAsia" w:eastAsia="方正仿宋_GBK"/>
          <w:bCs/>
          <w:szCs w:val="32"/>
        </w:rPr>
        <w:t>依据</w:t>
      </w:r>
      <w:r>
        <w:rPr>
          <w:rFonts w:eastAsia="方正仿宋_GBK"/>
          <w:bCs/>
          <w:szCs w:val="32"/>
        </w:rPr>
        <w:t>有关法律、法规和规范</w:t>
      </w:r>
      <w:r>
        <w:rPr>
          <w:rFonts w:hint="eastAsia" w:eastAsia="方正仿宋_GBK"/>
          <w:bCs/>
          <w:szCs w:val="32"/>
        </w:rPr>
        <w:t>进行处理。</w:t>
      </w:r>
    </w:p>
    <w:p w14:paraId="5942784B">
      <w:pPr>
        <w:spacing w:line="560" w:lineRule="exact"/>
        <w:ind w:firstLine="640" w:firstLineChars="200"/>
        <w:rPr>
          <w:rFonts w:ascii="方正仿宋_GBK" w:eastAsia="方正仿宋_GBK"/>
          <w:bCs/>
          <w:szCs w:val="32"/>
        </w:rPr>
      </w:pPr>
      <w:r>
        <w:rPr>
          <w:rFonts w:ascii="方正仿宋_GBK" w:eastAsia="方正仿宋_GBK"/>
          <w:bCs/>
          <w:szCs w:val="32"/>
        </w:rPr>
        <w:t>本规范所指的学校包括普通中小学、中等职业学校、普通高等学校、特殊教育学校和托幼机构。</w:t>
      </w:r>
    </w:p>
    <w:p w14:paraId="2A29A1D6">
      <w:pPr>
        <w:pStyle w:val="3"/>
        <w:spacing w:line="560" w:lineRule="exact"/>
        <w:ind w:firstLine="640" w:firstLineChars="200"/>
        <w:rPr>
          <w:rFonts w:eastAsia="方正仿宋_GBK"/>
          <w:bCs/>
          <w:sz w:val="32"/>
          <w:szCs w:val="32"/>
        </w:rPr>
      </w:pPr>
    </w:p>
    <w:p w14:paraId="2E296C0E">
      <w:pPr>
        <w:spacing w:line="560" w:lineRule="exact"/>
        <w:ind w:firstLine="640" w:firstLineChars="200"/>
        <w:rPr>
          <w:rFonts w:ascii="方正仿宋_GBK" w:eastAsia="方正仿宋_GBK"/>
          <w:bCs/>
          <w:szCs w:val="32"/>
        </w:rPr>
      </w:pPr>
      <w:r>
        <w:rPr>
          <w:rFonts w:ascii="方正仿宋_GBK" w:eastAsia="方正仿宋_GBK"/>
          <w:bCs/>
          <w:szCs w:val="32"/>
        </w:rPr>
        <w:t>附件：</w:t>
      </w:r>
      <w:r>
        <w:rPr>
          <w:rFonts w:eastAsia="方正仿宋_GBK"/>
          <w:bCs/>
          <w:szCs w:val="32"/>
        </w:rPr>
        <w:t>1</w:t>
      </w:r>
      <w:r>
        <w:rPr>
          <w:rFonts w:ascii="方正仿宋_GBK" w:eastAsia="方正仿宋_GBK"/>
          <w:bCs/>
          <w:szCs w:val="32"/>
        </w:rPr>
        <w:t>. 结核病健康体检筛查方案</w:t>
      </w:r>
    </w:p>
    <w:p w14:paraId="24E106E6">
      <w:pPr>
        <w:spacing w:line="560" w:lineRule="exact"/>
        <w:ind w:firstLine="1680" w:firstLineChars="525"/>
        <w:rPr>
          <w:rFonts w:ascii="方正仿宋_GBK" w:eastAsia="方正仿宋_GBK"/>
          <w:bCs/>
          <w:szCs w:val="32"/>
        </w:rPr>
      </w:pPr>
      <w:r>
        <w:rPr>
          <w:rFonts w:eastAsia="方正仿宋_GBK"/>
          <w:bCs/>
          <w:szCs w:val="32"/>
        </w:rPr>
        <w:t>2</w:t>
      </w:r>
      <w:r>
        <w:rPr>
          <w:rFonts w:ascii="方正仿宋_GBK" w:eastAsia="方正仿宋_GBK"/>
          <w:bCs/>
          <w:szCs w:val="32"/>
        </w:rPr>
        <w:t>. 学校结核病健康教育宣传核心知识</w:t>
      </w:r>
    </w:p>
    <w:p w14:paraId="31C03535">
      <w:pPr>
        <w:spacing w:line="560" w:lineRule="exact"/>
        <w:ind w:firstLine="1680" w:firstLineChars="525"/>
        <w:rPr>
          <w:rFonts w:ascii="方正仿宋_GBK" w:eastAsia="方正仿宋_GBK"/>
          <w:bCs/>
          <w:szCs w:val="32"/>
        </w:rPr>
      </w:pPr>
      <w:r>
        <w:rPr>
          <w:rFonts w:eastAsia="方正仿宋_GBK"/>
          <w:bCs/>
          <w:szCs w:val="32"/>
        </w:rPr>
        <w:t>3</w:t>
      </w:r>
      <w:r>
        <w:rPr>
          <w:rFonts w:ascii="方正仿宋_GBK" w:eastAsia="方正仿宋_GBK"/>
          <w:bCs/>
          <w:szCs w:val="32"/>
        </w:rPr>
        <w:t>. 接触者筛查及处理方案</w:t>
      </w:r>
    </w:p>
    <w:p w14:paraId="2F83CBA7">
      <w:pPr>
        <w:spacing w:line="560" w:lineRule="exact"/>
        <w:ind w:firstLine="1680" w:firstLineChars="525"/>
        <w:rPr>
          <w:rFonts w:ascii="方正仿宋_GBK" w:eastAsia="方正仿宋_GBK"/>
          <w:bCs/>
          <w:szCs w:val="32"/>
        </w:rPr>
      </w:pPr>
      <w:r>
        <w:rPr>
          <w:rFonts w:eastAsia="方正仿宋_GBK"/>
          <w:bCs/>
          <w:szCs w:val="32"/>
        </w:rPr>
        <w:t>4</w:t>
      </w:r>
      <w:r>
        <w:rPr>
          <w:rFonts w:ascii="方正仿宋_GBK" w:eastAsia="方正仿宋_GBK"/>
          <w:bCs/>
          <w:szCs w:val="32"/>
        </w:rPr>
        <w:t>. 肺结核患者休学诊断证明（参考版）</w:t>
      </w:r>
    </w:p>
    <w:p w14:paraId="62147F46">
      <w:pPr>
        <w:spacing w:line="560" w:lineRule="exact"/>
        <w:ind w:firstLine="1680" w:firstLineChars="525"/>
        <w:rPr>
          <w:rFonts w:eastAsia="方正仿宋_GBK"/>
          <w:bCs/>
          <w:szCs w:val="32"/>
        </w:rPr>
      </w:pPr>
      <w:r>
        <w:rPr>
          <w:rFonts w:eastAsia="方正仿宋_GBK"/>
          <w:bCs/>
          <w:szCs w:val="32"/>
        </w:rPr>
        <w:t>5. 肺结核患者复学诊断证明（参考版）</w:t>
      </w:r>
    </w:p>
    <w:p w14:paraId="6CE23202">
      <w:pPr>
        <w:widowControl/>
        <w:jc w:val="left"/>
        <w:rPr>
          <w:rFonts w:eastAsia="方正仿宋-GBK"/>
        </w:rPr>
        <w:sectPr>
          <w:footerReference r:id="rId3" w:type="default"/>
          <w:footerReference r:id="rId4" w:type="even"/>
          <w:pgSz w:w="11906" w:h="16838"/>
          <w:pgMar w:top="2098" w:right="1474" w:bottom="1985" w:left="1588" w:header="851" w:footer="992" w:gutter="0"/>
          <w:pgNumType w:fmt="numberInDash" w:start="1"/>
          <w:cols w:space="720" w:num="1"/>
          <w:docGrid w:type="lines" w:linePitch="312" w:charSpace="0"/>
        </w:sectPr>
      </w:pPr>
    </w:p>
    <w:p w14:paraId="124E2BFE">
      <w:pPr>
        <w:spacing w:line="560" w:lineRule="exact"/>
        <w:rPr>
          <w:rFonts w:eastAsia="方正黑体_GBK"/>
          <w:bCs/>
          <w:szCs w:val="32"/>
        </w:rPr>
      </w:pPr>
      <w:r>
        <w:rPr>
          <w:rFonts w:eastAsia="方正黑体_GBK"/>
          <w:bCs/>
          <w:szCs w:val="32"/>
        </w:rPr>
        <w:t>附件1</w:t>
      </w:r>
    </w:p>
    <w:p w14:paraId="6B2CBF77">
      <w:pPr>
        <w:spacing w:line="560" w:lineRule="exact"/>
        <w:rPr>
          <w:rFonts w:eastAsia="方正黑体_GBK"/>
          <w:bCs/>
          <w:szCs w:val="32"/>
        </w:rPr>
      </w:pPr>
    </w:p>
    <w:p w14:paraId="7E6CB7FF">
      <w:pPr>
        <w:spacing w:line="560" w:lineRule="exact"/>
        <w:jc w:val="center"/>
        <w:rPr>
          <w:rFonts w:eastAsia="方正小标宋_GBK"/>
          <w:bCs/>
          <w:sz w:val="44"/>
          <w:szCs w:val="44"/>
        </w:rPr>
      </w:pPr>
      <w:r>
        <w:rPr>
          <w:rFonts w:eastAsia="方正小标宋_GBK"/>
          <w:bCs/>
          <w:sz w:val="44"/>
          <w:szCs w:val="44"/>
        </w:rPr>
        <w:t>结核病健康体检筛查方案</w:t>
      </w:r>
    </w:p>
    <w:p w14:paraId="4A66726C">
      <w:pPr>
        <w:spacing w:line="560" w:lineRule="exact"/>
        <w:jc w:val="center"/>
        <w:rPr>
          <w:rFonts w:eastAsia="方正小标宋_GBK"/>
          <w:bCs/>
          <w:sz w:val="44"/>
          <w:szCs w:val="44"/>
        </w:rPr>
      </w:pPr>
    </w:p>
    <w:p w14:paraId="53AC3E2C">
      <w:pPr>
        <w:spacing w:line="560" w:lineRule="exact"/>
        <w:ind w:firstLine="640" w:firstLineChars="200"/>
        <w:rPr>
          <w:rFonts w:eastAsia="方正仿宋_GBK"/>
          <w:bCs/>
          <w:szCs w:val="32"/>
        </w:rPr>
      </w:pPr>
      <w:r>
        <w:rPr>
          <w:rFonts w:eastAsia="方正仿宋_GBK"/>
          <w:bCs/>
          <w:szCs w:val="32"/>
        </w:rPr>
        <w:t>在开展结核病健康体检之前，学校要配合体检机构做好学生或家长的健康教育，尤其是结核分枝杆菌感染检测（检测技术包括结核菌素皮肤试验TST、伽马-干扰素释放试验IGRA和结核抗原皮肤试验TBST）和X线检查的目的和意义，以及相关注意事项。同时应做好结核病检查项目的培训、质量控制、资料收集和汇总。</w:t>
      </w:r>
    </w:p>
    <w:p w14:paraId="563F4AB3">
      <w:pPr>
        <w:spacing w:line="560" w:lineRule="exact"/>
        <w:ind w:firstLine="640" w:firstLineChars="200"/>
        <w:rPr>
          <w:rFonts w:eastAsia="方正黑体_GBK"/>
          <w:bCs/>
          <w:szCs w:val="32"/>
        </w:rPr>
      </w:pPr>
      <w:r>
        <w:rPr>
          <w:rFonts w:eastAsia="方正黑体_GBK"/>
          <w:bCs/>
          <w:szCs w:val="32"/>
        </w:rPr>
        <w:t>一、筛查方式</w:t>
      </w:r>
    </w:p>
    <w:p w14:paraId="2D8DBF04">
      <w:pPr>
        <w:spacing w:line="560" w:lineRule="exact"/>
        <w:ind w:firstLine="640" w:firstLineChars="200"/>
        <w:rPr>
          <w:rFonts w:eastAsia="方正楷体_GBK"/>
          <w:bCs/>
          <w:szCs w:val="32"/>
        </w:rPr>
      </w:pPr>
      <w:r>
        <w:rPr>
          <w:rFonts w:eastAsia="方正楷体_GBK"/>
          <w:bCs/>
          <w:szCs w:val="32"/>
        </w:rPr>
        <w:t>（一）新生入学体检</w:t>
      </w:r>
    </w:p>
    <w:p w14:paraId="2A28C082">
      <w:pPr>
        <w:spacing w:line="560" w:lineRule="exact"/>
        <w:ind w:firstLine="640" w:firstLineChars="200"/>
        <w:rPr>
          <w:rFonts w:eastAsia="方正仿宋_GBK"/>
          <w:bCs/>
          <w:szCs w:val="32"/>
        </w:rPr>
      </w:pPr>
      <w:r>
        <w:rPr>
          <w:rFonts w:eastAsia="方正仿宋_GBK"/>
          <w:b w:val="0"/>
          <w:bCs w:val="0"/>
          <w:szCs w:val="32"/>
        </w:rPr>
        <w:t>1.体检时间。</w:t>
      </w:r>
      <w:r>
        <w:rPr>
          <w:rFonts w:eastAsia="方正仿宋_GBK"/>
          <w:bCs/>
          <w:szCs w:val="32"/>
        </w:rPr>
        <w:t>原则上在学生入校</w:t>
      </w:r>
      <w:r>
        <w:rPr>
          <w:rFonts w:hint="eastAsia" w:eastAsia="方正仿宋_GBK"/>
          <w:bCs/>
          <w:szCs w:val="32"/>
        </w:rPr>
        <w:t>前</w:t>
      </w:r>
      <w:r>
        <w:rPr>
          <w:rFonts w:eastAsia="方正仿宋_GBK"/>
          <w:bCs/>
          <w:szCs w:val="32"/>
        </w:rPr>
        <w:t>2</w:t>
      </w:r>
      <w:r>
        <w:rPr>
          <w:rFonts w:hint="eastAsia" w:eastAsia="方正仿宋_GBK"/>
          <w:bCs/>
          <w:szCs w:val="32"/>
        </w:rPr>
        <w:t>月</w:t>
      </w:r>
      <w:r>
        <w:rPr>
          <w:rFonts w:eastAsia="方正仿宋_GBK"/>
          <w:bCs/>
          <w:szCs w:val="32"/>
        </w:rPr>
        <w:t>内完成视</w:t>
      </w:r>
      <w:r>
        <w:rPr>
          <w:rFonts w:hint="eastAsia" w:eastAsia="方正仿宋_GBK"/>
          <w:bCs/>
          <w:szCs w:val="32"/>
        </w:rPr>
        <w:t>为</w:t>
      </w:r>
      <w:r>
        <w:rPr>
          <w:rFonts w:eastAsia="方正仿宋_GBK"/>
          <w:bCs/>
          <w:szCs w:val="32"/>
        </w:rPr>
        <w:t>有效，最晚应在开学后1个月内完成，具体时间由学校和体检机构共商确定。</w:t>
      </w:r>
    </w:p>
    <w:p w14:paraId="414D5EC2">
      <w:pPr>
        <w:spacing w:line="560" w:lineRule="exact"/>
        <w:ind w:firstLine="640" w:firstLineChars="200"/>
        <w:rPr>
          <w:rFonts w:eastAsia="方正仿宋_GBK"/>
          <w:b w:val="0"/>
          <w:bCs w:val="0"/>
          <w:szCs w:val="32"/>
        </w:rPr>
      </w:pPr>
      <w:r>
        <w:rPr>
          <w:rFonts w:eastAsia="方正仿宋_GBK"/>
          <w:b w:val="0"/>
          <w:bCs w:val="0"/>
          <w:szCs w:val="32"/>
        </w:rPr>
        <w:t>2.检查内容及方法</w:t>
      </w:r>
    </w:p>
    <w:p w14:paraId="40539CD8">
      <w:pPr>
        <w:spacing w:line="560" w:lineRule="exact"/>
        <w:ind w:firstLine="640" w:firstLineChars="200"/>
        <w:rPr>
          <w:rFonts w:eastAsia="方正仿宋_GBK"/>
          <w:bCs/>
          <w:szCs w:val="32"/>
        </w:rPr>
      </w:pPr>
      <w:r>
        <w:rPr>
          <w:rFonts w:eastAsia="方正仿宋_GBK"/>
          <w:bCs/>
          <w:szCs w:val="32"/>
        </w:rPr>
        <w:t>（1）幼儿园、小学及非寄宿制初中入园（入学）新生体检内容包括肺结核患者密切接触史和肺结核可疑症状的问诊。对于有肺结核患者密切接触史或可疑症状的学生，到学校指定的体检机构进行结核分枝杆菌感染检测，感染检测发现TST强阳性/TBST阳性/IGRA阳性，要进行胸部X光片检查。</w:t>
      </w:r>
    </w:p>
    <w:p w14:paraId="3C5D64AC">
      <w:pPr>
        <w:spacing w:line="560" w:lineRule="exact"/>
        <w:ind w:firstLine="640" w:firstLineChars="200"/>
        <w:rPr>
          <w:rFonts w:eastAsia="方正仿宋_GBK"/>
          <w:bCs/>
          <w:szCs w:val="32"/>
        </w:rPr>
      </w:pPr>
      <w:r>
        <w:rPr>
          <w:rFonts w:eastAsia="方正仿宋_GBK"/>
          <w:bCs/>
          <w:szCs w:val="32"/>
        </w:rPr>
        <w:t>（2）高中和寄宿制初中的入学新生体检内容包括肺结核可疑症状的问诊和结核分枝杆菌感染检测，感染检测发现TST强阳性/TBST阳性/IGRA阳性，要进行胸部X光片检查，有条件的地区，可对感染检测发现TST中度及以上阳性进行胸部X光片检查。高一新生在入学时，由学生或学生家长提供学生在当地结核病定点医疗机构结核病检查证明。</w:t>
      </w:r>
    </w:p>
    <w:p w14:paraId="61C659DD">
      <w:pPr>
        <w:spacing w:line="560" w:lineRule="exact"/>
        <w:ind w:firstLine="640" w:firstLineChars="200"/>
        <w:rPr>
          <w:rFonts w:eastAsia="方正仿宋_GBK"/>
          <w:bCs/>
          <w:szCs w:val="32"/>
        </w:rPr>
      </w:pPr>
      <w:r>
        <w:rPr>
          <w:rFonts w:eastAsia="方正仿宋_GBK"/>
          <w:bCs/>
          <w:szCs w:val="32"/>
        </w:rPr>
        <w:t>（3）大学入学新生体检内容包括肺结核可疑症状的问诊和胸部X光片检查，高流行地区和重点学校可同时开展结核分枝杆菌感染检测。</w:t>
      </w:r>
    </w:p>
    <w:p w14:paraId="51E5AB8B">
      <w:pPr>
        <w:spacing w:line="560" w:lineRule="exact"/>
        <w:ind w:firstLine="640" w:firstLineChars="200"/>
        <w:rPr>
          <w:rFonts w:eastAsia="方正楷体_GBK"/>
          <w:bCs/>
          <w:szCs w:val="32"/>
        </w:rPr>
      </w:pPr>
      <w:r>
        <w:rPr>
          <w:rFonts w:eastAsia="方正楷体_GBK"/>
          <w:bCs/>
          <w:szCs w:val="32"/>
        </w:rPr>
        <w:t>（二）高二年级学生筛查</w:t>
      </w:r>
    </w:p>
    <w:p w14:paraId="77AC5791">
      <w:pPr>
        <w:spacing w:line="560" w:lineRule="exact"/>
        <w:ind w:firstLine="640" w:firstLineChars="200"/>
        <w:rPr>
          <w:rFonts w:eastAsia="方正仿宋_GBK"/>
          <w:bCs/>
          <w:szCs w:val="32"/>
        </w:rPr>
      </w:pPr>
      <w:r>
        <w:rPr>
          <w:rFonts w:eastAsia="方正仿宋_GBK"/>
          <w:bCs/>
          <w:szCs w:val="32"/>
        </w:rPr>
        <w:t>原则上在高二年级上学期完成，筛查方法同高一学生筛查。对高一新生入学体检结核病筛查发现TST强阳性/TBST阳性/IGRA阳性的学生，在高二筛查时直接进行胸部X光片复查；如感染检测发现TST强阳性/TBST阳性/IGRA阳性或TST检测硬结平均直径两年内净增值≥10mm者，要进行胸部X光片检查。</w:t>
      </w:r>
    </w:p>
    <w:p w14:paraId="5F4B22C5">
      <w:pPr>
        <w:spacing w:line="560" w:lineRule="exact"/>
        <w:ind w:firstLine="640" w:firstLineChars="200"/>
        <w:rPr>
          <w:rFonts w:eastAsia="方正楷体_GBK"/>
          <w:bCs/>
          <w:szCs w:val="32"/>
        </w:rPr>
      </w:pPr>
      <w:r>
        <w:rPr>
          <w:rFonts w:eastAsia="方正楷体_GBK"/>
          <w:bCs/>
          <w:szCs w:val="32"/>
        </w:rPr>
        <w:t>（三）高三体检结核病筛查</w:t>
      </w:r>
    </w:p>
    <w:p w14:paraId="7C3720DD">
      <w:pPr>
        <w:spacing w:line="560" w:lineRule="exact"/>
        <w:ind w:firstLine="640" w:firstLineChars="200"/>
        <w:rPr>
          <w:rFonts w:eastAsia="方正仿宋_GBK"/>
          <w:bCs/>
          <w:szCs w:val="32"/>
        </w:rPr>
      </w:pPr>
      <w:r>
        <w:rPr>
          <w:rFonts w:eastAsia="方正仿宋_GBK"/>
          <w:bCs/>
          <w:szCs w:val="32"/>
        </w:rPr>
        <w:t>体检内容包括肺结核可疑症状的问诊和胸部X光片检查。</w:t>
      </w:r>
    </w:p>
    <w:p w14:paraId="6C0732D1">
      <w:pPr>
        <w:spacing w:line="560" w:lineRule="exact"/>
        <w:ind w:firstLine="640" w:firstLineChars="200"/>
        <w:rPr>
          <w:rFonts w:eastAsia="方正楷体_GBK"/>
          <w:bCs/>
          <w:szCs w:val="32"/>
        </w:rPr>
      </w:pPr>
      <w:r>
        <w:rPr>
          <w:rFonts w:eastAsia="方正楷体_GBK"/>
          <w:bCs/>
          <w:szCs w:val="32"/>
        </w:rPr>
        <w:t>（四）教职员工健康体检</w:t>
      </w:r>
    </w:p>
    <w:p w14:paraId="1579B263">
      <w:pPr>
        <w:spacing w:line="560" w:lineRule="exact"/>
        <w:ind w:firstLine="640" w:firstLineChars="200"/>
        <w:rPr>
          <w:rFonts w:eastAsia="方正仿宋_GBK"/>
          <w:bCs/>
          <w:szCs w:val="32"/>
        </w:rPr>
      </w:pPr>
      <w:r>
        <w:rPr>
          <w:rFonts w:eastAsia="方正仿宋_GBK"/>
          <w:bCs/>
          <w:szCs w:val="32"/>
        </w:rPr>
        <w:t>1.新入职员工在入职前完成；在职员工每年开展一次常规体检，建议与新生入学体检同步进行。</w:t>
      </w:r>
    </w:p>
    <w:p w14:paraId="06D97900">
      <w:pPr>
        <w:spacing w:line="560" w:lineRule="exact"/>
        <w:ind w:firstLine="640" w:firstLineChars="200"/>
        <w:rPr>
          <w:rFonts w:eastAsia="方正仿宋_GBK"/>
          <w:bCs/>
          <w:szCs w:val="32"/>
        </w:rPr>
      </w:pPr>
      <w:r>
        <w:rPr>
          <w:rFonts w:eastAsia="方正仿宋_GBK"/>
          <w:bCs/>
          <w:szCs w:val="32"/>
        </w:rPr>
        <w:t>2.入职体检和常规体检均应包括肺结核可疑症状问诊和胸部X光片检查等结核病检查项目。</w:t>
      </w:r>
    </w:p>
    <w:p w14:paraId="08558DAB">
      <w:pPr>
        <w:spacing w:line="560" w:lineRule="exact"/>
        <w:ind w:firstLine="640" w:firstLineChars="200"/>
        <w:rPr>
          <w:rFonts w:eastAsia="方正仿宋_GBK"/>
          <w:bCs/>
          <w:szCs w:val="32"/>
        </w:rPr>
      </w:pPr>
      <w:r>
        <w:rPr>
          <w:rFonts w:eastAsia="方正仿宋_GBK"/>
          <w:bCs/>
          <w:szCs w:val="32"/>
        </w:rPr>
        <w:t>上述健康体检中发现的肺结核可疑症状者、或TST强阳性/TBST阳性/IGRA阳性、或胸部X光片检查异常者，体检机构应将其转诊到当地结核病定点医疗机构接受进一步的结核病检查。</w:t>
      </w:r>
    </w:p>
    <w:p w14:paraId="6EE8CC2C">
      <w:pPr>
        <w:numPr>
          <w:ilvl w:val="0"/>
          <w:numId w:val="3"/>
        </w:numPr>
        <w:spacing w:line="560" w:lineRule="exact"/>
        <w:ind w:firstLine="640" w:firstLineChars="200"/>
        <w:rPr>
          <w:rFonts w:eastAsia="方正黑体_GBK"/>
          <w:bCs/>
          <w:szCs w:val="32"/>
        </w:rPr>
      </w:pPr>
      <w:r>
        <w:rPr>
          <w:rFonts w:eastAsia="方正黑体_GBK"/>
          <w:bCs/>
          <w:szCs w:val="32"/>
        </w:rPr>
        <w:t>筛查后的处理</w:t>
      </w:r>
    </w:p>
    <w:p w14:paraId="5E761526">
      <w:pPr>
        <w:spacing w:line="560" w:lineRule="exact"/>
        <w:ind w:firstLine="640" w:firstLineChars="200"/>
        <w:rPr>
          <w:rFonts w:eastAsia="方正仿宋_GBK"/>
          <w:bCs/>
          <w:szCs w:val="32"/>
        </w:rPr>
      </w:pPr>
      <w:r>
        <w:rPr>
          <w:rFonts w:eastAsia="方正仿宋_GBK"/>
          <w:bCs/>
          <w:szCs w:val="32"/>
        </w:rPr>
        <w:t>（一）活动性肺结核患者。结核病定点医疗机构对活动性肺结核患者提供规范抗结核病治疗，并按照相关规定进行休复学/休复课管理。对休学在家的病例，居住地的疾病预防控制机构应当组织落实治疗期间的规范管理；对在校治疗的病例，学校所在地的疾病预防控制机构应当与学校共同组织落实治疗期间的规范管理，校医或班主任应当协助医疗卫生机构督促患者按时服药并定期复查。</w:t>
      </w:r>
    </w:p>
    <w:p w14:paraId="2367C19F">
      <w:pPr>
        <w:spacing w:line="560" w:lineRule="exact"/>
        <w:ind w:firstLine="640" w:firstLineChars="200"/>
        <w:jc w:val="left"/>
        <w:rPr>
          <w:rFonts w:eastAsia="方正仿宋_GBK"/>
          <w:bCs/>
          <w:szCs w:val="32"/>
        </w:rPr>
      </w:pPr>
      <w:r>
        <w:rPr>
          <w:rFonts w:eastAsia="方正仿宋_GBK"/>
          <w:bCs/>
          <w:szCs w:val="32"/>
        </w:rPr>
        <w:t>（二）单纯TST强阳性/TBST阳性/IGRA阳性者。一是学校加强健康教育，告知结核分枝杆菌感染筛查的意义、肺结核的常见症状，同时加强常规监测，一旦出现肺结核可疑症状，应督促其到指定的结核病定点医疗机构进行进一步检查</w:t>
      </w:r>
      <w:r>
        <w:rPr>
          <w:rFonts w:eastAsia="方正仿宋_GBK"/>
          <w:bCs/>
          <w:szCs w:val="32"/>
          <w:woUserID w:val="2"/>
        </w:rPr>
        <w:t>。</w:t>
      </w:r>
      <w:r>
        <w:rPr>
          <w:rFonts w:eastAsia="方正仿宋_GBK"/>
          <w:bCs/>
          <w:szCs w:val="32"/>
        </w:rPr>
        <w:t>二是可建议有肺结核患者密切接触史或单纯性TST检测硬结平均直径两年内净增值≥10mm或其他高危因素者进行预防性治疗。</w:t>
      </w:r>
    </w:p>
    <w:p w14:paraId="71F8A504">
      <w:pPr>
        <w:spacing w:line="560" w:lineRule="exact"/>
        <w:ind w:firstLine="640" w:firstLineChars="200"/>
        <w:rPr>
          <w:rFonts w:eastAsia="方正仿宋_GBK"/>
          <w:bCs/>
          <w:szCs w:val="32"/>
        </w:rPr>
      </w:pPr>
      <w:r>
        <w:rPr>
          <w:rFonts w:eastAsia="方正仿宋_GBK"/>
          <w:bCs/>
          <w:szCs w:val="32"/>
        </w:rPr>
        <w:t>（三）疑似病例。疾病预防控制机构要指导学校做好疑似病例的隔离工作，疑似病例确诊后，学校应当及时登记，掌握后续治疗和转归情况。</w:t>
      </w:r>
    </w:p>
    <w:p w14:paraId="23E1EF5D">
      <w:pPr>
        <w:spacing w:line="560" w:lineRule="exact"/>
        <w:ind w:firstLine="640" w:firstLineChars="200"/>
        <w:rPr>
          <w:rFonts w:eastAsia="方正黑体_GBK"/>
          <w:bCs/>
          <w:szCs w:val="32"/>
        </w:rPr>
      </w:pPr>
      <w:r>
        <w:rPr>
          <w:rFonts w:eastAsia="方正黑体_GBK"/>
          <w:bCs/>
          <w:szCs w:val="32"/>
        </w:rPr>
        <w:t>三、资料收集汇总</w:t>
      </w:r>
    </w:p>
    <w:p w14:paraId="33F74732">
      <w:pPr>
        <w:spacing w:line="560" w:lineRule="exact"/>
        <w:ind w:firstLine="640" w:firstLineChars="200"/>
        <w:jc w:val="left"/>
        <w:rPr>
          <w:rFonts w:eastAsia="方正仿宋_GBK"/>
          <w:bCs/>
          <w:szCs w:val="32"/>
        </w:rPr>
      </w:pPr>
      <w:r>
        <w:rPr>
          <w:rFonts w:eastAsia="方正仿宋_GBK"/>
          <w:kern w:val="0"/>
          <w:szCs w:val="32"/>
        </w:rPr>
        <w:t>完成健康体检工作后，</w:t>
      </w:r>
      <w:r>
        <w:rPr>
          <w:rFonts w:eastAsia="方正仿宋_GBK"/>
          <w:szCs w:val="28"/>
        </w:rPr>
        <w:t>筛查机构按照疾病预防控制机构要求填报筛查结果并报送学校，学校将结果汇总后反馈给疾病预防控制机构</w:t>
      </w:r>
      <w:bookmarkStart w:id="14" w:name="_Toc479"/>
      <w:bookmarkStart w:id="15" w:name="_Toc5318"/>
      <w:bookmarkStart w:id="16" w:name="_Toc1377"/>
      <w:bookmarkStart w:id="17" w:name="_Toc1908_WPSOffice_Level1"/>
      <w:bookmarkStart w:id="18" w:name="_Toc17418"/>
      <w:bookmarkStart w:id="19" w:name="_Toc3195_WPSOffice_Level1"/>
      <w:bookmarkStart w:id="20" w:name="_Toc49943957"/>
      <w:bookmarkStart w:id="21" w:name="_Toc32306_WPSOffice_Level1"/>
      <w:bookmarkStart w:id="22" w:name="_Toc22076_WPSOffice_Level1"/>
      <w:bookmarkStart w:id="23" w:name="_Toc17944"/>
      <w:bookmarkStart w:id="24" w:name="_Toc27200"/>
      <w:bookmarkStart w:id="25" w:name="_Toc31728"/>
      <w:bookmarkStart w:id="26" w:name="_Toc24615_WPSOffice_Level1"/>
      <w:bookmarkStart w:id="27" w:name="_Toc21751"/>
      <w:bookmarkStart w:id="28" w:name="_Toc28782"/>
      <w:bookmarkStart w:id="29" w:name="_Toc25475"/>
      <w:r>
        <w:rPr>
          <w:rFonts w:eastAsia="方正仿宋_GBK"/>
          <w:bCs/>
          <w:szCs w:val="32"/>
        </w:rPr>
        <w:t>，各区县（自治县）</w:t>
      </w:r>
      <w:r>
        <w:rPr>
          <w:rFonts w:eastAsia="方正仿宋_GBK"/>
          <w:szCs w:val="28"/>
        </w:rPr>
        <w:t>疾病预防控制机构</w:t>
      </w:r>
      <w:r>
        <w:rPr>
          <w:rFonts w:eastAsia="方正仿宋_GBK"/>
          <w:bCs/>
          <w:szCs w:val="32"/>
        </w:rPr>
        <w:t>于筛查工作结束后15个工作日内，向市结防所上报筛查统计表。</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3B99E3C">
      <w:pPr>
        <w:spacing w:line="560" w:lineRule="exact"/>
        <w:rPr>
          <w:rFonts w:eastAsia="仿宋_GB2312"/>
          <w:kern w:val="0"/>
          <w:sz w:val="28"/>
          <w:szCs w:val="28"/>
        </w:rPr>
      </w:pPr>
    </w:p>
    <w:p w14:paraId="0F735EA9">
      <w:pPr>
        <w:spacing w:line="560" w:lineRule="exact"/>
      </w:pPr>
      <w:r>
        <w:br w:type="page"/>
      </w:r>
    </w:p>
    <w:p w14:paraId="32F0A52A">
      <w:pPr>
        <w:spacing w:line="560" w:lineRule="exact"/>
        <w:rPr>
          <w:rFonts w:eastAsia="方正黑体_GBK"/>
          <w:bCs/>
          <w:szCs w:val="32"/>
        </w:rPr>
      </w:pPr>
      <w:r>
        <w:rPr>
          <w:rFonts w:eastAsia="方正黑体_GBK"/>
          <w:bCs/>
          <w:szCs w:val="32"/>
        </w:rPr>
        <w:t xml:space="preserve">附件2 </w:t>
      </w:r>
    </w:p>
    <w:p w14:paraId="584DCDB5">
      <w:pPr>
        <w:spacing w:line="560" w:lineRule="exact"/>
        <w:ind w:firstLine="880" w:firstLineChars="200"/>
        <w:jc w:val="center"/>
        <w:rPr>
          <w:rFonts w:eastAsia="方正小标宋_GBK"/>
          <w:bCs/>
          <w:sz w:val="44"/>
          <w:szCs w:val="44"/>
        </w:rPr>
      </w:pPr>
    </w:p>
    <w:p w14:paraId="103EFBD3">
      <w:pPr>
        <w:spacing w:line="560" w:lineRule="exact"/>
        <w:jc w:val="center"/>
        <w:rPr>
          <w:rFonts w:eastAsia="方正小标宋_GBK"/>
          <w:bCs/>
          <w:sz w:val="44"/>
          <w:szCs w:val="44"/>
        </w:rPr>
      </w:pPr>
      <w:r>
        <w:rPr>
          <w:rFonts w:eastAsia="方正小标宋_GBK"/>
          <w:bCs/>
          <w:sz w:val="44"/>
          <w:szCs w:val="44"/>
        </w:rPr>
        <w:t>学校结核病健康教育宣传核心知识</w:t>
      </w:r>
    </w:p>
    <w:p w14:paraId="4015ABD1">
      <w:pPr>
        <w:spacing w:line="560" w:lineRule="exact"/>
        <w:ind w:firstLine="640" w:firstLineChars="200"/>
        <w:rPr>
          <w:rFonts w:eastAsia="方正仿宋_GBK"/>
          <w:bCs/>
          <w:szCs w:val="32"/>
        </w:rPr>
      </w:pPr>
    </w:p>
    <w:p w14:paraId="34FC4B5E">
      <w:pPr>
        <w:spacing w:line="570" w:lineRule="exact"/>
        <w:ind w:firstLine="640" w:firstLineChars="200"/>
        <w:rPr>
          <w:rFonts w:eastAsia="方正仿宋_GBK"/>
          <w:bCs/>
          <w:szCs w:val="32"/>
        </w:rPr>
      </w:pPr>
      <w:r>
        <w:rPr>
          <w:rFonts w:hint="eastAsia" w:eastAsia="方正仿宋_GBK"/>
          <w:bCs/>
          <w:szCs w:val="32"/>
        </w:rPr>
        <w:t>一、肺结核是长期严重危害人民健康的慢性传染病。</w:t>
      </w:r>
    </w:p>
    <w:p w14:paraId="746F2DE0">
      <w:pPr>
        <w:spacing w:line="570" w:lineRule="exact"/>
        <w:ind w:firstLine="640" w:firstLineChars="200"/>
        <w:rPr>
          <w:rFonts w:eastAsia="方正仿宋_GBK"/>
          <w:bCs/>
          <w:szCs w:val="32"/>
        </w:rPr>
      </w:pPr>
      <w:r>
        <w:rPr>
          <w:rFonts w:hint="eastAsia" w:eastAsia="方正仿宋_GBK"/>
          <w:bCs/>
          <w:szCs w:val="32"/>
        </w:rPr>
        <w:t>二、肺结核主要通过呼吸道传播，人人都有可能被感染。</w:t>
      </w:r>
    </w:p>
    <w:p w14:paraId="5D92F773">
      <w:pPr>
        <w:spacing w:line="570" w:lineRule="exact"/>
        <w:ind w:firstLine="640" w:firstLineChars="200"/>
        <w:rPr>
          <w:rFonts w:eastAsia="方正仿宋_GBK"/>
          <w:bCs/>
          <w:szCs w:val="32"/>
        </w:rPr>
      </w:pPr>
      <w:r>
        <w:rPr>
          <w:rFonts w:hint="eastAsia" w:eastAsia="方正仿宋_GBK"/>
          <w:bCs/>
          <w:szCs w:val="32"/>
        </w:rPr>
        <w:t>三、咳嗽、咳痰2周以上，应怀疑得了肺结核，要及时就诊。</w:t>
      </w:r>
    </w:p>
    <w:p w14:paraId="451C25E3">
      <w:pPr>
        <w:spacing w:line="570" w:lineRule="exact"/>
        <w:ind w:firstLine="640" w:firstLineChars="200"/>
        <w:rPr>
          <w:rFonts w:eastAsia="方正仿宋_GBK"/>
          <w:bCs/>
          <w:szCs w:val="32"/>
        </w:rPr>
      </w:pPr>
      <w:r>
        <w:rPr>
          <w:rFonts w:hint="eastAsia" w:eastAsia="方正仿宋_GBK"/>
          <w:bCs/>
          <w:szCs w:val="32"/>
        </w:rPr>
        <w:t>四、不随地吐痰，咳嗽、打喷嚏时掩口鼻，戴口罩可以减少肺结核的传播。</w:t>
      </w:r>
    </w:p>
    <w:p w14:paraId="16A3DAA5">
      <w:pPr>
        <w:spacing w:line="570" w:lineRule="exact"/>
        <w:ind w:firstLine="640" w:firstLineChars="200"/>
        <w:rPr>
          <w:rFonts w:eastAsia="方正仿宋_GBK"/>
          <w:bCs/>
          <w:szCs w:val="32"/>
        </w:rPr>
      </w:pPr>
      <w:r>
        <w:rPr>
          <w:rFonts w:hint="eastAsia" w:eastAsia="方正仿宋_GBK"/>
          <w:bCs/>
          <w:szCs w:val="32"/>
        </w:rPr>
        <w:t>五、规范全程治疗，绝大多数患者可以治愈，还可避免传染他人。</w:t>
      </w:r>
    </w:p>
    <w:p w14:paraId="2D3FEEF6">
      <w:pPr>
        <w:spacing w:line="570" w:lineRule="exact"/>
        <w:ind w:firstLine="640" w:firstLineChars="200"/>
        <w:rPr>
          <w:rFonts w:eastAsia="方正仿宋_GBK"/>
          <w:bCs/>
          <w:szCs w:val="32"/>
        </w:rPr>
      </w:pPr>
      <w:r>
        <w:rPr>
          <w:rFonts w:hint="eastAsia" w:eastAsia="方正仿宋_GBK"/>
          <w:bCs/>
          <w:szCs w:val="32"/>
        </w:rPr>
        <w:t>六、出现肺结核可疑症状或被诊断为肺结核后，应当主动向学校报告，不隐瞒病情、不带病上课。</w:t>
      </w:r>
    </w:p>
    <w:p w14:paraId="296CBB0B">
      <w:pPr>
        <w:spacing w:line="570" w:lineRule="exact"/>
        <w:ind w:firstLine="640" w:firstLineChars="200"/>
        <w:rPr>
          <w:rFonts w:eastAsia="方正仿宋_GBK"/>
          <w:bCs/>
          <w:szCs w:val="32"/>
        </w:rPr>
      </w:pPr>
      <w:r>
        <w:rPr>
          <w:rFonts w:hint="eastAsia" w:eastAsia="方正仿宋_GBK"/>
          <w:bCs/>
          <w:szCs w:val="32"/>
        </w:rPr>
        <w:t>七、养成勤开窗通风的习惯。</w:t>
      </w:r>
    </w:p>
    <w:p w14:paraId="3860BBFA">
      <w:pPr>
        <w:spacing w:line="570" w:lineRule="exact"/>
        <w:ind w:firstLine="640" w:firstLineChars="200"/>
        <w:rPr>
          <w:rFonts w:eastAsia="方正仿宋-GBK"/>
        </w:rPr>
        <w:sectPr>
          <w:pgSz w:w="11906" w:h="16838"/>
          <w:pgMar w:top="2098" w:right="1474" w:bottom="1985" w:left="1588" w:header="851" w:footer="992" w:gutter="0"/>
          <w:pgNumType w:fmt="numberInDash"/>
          <w:cols w:space="0" w:num="1"/>
          <w:docGrid w:type="lines" w:linePitch="319" w:charSpace="0"/>
        </w:sectPr>
      </w:pPr>
      <w:r>
        <w:rPr>
          <w:rFonts w:hint="eastAsia" w:eastAsia="方正仿宋_GBK"/>
          <w:bCs/>
          <w:szCs w:val="32"/>
        </w:rPr>
        <w:t>八、保证充足的睡眠，合理膳食，加强体育锻炼，提高抵御疾病的能力。</w:t>
      </w:r>
    </w:p>
    <w:p w14:paraId="397E8941">
      <w:pPr>
        <w:spacing w:line="560" w:lineRule="exact"/>
        <w:rPr>
          <w:rFonts w:eastAsia="方正黑体_GBK"/>
          <w:bCs/>
          <w:szCs w:val="32"/>
        </w:rPr>
      </w:pPr>
      <w:r>
        <w:rPr>
          <w:rFonts w:eastAsia="方正黑体_GBK"/>
          <w:bCs/>
          <w:szCs w:val="32"/>
        </w:rPr>
        <w:t>附件3</w:t>
      </w:r>
    </w:p>
    <w:p w14:paraId="4DBA3CC1">
      <w:pPr>
        <w:spacing w:line="560" w:lineRule="exact"/>
        <w:jc w:val="center"/>
        <w:rPr>
          <w:rFonts w:eastAsia="方正小标宋_GBK"/>
          <w:bCs/>
          <w:sz w:val="44"/>
          <w:szCs w:val="44"/>
        </w:rPr>
      </w:pPr>
    </w:p>
    <w:p w14:paraId="3C656CCB">
      <w:pPr>
        <w:spacing w:line="560" w:lineRule="exact"/>
        <w:jc w:val="center"/>
        <w:rPr>
          <w:rFonts w:eastAsia="方正小标宋_GBK"/>
          <w:bCs/>
          <w:sz w:val="44"/>
          <w:szCs w:val="44"/>
        </w:rPr>
      </w:pPr>
      <w:r>
        <w:rPr>
          <w:rFonts w:eastAsia="方正小标宋_GBK"/>
          <w:bCs/>
          <w:sz w:val="44"/>
          <w:szCs w:val="44"/>
        </w:rPr>
        <w:t>接触者筛查及处理方案</w:t>
      </w:r>
    </w:p>
    <w:p w14:paraId="3E65E971">
      <w:pPr>
        <w:spacing w:line="560" w:lineRule="exact"/>
        <w:ind w:firstLine="1052" w:firstLineChars="329"/>
        <w:rPr>
          <w:rFonts w:eastAsia="方正仿宋_GBK"/>
          <w:bCs/>
          <w:szCs w:val="32"/>
        </w:rPr>
      </w:pPr>
    </w:p>
    <w:p w14:paraId="7F1A31E7">
      <w:pPr>
        <w:spacing w:line="560" w:lineRule="exact"/>
        <w:ind w:firstLine="640" w:firstLineChars="200"/>
        <w:rPr>
          <w:rFonts w:eastAsia="方正仿宋_GBK"/>
          <w:bCs/>
          <w:szCs w:val="32"/>
        </w:rPr>
      </w:pPr>
      <w:r>
        <w:rPr>
          <w:rFonts w:eastAsia="方正仿宋_GBK"/>
          <w:bCs/>
          <w:szCs w:val="32"/>
        </w:rPr>
        <w:t>接触者筛查有助于早期发现肺结核患者和结核分枝杆菌感染者，及时阻断校园结核病传播。</w:t>
      </w:r>
    </w:p>
    <w:p w14:paraId="5134D570">
      <w:pPr>
        <w:spacing w:line="560" w:lineRule="exact"/>
        <w:ind w:firstLine="640" w:firstLineChars="200"/>
        <w:rPr>
          <w:rFonts w:eastAsia="方正黑体_GBK"/>
          <w:bCs/>
          <w:szCs w:val="32"/>
        </w:rPr>
      </w:pPr>
      <w:r>
        <w:rPr>
          <w:rFonts w:eastAsia="方正黑体_GBK"/>
          <w:bCs/>
          <w:szCs w:val="32"/>
        </w:rPr>
        <w:t>一、接触者确定和筛查</w:t>
      </w:r>
    </w:p>
    <w:p w14:paraId="762554B9">
      <w:pPr>
        <w:spacing w:line="560" w:lineRule="exact"/>
        <w:ind w:firstLine="640" w:firstLineChars="200"/>
        <w:rPr>
          <w:rFonts w:eastAsia="方正楷体_GBK"/>
          <w:bCs/>
          <w:szCs w:val="32"/>
        </w:rPr>
      </w:pPr>
      <w:r>
        <w:rPr>
          <w:rFonts w:eastAsia="方正楷体_GBK"/>
          <w:bCs/>
          <w:szCs w:val="32"/>
        </w:rPr>
        <w:t>（一）确定筛查范围</w:t>
      </w:r>
    </w:p>
    <w:p w14:paraId="192BE105">
      <w:pPr>
        <w:spacing w:line="560" w:lineRule="exact"/>
        <w:ind w:firstLine="640"/>
        <w:jc w:val="left"/>
        <w:rPr>
          <w:rFonts w:eastAsia="方正仿宋_GBK"/>
          <w:szCs w:val="28"/>
        </w:rPr>
      </w:pPr>
      <w:r>
        <w:rPr>
          <w:rFonts w:eastAsia="方正仿宋_GBK"/>
          <w:szCs w:val="28"/>
        </w:rPr>
        <w:t>发现肺结核病例后，疾病预防控制机构在学校协助下，根据学校提供的相关人员名单和患者流行病学个案调查结果，确定密切接触者、一般接触者、偶尔接触者（根据调查动态调整）。</w:t>
      </w:r>
    </w:p>
    <w:p w14:paraId="45351181">
      <w:pPr>
        <w:spacing w:line="560" w:lineRule="exact"/>
        <w:ind w:firstLine="640" w:firstLineChars="200"/>
        <w:rPr>
          <w:rFonts w:eastAsia="方正楷体_GBK"/>
          <w:bCs/>
          <w:szCs w:val="32"/>
        </w:rPr>
      </w:pPr>
      <w:r>
        <w:rPr>
          <w:rFonts w:eastAsia="方正楷体_GBK"/>
          <w:bCs/>
          <w:szCs w:val="32"/>
        </w:rPr>
        <w:t>（二）接触者筛查</w:t>
      </w:r>
    </w:p>
    <w:p w14:paraId="363008FC">
      <w:pPr>
        <w:spacing w:line="560" w:lineRule="exact"/>
        <w:ind w:firstLine="640"/>
        <w:jc w:val="left"/>
        <w:rPr>
          <w:rFonts w:eastAsia="方正仿宋_GBK"/>
          <w:szCs w:val="28"/>
        </w:rPr>
      </w:pPr>
      <w:r>
        <w:rPr>
          <w:rFonts w:eastAsia="方正仿宋_GBK"/>
          <w:szCs w:val="28"/>
        </w:rPr>
        <w:t>学校应根据接触者的范围，在1周内组织接触者进行筛查，做到应筛尽筛。首次接触者筛查一般由密切接触者开始，再根据情况扩大到一般接触者、偶尔接触者筛查，筛查方式及扩大原则参照《中国学校结核病防控指南（2020年版）》。</w:t>
      </w:r>
    </w:p>
    <w:p w14:paraId="6F3AD769">
      <w:pPr>
        <w:spacing w:line="560" w:lineRule="exact"/>
        <w:ind w:firstLine="640" w:firstLineChars="200"/>
        <w:rPr>
          <w:rFonts w:eastAsia="方正楷体_GBK"/>
          <w:bCs/>
          <w:szCs w:val="32"/>
        </w:rPr>
      </w:pPr>
      <w:r>
        <w:rPr>
          <w:rFonts w:eastAsia="方正楷体_GBK"/>
          <w:bCs/>
          <w:szCs w:val="32"/>
        </w:rPr>
        <w:t>（三）筛查要求</w:t>
      </w:r>
    </w:p>
    <w:p w14:paraId="5782359D">
      <w:pPr>
        <w:spacing w:line="560" w:lineRule="exact"/>
        <w:ind w:firstLine="640"/>
        <w:rPr>
          <w:rFonts w:eastAsia="方正仿宋_GBK"/>
          <w:szCs w:val="28"/>
        </w:rPr>
      </w:pPr>
      <w:r>
        <w:rPr>
          <w:rFonts w:eastAsia="方正仿宋_GBK"/>
          <w:szCs w:val="28"/>
        </w:rPr>
        <w:t>为确保筛查质量，原则上密切接触者筛查由区县级结核病定点医疗机构或区县级疾病预防控制机构承担。</w:t>
      </w:r>
    </w:p>
    <w:p w14:paraId="4A79CD7B">
      <w:pPr>
        <w:spacing w:line="560" w:lineRule="exact"/>
        <w:ind w:firstLine="640"/>
        <w:rPr>
          <w:rFonts w:eastAsia="方正仿宋_GBK"/>
          <w:szCs w:val="28"/>
        </w:rPr>
      </w:pPr>
      <w:r>
        <w:rPr>
          <w:rFonts w:eastAsia="方正仿宋_GBK"/>
          <w:szCs w:val="28"/>
        </w:rPr>
        <w:t>对肺结核可疑症状者或</w:t>
      </w:r>
      <w:r>
        <w:rPr>
          <w:rFonts w:eastAsia="方正仿宋_GBK"/>
          <w:bCs/>
          <w:szCs w:val="32"/>
        </w:rPr>
        <w:t>TST强阳性/TBST阳性/IGRA阳性者</w:t>
      </w:r>
      <w:r>
        <w:rPr>
          <w:rFonts w:eastAsia="方正仿宋_GBK"/>
          <w:szCs w:val="28"/>
        </w:rPr>
        <w:t>或胸部X光片异常者，应开展痰涂片和培养检测，涂片阴性的疑似病例，继续开展分子生物学检测。病原学阳性者应开展菌种鉴定和药物敏感性试验。同时，结核病定点医疗机构在1周内将病原学阳性菌株送市结防所，由市结防所开展复核及菌株基因分型工作。</w:t>
      </w:r>
    </w:p>
    <w:p w14:paraId="2BD52C44">
      <w:pPr>
        <w:spacing w:line="560" w:lineRule="exact"/>
        <w:ind w:firstLine="640" w:firstLineChars="200"/>
        <w:rPr>
          <w:rFonts w:eastAsia="方正楷体_GBK"/>
          <w:bCs/>
          <w:szCs w:val="32"/>
        </w:rPr>
      </w:pPr>
      <w:r>
        <w:rPr>
          <w:rFonts w:eastAsia="方正楷体_GBK"/>
          <w:bCs/>
          <w:szCs w:val="32"/>
        </w:rPr>
        <w:t>（四）数据管理</w:t>
      </w:r>
    </w:p>
    <w:p w14:paraId="001D5D93">
      <w:pPr>
        <w:spacing w:line="560" w:lineRule="exact"/>
        <w:ind w:firstLine="640"/>
        <w:rPr>
          <w:rFonts w:eastAsia="方正仿宋_GBK"/>
          <w:szCs w:val="28"/>
        </w:rPr>
      </w:pPr>
      <w:r>
        <w:rPr>
          <w:rFonts w:eastAsia="方正仿宋_GBK"/>
          <w:szCs w:val="28"/>
        </w:rPr>
        <w:t>筛查机构应完整、详细记录《学校肺结核患者接触者筛查一览表》，出具《筛查报告》，将原始记录、电子数据库及相关报告于筛查结束后15个工作日内交学校保存。学校应在接到筛查相关结果后24小时内，将数据库及报告上报区县级疾病预防控制机构。</w:t>
      </w:r>
    </w:p>
    <w:p w14:paraId="71DE4EA1">
      <w:pPr>
        <w:spacing w:line="560" w:lineRule="exact"/>
        <w:ind w:firstLine="640" w:firstLineChars="200"/>
        <w:rPr>
          <w:rFonts w:eastAsia="方正黑体_GBK"/>
          <w:bCs/>
          <w:szCs w:val="32"/>
        </w:rPr>
      </w:pPr>
      <w:r>
        <w:rPr>
          <w:rFonts w:eastAsia="方正黑体_GBK"/>
          <w:bCs/>
          <w:szCs w:val="32"/>
        </w:rPr>
        <w:t>二、筛查后处理</w:t>
      </w:r>
    </w:p>
    <w:p w14:paraId="18786E8B">
      <w:pPr>
        <w:spacing w:line="560" w:lineRule="exact"/>
        <w:ind w:firstLine="640" w:firstLineChars="200"/>
        <w:jc w:val="left"/>
        <w:rPr>
          <w:rFonts w:eastAsia="方正楷体_GBK"/>
          <w:bCs/>
          <w:szCs w:val="32"/>
        </w:rPr>
      </w:pPr>
      <w:r>
        <w:rPr>
          <w:rFonts w:eastAsia="方正楷体_GBK"/>
          <w:bCs/>
          <w:szCs w:val="32"/>
        </w:rPr>
        <w:t>（一）活动性肺结核患者和疑似病例</w:t>
      </w:r>
    </w:p>
    <w:p w14:paraId="6EE5B51A">
      <w:pPr>
        <w:spacing w:line="560" w:lineRule="exact"/>
        <w:ind w:firstLine="640" w:firstLineChars="200"/>
        <w:jc w:val="left"/>
        <w:rPr>
          <w:rFonts w:eastAsia="方正仿宋_GBK"/>
          <w:bCs/>
          <w:szCs w:val="32"/>
        </w:rPr>
      </w:pPr>
      <w:r>
        <w:rPr>
          <w:rFonts w:eastAsia="方正仿宋_GBK"/>
          <w:bCs/>
          <w:szCs w:val="32"/>
        </w:rPr>
        <w:t>参见附件1结核病健康体检筛查方案。</w:t>
      </w:r>
    </w:p>
    <w:p w14:paraId="1D0FAA25">
      <w:pPr>
        <w:spacing w:line="560" w:lineRule="exact"/>
        <w:ind w:firstLine="640" w:firstLineChars="200"/>
        <w:jc w:val="left"/>
        <w:rPr>
          <w:rFonts w:eastAsia="方正仿宋_GBK"/>
          <w:bCs/>
          <w:szCs w:val="32"/>
        </w:rPr>
      </w:pPr>
      <w:r>
        <w:rPr>
          <w:rFonts w:eastAsia="方正楷体_GBK"/>
          <w:bCs/>
          <w:szCs w:val="32"/>
        </w:rPr>
        <w:t>（二）单纯TST强阳性/TBST阳性/IGRA阳性者或TST检测硬结平均直径两年内净增值≥10mm者</w:t>
      </w:r>
    </w:p>
    <w:p w14:paraId="4BE4C188">
      <w:pPr>
        <w:spacing w:line="560" w:lineRule="exact"/>
        <w:ind w:firstLine="640" w:firstLineChars="200"/>
        <w:jc w:val="left"/>
        <w:rPr>
          <w:rFonts w:eastAsia="方正仿宋_GBK"/>
          <w:bCs/>
          <w:szCs w:val="32"/>
          <w:highlight w:val="yellow"/>
        </w:rPr>
      </w:pPr>
      <w:r>
        <w:rPr>
          <w:rFonts w:eastAsia="方正仿宋_GBK"/>
          <w:bCs/>
          <w:szCs w:val="32"/>
        </w:rPr>
        <w:t>各区县（自治县）疾病预防控制机构、结核病定点医疗机构、学校应相互配合，积极动员符合预防性治疗条件者开展预防性治疗，做到应治尽治，特别是当校内出现3例及以上有流行病学关联的散发疫情时，强烈建议所有符合预防性治疗标准者均接受预防性治疗。对接受预防性治疗的在校学生，校医或班主任应当在疾病预防控制机构的指导下督促其按时服药、定期到结核病定点医疗机构随访复查。对于拒绝预防性治疗的对象，</w:t>
      </w:r>
      <w:r>
        <w:rPr>
          <w:rFonts w:eastAsia="方正仿宋_GBK"/>
        </w:rPr>
        <w:t>学校应加强健康教育和健康监测，出现肺结核可疑症状及时到结核病定点医疗机构就医，并督促学生于首次筛查后3月末、6月末、12月末在定点医疗机构开展胸部X光片复查。</w:t>
      </w:r>
      <w:r>
        <w:rPr>
          <w:rFonts w:eastAsia="方正仿宋_GBK"/>
          <w:bCs/>
          <w:szCs w:val="32"/>
        </w:rPr>
        <w:t>有条件的区县，对于拒绝预防性治疗的对象，可</w:t>
      </w:r>
      <w:r>
        <w:rPr>
          <w:rFonts w:eastAsia="方正仿宋_GBK"/>
        </w:rPr>
        <w:t>采取学校开展线上教育等形式对其进行教学</w:t>
      </w:r>
      <w:r>
        <w:rPr>
          <w:rFonts w:eastAsia="方正仿宋_GBK"/>
          <w:bCs/>
          <w:szCs w:val="32"/>
        </w:rPr>
        <w:t>。</w:t>
      </w:r>
    </w:p>
    <w:p w14:paraId="2C37E6D4">
      <w:pPr>
        <w:numPr>
          <w:ilvl w:val="255"/>
          <w:numId w:val="0"/>
        </w:numPr>
        <w:ind w:firstLine="640" w:firstLineChars="200"/>
        <w:rPr>
          <w:rFonts w:eastAsia="方正仿宋_GBK"/>
          <w:bCs/>
          <w:szCs w:val="32"/>
          <w:highlight w:val="yellow"/>
        </w:rPr>
        <w:sectPr>
          <w:pgSz w:w="11906" w:h="16838"/>
          <w:pgMar w:top="2098" w:right="1474" w:bottom="1985" w:left="1588" w:header="851" w:footer="992" w:gutter="0"/>
          <w:pgNumType w:fmt="numberInDash"/>
          <w:cols w:space="0" w:num="1"/>
          <w:docGrid w:type="lines" w:linePitch="319" w:charSpace="0"/>
        </w:sectPr>
      </w:pPr>
    </w:p>
    <w:p w14:paraId="53011883">
      <w:pPr>
        <w:jc w:val="left"/>
        <w:rPr>
          <w:rFonts w:eastAsia="方正黑体_GBK"/>
          <w:bCs/>
          <w:szCs w:val="32"/>
        </w:rPr>
      </w:pPr>
      <w:r>
        <w:rPr>
          <w:rFonts w:eastAsia="方正黑体_GBK"/>
          <w:bCs/>
          <w:szCs w:val="32"/>
        </w:rPr>
        <w:t>附件4</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54"/>
        <w:gridCol w:w="628"/>
        <w:gridCol w:w="296"/>
        <w:gridCol w:w="528"/>
        <w:gridCol w:w="118"/>
        <w:gridCol w:w="566"/>
        <w:gridCol w:w="852"/>
        <w:gridCol w:w="420"/>
        <w:gridCol w:w="228"/>
        <w:gridCol w:w="1512"/>
        <w:gridCol w:w="1576"/>
      </w:tblGrid>
      <w:tr w14:paraId="48D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72" w:type="dxa"/>
            <w:gridSpan w:val="12"/>
            <w:tcBorders>
              <w:top w:val="nil"/>
              <w:left w:val="nil"/>
              <w:right w:val="nil"/>
            </w:tcBorders>
            <w:vAlign w:val="center"/>
          </w:tcPr>
          <w:p w14:paraId="548B3022">
            <w:pPr>
              <w:jc w:val="center"/>
              <w:rPr>
                <w:b/>
                <w:bCs/>
                <w:sz w:val="28"/>
                <w:szCs w:val="28"/>
              </w:rPr>
            </w:pPr>
            <w:r>
              <w:rPr>
                <w:b/>
                <w:bCs/>
                <w:sz w:val="28"/>
                <w:szCs w:val="28"/>
              </w:rPr>
              <w:t>肺结核患者休学诊断证明（参考）</w:t>
            </w:r>
          </w:p>
          <w:p w14:paraId="15F73A72">
            <w:pPr>
              <w:jc w:val="center"/>
              <w:rPr>
                <w:szCs w:val="32"/>
              </w:rPr>
            </w:pPr>
            <w:r>
              <w:rPr>
                <w:b/>
                <w:bCs/>
                <w:sz w:val="28"/>
                <w:szCs w:val="28"/>
              </w:rPr>
              <w:t>（正面）</w:t>
            </w:r>
          </w:p>
        </w:tc>
      </w:tr>
      <w:tr w14:paraId="7C11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Align w:val="center"/>
          </w:tcPr>
          <w:p w14:paraId="7AB145C8">
            <w:pPr>
              <w:ind w:right="64" w:rightChars="20"/>
              <w:rPr>
                <w:sz w:val="24"/>
              </w:rPr>
            </w:pPr>
            <w:r>
              <w:rPr>
                <w:sz w:val="24"/>
              </w:rPr>
              <w:t>姓名</w:t>
            </w:r>
          </w:p>
        </w:tc>
        <w:tc>
          <w:tcPr>
            <w:tcW w:w="1382" w:type="dxa"/>
            <w:gridSpan w:val="2"/>
            <w:vAlign w:val="center"/>
          </w:tcPr>
          <w:p w14:paraId="6111E865">
            <w:pPr>
              <w:ind w:right="64" w:rightChars="20"/>
              <w:rPr>
                <w:sz w:val="24"/>
              </w:rPr>
            </w:pPr>
          </w:p>
        </w:tc>
        <w:tc>
          <w:tcPr>
            <w:tcW w:w="824" w:type="dxa"/>
            <w:gridSpan w:val="2"/>
            <w:vAlign w:val="center"/>
          </w:tcPr>
          <w:p w14:paraId="6A6F4A36">
            <w:pPr>
              <w:ind w:right="64" w:rightChars="20"/>
              <w:rPr>
                <w:sz w:val="24"/>
              </w:rPr>
            </w:pPr>
            <w:r>
              <w:rPr>
                <w:sz w:val="24"/>
              </w:rPr>
              <w:t>性别</w:t>
            </w:r>
          </w:p>
        </w:tc>
        <w:tc>
          <w:tcPr>
            <w:tcW w:w="684" w:type="dxa"/>
            <w:gridSpan w:val="2"/>
            <w:vAlign w:val="center"/>
          </w:tcPr>
          <w:p w14:paraId="3FE3FF78">
            <w:pPr>
              <w:ind w:right="64" w:rightChars="20"/>
              <w:rPr>
                <w:sz w:val="24"/>
              </w:rPr>
            </w:pPr>
          </w:p>
        </w:tc>
        <w:tc>
          <w:tcPr>
            <w:tcW w:w="852" w:type="dxa"/>
            <w:vAlign w:val="center"/>
          </w:tcPr>
          <w:p w14:paraId="6DE4350B">
            <w:pPr>
              <w:ind w:right="64" w:rightChars="20"/>
              <w:rPr>
                <w:sz w:val="24"/>
              </w:rPr>
            </w:pPr>
            <w:r>
              <w:rPr>
                <w:sz w:val="24"/>
              </w:rPr>
              <w:t>年龄</w:t>
            </w:r>
          </w:p>
        </w:tc>
        <w:tc>
          <w:tcPr>
            <w:tcW w:w="648" w:type="dxa"/>
            <w:gridSpan w:val="2"/>
            <w:vAlign w:val="center"/>
          </w:tcPr>
          <w:p w14:paraId="42F9642D">
            <w:pPr>
              <w:ind w:right="64" w:rightChars="20"/>
            </w:pPr>
          </w:p>
        </w:tc>
        <w:tc>
          <w:tcPr>
            <w:tcW w:w="1512" w:type="dxa"/>
            <w:vAlign w:val="center"/>
          </w:tcPr>
          <w:p w14:paraId="7D381D92">
            <w:pPr>
              <w:ind w:right="64" w:rightChars="20"/>
              <w:rPr>
                <w:sz w:val="24"/>
              </w:rPr>
            </w:pPr>
            <w:r>
              <w:rPr>
                <w:sz w:val="24"/>
              </w:rPr>
              <w:t>身份证号码</w:t>
            </w:r>
          </w:p>
        </w:tc>
        <w:tc>
          <w:tcPr>
            <w:tcW w:w="1576" w:type="dxa"/>
            <w:vAlign w:val="center"/>
          </w:tcPr>
          <w:p w14:paraId="2418D992">
            <w:pPr>
              <w:ind w:right="64" w:rightChars="20"/>
            </w:pPr>
          </w:p>
        </w:tc>
      </w:tr>
      <w:tr w14:paraId="5912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2" w:type="dxa"/>
            <w:gridSpan w:val="4"/>
            <w:vAlign w:val="center"/>
          </w:tcPr>
          <w:p w14:paraId="1D48B99D">
            <w:pPr>
              <w:ind w:right="64" w:rightChars="20"/>
              <w:rPr>
                <w:sz w:val="24"/>
              </w:rPr>
            </w:pPr>
            <w:r>
              <w:rPr>
                <w:sz w:val="24"/>
              </w:rPr>
              <w:t>学校名称（具体到班级）及地址</w:t>
            </w:r>
          </w:p>
        </w:tc>
        <w:tc>
          <w:tcPr>
            <w:tcW w:w="5800" w:type="dxa"/>
            <w:gridSpan w:val="8"/>
            <w:vAlign w:val="center"/>
          </w:tcPr>
          <w:p w14:paraId="5E2A5B48">
            <w:pPr>
              <w:ind w:right="64" w:rightChars="20"/>
              <w:rPr>
                <w:sz w:val="24"/>
              </w:rPr>
            </w:pPr>
          </w:p>
        </w:tc>
      </w:tr>
      <w:tr w14:paraId="6446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2" w:type="dxa"/>
            <w:gridSpan w:val="4"/>
            <w:vAlign w:val="center"/>
          </w:tcPr>
          <w:p w14:paraId="6BABB41D">
            <w:pPr>
              <w:ind w:right="64" w:rightChars="20"/>
              <w:rPr>
                <w:sz w:val="24"/>
              </w:rPr>
            </w:pPr>
            <w:r>
              <w:rPr>
                <w:sz w:val="24"/>
              </w:rPr>
              <w:t>户籍地址</w:t>
            </w:r>
          </w:p>
        </w:tc>
        <w:tc>
          <w:tcPr>
            <w:tcW w:w="5800" w:type="dxa"/>
            <w:gridSpan w:val="8"/>
            <w:vAlign w:val="center"/>
          </w:tcPr>
          <w:p w14:paraId="2A571C80">
            <w:pPr>
              <w:ind w:right="64" w:rightChars="20"/>
              <w:rPr>
                <w:sz w:val="24"/>
              </w:rPr>
            </w:pPr>
          </w:p>
        </w:tc>
      </w:tr>
      <w:tr w14:paraId="491D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2" w:type="dxa"/>
            <w:gridSpan w:val="4"/>
            <w:vAlign w:val="center"/>
          </w:tcPr>
          <w:p w14:paraId="22E5D7E3">
            <w:pPr>
              <w:ind w:right="64" w:rightChars="20"/>
              <w:rPr>
                <w:sz w:val="24"/>
              </w:rPr>
            </w:pPr>
            <w:r>
              <w:rPr>
                <w:sz w:val="24"/>
              </w:rPr>
              <w:t>现住址</w:t>
            </w:r>
          </w:p>
        </w:tc>
        <w:tc>
          <w:tcPr>
            <w:tcW w:w="5800" w:type="dxa"/>
            <w:gridSpan w:val="8"/>
            <w:vAlign w:val="center"/>
          </w:tcPr>
          <w:p w14:paraId="2A17ED1C">
            <w:pPr>
              <w:ind w:right="64" w:rightChars="20"/>
              <w:rPr>
                <w:sz w:val="24"/>
              </w:rPr>
            </w:pPr>
          </w:p>
        </w:tc>
      </w:tr>
      <w:tr w14:paraId="7BD3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48" w:type="dxa"/>
            <w:gridSpan w:val="2"/>
            <w:vAlign w:val="center"/>
          </w:tcPr>
          <w:p w14:paraId="126AA028">
            <w:pPr>
              <w:ind w:right="64" w:rightChars="20"/>
              <w:rPr>
                <w:sz w:val="24"/>
              </w:rPr>
            </w:pPr>
            <w:r>
              <w:rPr>
                <w:sz w:val="24"/>
              </w:rPr>
              <w:t>本人联系电话</w:t>
            </w:r>
          </w:p>
        </w:tc>
        <w:tc>
          <w:tcPr>
            <w:tcW w:w="1570" w:type="dxa"/>
            <w:gridSpan w:val="4"/>
            <w:vAlign w:val="center"/>
          </w:tcPr>
          <w:p w14:paraId="2F231222">
            <w:pPr>
              <w:ind w:right="64" w:rightChars="20"/>
              <w:rPr>
                <w:sz w:val="24"/>
              </w:rPr>
            </w:pPr>
          </w:p>
        </w:tc>
        <w:tc>
          <w:tcPr>
            <w:tcW w:w="1838" w:type="dxa"/>
            <w:gridSpan w:val="3"/>
            <w:vAlign w:val="center"/>
          </w:tcPr>
          <w:p w14:paraId="62D61CA0">
            <w:pPr>
              <w:ind w:right="64" w:rightChars="20"/>
              <w:rPr>
                <w:sz w:val="24"/>
              </w:rPr>
            </w:pPr>
            <w:r>
              <w:rPr>
                <w:sz w:val="24"/>
              </w:rPr>
              <w:t>家长姓名</w:t>
            </w:r>
          </w:p>
          <w:p w14:paraId="25D63693">
            <w:pPr>
              <w:ind w:right="64" w:rightChars="20"/>
              <w:rPr>
                <w:sz w:val="24"/>
              </w:rPr>
            </w:pPr>
            <w:r>
              <w:rPr>
                <w:sz w:val="24"/>
              </w:rPr>
              <w:t>及联系电话</w:t>
            </w:r>
          </w:p>
        </w:tc>
        <w:tc>
          <w:tcPr>
            <w:tcW w:w="3316" w:type="dxa"/>
            <w:gridSpan w:val="3"/>
            <w:vAlign w:val="center"/>
          </w:tcPr>
          <w:p w14:paraId="4518E81B">
            <w:pPr>
              <w:ind w:right="64" w:rightChars="20"/>
            </w:pPr>
          </w:p>
        </w:tc>
      </w:tr>
      <w:tr w14:paraId="4F5D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48" w:type="dxa"/>
            <w:gridSpan w:val="2"/>
            <w:vAlign w:val="center"/>
          </w:tcPr>
          <w:p w14:paraId="35A4CD43">
            <w:pPr>
              <w:ind w:right="64" w:rightChars="20"/>
              <w:rPr>
                <w:sz w:val="24"/>
              </w:rPr>
            </w:pPr>
            <w:r>
              <w:rPr>
                <w:sz w:val="24"/>
              </w:rPr>
              <w:t>诊断日期</w:t>
            </w:r>
          </w:p>
        </w:tc>
        <w:tc>
          <w:tcPr>
            <w:tcW w:w="1570" w:type="dxa"/>
            <w:gridSpan w:val="4"/>
            <w:vAlign w:val="center"/>
          </w:tcPr>
          <w:p w14:paraId="3BC1CADE">
            <w:pPr>
              <w:ind w:right="64" w:rightChars="20"/>
              <w:rPr>
                <w:sz w:val="24"/>
              </w:rPr>
            </w:pPr>
          </w:p>
        </w:tc>
        <w:tc>
          <w:tcPr>
            <w:tcW w:w="1838" w:type="dxa"/>
            <w:gridSpan w:val="3"/>
            <w:vAlign w:val="center"/>
          </w:tcPr>
          <w:p w14:paraId="25B03F05">
            <w:pPr>
              <w:ind w:right="64" w:rightChars="20"/>
              <w:rPr>
                <w:sz w:val="24"/>
              </w:rPr>
            </w:pPr>
            <w:r>
              <w:rPr>
                <w:sz w:val="24"/>
              </w:rPr>
              <w:t>诊断结果</w:t>
            </w:r>
          </w:p>
        </w:tc>
        <w:tc>
          <w:tcPr>
            <w:tcW w:w="3316" w:type="dxa"/>
            <w:gridSpan w:val="3"/>
            <w:vAlign w:val="center"/>
          </w:tcPr>
          <w:p w14:paraId="00248F21">
            <w:pPr>
              <w:ind w:right="64" w:rightChars="20"/>
            </w:pPr>
          </w:p>
        </w:tc>
      </w:tr>
      <w:tr w14:paraId="6CB1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748" w:type="dxa"/>
            <w:gridSpan w:val="2"/>
            <w:vAlign w:val="center"/>
          </w:tcPr>
          <w:p w14:paraId="7957323A">
            <w:pPr>
              <w:ind w:right="64" w:rightChars="20"/>
              <w:rPr>
                <w:sz w:val="24"/>
              </w:rPr>
            </w:pPr>
            <w:r>
              <w:rPr>
                <w:sz w:val="24"/>
              </w:rPr>
              <w:t>是否已进行抗结核治疗</w:t>
            </w:r>
          </w:p>
        </w:tc>
        <w:tc>
          <w:tcPr>
            <w:tcW w:w="1570" w:type="dxa"/>
            <w:gridSpan w:val="4"/>
            <w:vAlign w:val="center"/>
          </w:tcPr>
          <w:p w14:paraId="2BF829B9">
            <w:pPr>
              <w:ind w:right="64" w:rightChars="20"/>
              <w:rPr>
                <w:sz w:val="24"/>
              </w:rPr>
            </w:pPr>
          </w:p>
        </w:tc>
        <w:tc>
          <w:tcPr>
            <w:tcW w:w="1838" w:type="dxa"/>
            <w:gridSpan w:val="3"/>
            <w:vAlign w:val="center"/>
          </w:tcPr>
          <w:p w14:paraId="781B0D13">
            <w:pPr>
              <w:ind w:right="64" w:rightChars="20"/>
              <w:rPr>
                <w:sz w:val="24"/>
              </w:rPr>
            </w:pPr>
            <w:r>
              <w:rPr>
                <w:sz w:val="24"/>
              </w:rPr>
              <w:t>若是，开始抗结核治疗的日期</w:t>
            </w:r>
          </w:p>
        </w:tc>
        <w:tc>
          <w:tcPr>
            <w:tcW w:w="3316" w:type="dxa"/>
            <w:gridSpan w:val="3"/>
            <w:vAlign w:val="center"/>
          </w:tcPr>
          <w:p w14:paraId="5ADF6731">
            <w:pPr>
              <w:ind w:right="64" w:rightChars="20"/>
            </w:pPr>
          </w:p>
        </w:tc>
      </w:tr>
      <w:tr w14:paraId="4D76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8472" w:type="dxa"/>
            <w:gridSpan w:val="12"/>
            <w:vAlign w:val="center"/>
          </w:tcPr>
          <w:p w14:paraId="4E98FCCE">
            <w:pPr>
              <w:ind w:right="64" w:rightChars="20"/>
              <w:rPr>
                <w:sz w:val="24"/>
              </w:rPr>
            </w:pPr>
          </w:p>
          <w:p w14:paraId="1F54CAF5">
            <w:pPr>
              <w:ind w:right="64" w:rightChars="20"/>
              <w:rPr>
                <w:sz w:val="24"/>
              </w:rPr>
            </w:pPr>
          </w:p>
          <w:p w14:paraId="0C7402E2">
            <w:pPr>
              <w:ind w:right="64" w:rightChars="20"/>
              <w:rPr>
                <w:sz w:val="24"/>
              </w:rPr>
            </w:pPr>
          </w:p>
          <w:p w14:paraId="19F75597">
            <w:pPr>
              <w:ind w:right="64" w:rightChars="20" w:firstLine="5280" w:firstLineChars="2200"/>
              <w:rPr>
                <w:sz w:val="24"/>
              </w:rPr>
            </w:pPr>
            <w:r>
              <w:rPr>
                <w:sz w:val="24"/>
              </w:rPr>
              <w:t>医师/诊疗专家组签名：</w:t>
            </w:r>
          </w:p>
          <w:p w14:paraId="42B7035F">
            <w:pPr>
              <w:ind w:right="64" w:rightChars="20" w:firstLine="5280" w:firstLineChars="2200"/>
              <w:rPr>
                <w:sz w:val="24"/>
              </w:rPr>
            </w:pPr>
            <w:r>
              <w:rPr>
                <w:sz w:val="24"/>
              </w:rPr>
              <w:t>诊疗单位（盖章）：</w:t>
            </w:r>
          </w:p>
          <w:p w14:paraId="0E1145A2">
            <w:pPr>
              <w:ind w:right="64" w:rightChars="20" w:firstLine="5280" w:firstLineChars="2200"/>
            </w:pPr>
            <w:r>
              <w:rPr>
                <w:sz w:val="24"/>
              </w:rPr>
              <w:t>年    月   日</w:t>
            </w:r>
          </w:p>
        </w:tc>
      </w:tr>
    </w:tbl>
    <w:p w14:paraId="25EA09A5">
      <w:pPr>
        <w:jc w:val="center"/>
        <w:rPr>
          <w:b/>
          <w:bCs/>
          <w:szCs w:val="32"/>
        </w:rPr>
      </w:pPr>
      <w:bookmarkStart w:id="30" w:name="_Toc13937_WPSOffice_Level1"/>
      <w:bookmarkStart w:id="31" w:name="_Toc21447_WPSOffice_Level2"/>
      <w:bookmarkStart w:id="32" w:name="_Toc6934_WPSOffice_Level2"/>
      <w:bookmarkStart w:id="33" w:name="_Toc11974_WPSOffice_Level1"/>
      <w:bookmarkStart w:id="34" w:name="_Toc1758_WPSOffice_Level1"/>
      <w:bookmarkStart w:id="35" w:name="_Toc27589_WPSOffice_Level1"/>
      <w:bookmarkStart w:id="36" w:name="_Toc30445_WPSOffice_Level1"/>
      <w:bookmarkStart w:id="37" w:name="_Toc18534_WPSOffice_Level1"/>
      <w:bookmarkStart w:id="38" w:name="_Toc29502_WPSOffice_Level1"/>
    </w:p>
    <w:bookmarkEnd w:id="30"/>
    <w:bookmarkEnd w:id="31"/>
    <w:bookmarkEnd w:id="32"/>
    <w:bookmarkEnd w:id="33"/>
    <w:bookmarkEnd w:id="34"/>
    <w:bookmarkEnd w:id="35"/>
    <w:bookmarkEnd w:id="36"/>
    <w:bookmarkEnd w:id="37"/>
    <w:bookmarkEnd w:id="38"/>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7FD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72" w:type="dxa"/>
            <w:tcBorders>
              <w:top w:val="nil"/>
              <w:left w:val="nil"/>
              <w:right w:val="nil"/>
            </w:tcBorders>
            <w:vAlign w:val="center"/>
          </w:tcPr>
          <w:p w14:paraId="6D00AA2E">
            <w:pPr>
              <w:jc w:val="center"/>
              <w:rPr>
                <w:b/>
                <w:bCs/>
                <w:sz w:val="28"/>
                <w:szCs w:val="28"/>
              </w:rPr>
            </w:pPr>
            <w:r>
              <w:rPr>
                <w:b/>
                <w:bCs/>
                <w:sz w:val="28"/>
                <w:szCs w:val="28"/>
              </w:rPr>
              <w:t>肺结核患者休学诊断证明（参考）</w:t>
            </w:r>
          </w:p>
          <w:p w14:paraId="190B9AD8">
            <w:pPr>
              <w:jc w:val="center"/>
              <w:rPr>
                <w:szCs w:val="32"/>
              </w:rPr>
            </w:pPr>
            <w:r>
              <w:rPr>
                <w:b/>
                <w:bCs/>
                <w:sz w:val="28"/>
                <w:szCs w:val="28"/>
              </w:rPr>
              <w:t>（背面）</w:t>
            </w:r>
          </w:p>
        </w:tc>
      </w:tr>
      <w:tr w14:paraId="760F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8472" w:type="dxa"/>
            <w:vAlign w:val="center"/>
          </w:tcPr>
          <w:p w14:paraId="13D17520">
            <w:pPr>
              <w:ind w:right="64" w:rightChars="20"/>
              <w:rPr>
                <w:sz w:val="24"/>
              </w:rPr>
            </w:pPr>
            <w:r>
              <w:rPr>
                <w:sz w:val="24"/>
              </w:rPr>
              <w:t>复学条件告知：</w:t>
            </w:r>
          </w:p>
          <w:p w14:paraId="6A8488A9">
            <w:pPr>
              <w:ind w:right="64" w:rightChars="20"/>
              <w:rPr>
                <w:sz w:val="24"/>
              </w:rPr>
            </w:pPr>
            <w:r>
              <w:rPr>
                <w:sz w:val="24"/>
              </w:rPr>
              <w:t>（1）普通肺结核复学管理。患者经过规范治疗，病情好转,达到下列复学标准，由学校校区所在地结核病定点医疗机构的医生核实患者治疗情况后开具复学诊断证明，建议复学，并注明后续治疗管理措施和要求。学校凭复学诊断证明为学生办理复学手续并督促学生落实后续治疗管理措施。</w:t>
            </w:r>
          </w:p>
          <w:p w14:paraId="0A972547">
            <w:pPr>
              <w:ind w:right="64" w:rightChars="20"/>
              <w:rPr>
                <w:sz w:val="24"/>
              </w:rPr>
            </w:pPr>
            <w:r>
              <w:rPr>
                <w:rFonts w:ascii="Cambria Math" w:hAnsi="Cambria Math" w:cs="Cambria Math"/>
                <w:sz w:val="24"/>
              </w:rPr>
              <w:t>①</w:t>
            </w:r>
            <w:r>
              <w:rPr>
                <w:sz w:val="24"/>
              </w:rPr>
              <w:t>病原学阳性肺结核患者以及重症病原学阴性肺结核患者（包括有空洞/大片干酪状坏死病灶/粟粒性肺结核等）经过规范治疗完成全疗程，达到治愈或完成治疗的标准。</w:t>
            </w:r>
          </w:p>
          <w:p w14:paraId="74EDE8DB">
            <w:pPr>
              <w:ind w:right="64" w:rightChars="20"/>
              <w:rPr>
                <w:sz w:val="24"/>
              </w:rPr>
            </w:pPr>
            <w:r>
              <w:rPr>
                <w:rFonts w:ascii="Cambria Math" w:hAnsi="Cambria Math" w:cs="Cambria Math"/>
                <w:sz w:val="24"/>
              </w:rPr>
              <w:t>②</w:t>
            </w:r>
            <w:r>
              <w:rPr>
                <w:sz w:val="24"/>
              </w:rPr>
              <w:t>其他病原学阴性肺结核患者经过2个月的规范治疗后，症状减轻或消失，胸部X光片病灶明显吸收；自治疗3月末起，至少两次涂片检查均阴性且至少一次结核分枝杆菌培养检查为阴性（每次检查的间隔时间至少满1个月)。如遇特殊情况的患者，需由当地结核病诊断专家组综合判定。</w:t>
            </w:r>
          </w:p>
          <w:p w14:paraId="2793774C">
            <w:pPr>
              <w:ind w:right="64" w:rightChars="20"/>
              <w:rPr>
                <w:sz w:val="24"/>
              </w:rPr>
            </w:pPr>
            <w:r>
              <w:rPr>
                <w:sz w:val="24"/>
              </w:rPr>
              <w:t>（2）耐利福平、耐多药/广泛耐药肺结核患者复学管理。耐多药患者和利福平耐药患者经过规范治疗，达到治愈或治疗成功标准后，方可复学。耐多药肺结核患者复学证明由患者治疗的耐药定点医疗机构开具，学校校区所在疾病预防控制机构审核备案。</w:t>
            </w:r>
          </w:p>
          <w:p w14:paraId="457631A3">
            <w:pPr>
              <w:ind w:right="64" w:rightChars="20"/>
              <w:rPr>
                <w:sz w:val="24"/>
              </w:rPr>
            </w:pPr>
            <w:r>
              <w:rPr>
                <w:sz w:val="24"/>
              </w:rPr>
              <w:t>3.教职员工肺结核患者的休、复课管理，可参照学生休、复学管理要求执行。</w:t>
            </w:r>
          </w:p>
          <w:p w14:paraId="0F848E0D">
            <w:pPr>
              <w:ind w:right="64" w:rightChars="20"/>
              <w:rPr>
                <w:sz w:val="24"/>
              </w:rPr>
            </w:pPr>
          </w:p>
          <w:p w14:paraId="6C012163">
            <w:pPr>
              <w:ind w:right="64" w:rightChars="20"/>
              <w:rPr>
                <w:sz w:val="24"/>
              </w:rPr>
            </w:pPr>
          </w:p>
          <w:p w14:paraId="31680938">
            <w:pPr>
              <w:ind w:right="64" w:rightChars="20" w:firstLine="5280" w:firstLineChars="2200"/>
              <w:rPr>
                <w:sz w:val="24"/>
              </w:rPr>
            </w:pPr>
            <w:r>
              <w:rPr>
                <w:sz w:val="24"/>
              </w:rPr>
              <w:t>医师/诊疗专家组签名：</w:t>
            </w:r>
          </w:p>
          <w:p w14:paraId="743FCA60">
            <w:pPr>
              <w:ind w:right="64" w:rightChars="20" w:firstLine="5280" w:firstLineChars="2200"/>
              <w:rPr>
                <w:sz w:val="24"/>
              </w:rPr>
            </w:pPr>
            <w:r>
              <w:rPr>
                <w:sz w:val="24"/>
              </w:rPr>
              <w:t>诊疗单位（盖章）：</w:t>
            </w:r>
          </w:p>
          <w:p w14:paraId="55F6437F">
            <w:pPr>
              <w:ind w:right="64" w:rightChars="20" w:firstLine="5280" w:firstLineChars="2200"/>
            </w:pPr>
            <w:r>
              <w:rPr>
                <w:sz w:val="24"/>
              </w:rPr>
              <w:t>年    月   日</w:t>
            </w:r>
          </w:p>
        </w:tc>
      </w:tr>
    </w:tbl>
    <w:p w14:paraId="41199203">
      <w:pPr>
        <w:jc w:val="left"/>
        <w:rPr>
          <w:rFonts w:eastAsia="方正黑体_GBK"/>
          <w:bCs/>
          <w:szCs w:val="32"/>
        </w:rPr>
      </w:pPr>
    </w:p>
    <w:p w14:paraId="7317B3F0">
      <w:pPr>
        <w:jc w:val="left"/>
        <w:rPr>
          <w:rFonts w:eastAsia="方正黑体_GBK"/>
          <w:bCs/>
          <w:szCs w:val="32"/>
        </w:rPr>
      </w:pPr>
    </w:p>
    <w:p w14:paraId="58909015">
      <w:pPr>
        <w:jc w:val="left"/>
        <w:rPr>
          <w:rFonts w:eastAsia="方正黑体_GBK"/>
          <w:bCs/>
          <w:szCs w:val="32"/>
        </w:rPr>
      </w:pPr>
    </w:p>
    <w:p w14:paraId="1C2ACC5B">
      <w:pPr>
        <w:jc w:val="left"/>
        <w:rPr>
          <w:rFonts w:eastAsia="方正黑体_GBK"/>
          <w:bCs/>
          <w:szCs w:val="32"/>
        </w:rPr>
      </w:pPr>
    </w:p>
    <w:p w14:paraId="5D5750F0">
      <w:pPr>
        <w:jc w:val="left"/>
        <w:rPr>
          <w:rFonts w:eastAsia="方正黑体_GBK"/>
          <w:bCs/>
          <w:szCs w:val="32"/>
        </w:rPr>
      </w:pPr>
    </w:p>
    <w:p w14:paraId="76CE118F">
      <w:pPr>
        <w:jc w:val="left"/>
        <w:rPr>
          <w:rFonts w:eastAsia="方正黑体_GBK"/>
          <w:bCs/>
          <w:szCs w:val="32"/>
        </w:rPr>
      </w:pPr>
    </w:p>
    <w:p w14:paraId="3D5CA699">
      <w:pPr>
        <w:jc w:val="left"/>
        <w:rPr>
          <w:rFonts w:eastAsia="方正黑体_GBK"/>
          <w:bCs/>
          <w:szCs w:val="32"/>
        </w:rPr>
      </w:pPr>
    </w:p>
    <w:p w14:paraId="39E4B964">
      <w:pPr>
        <w:pStyle w:val="2"/>
      </w:pPr>
    </w:p>
    <w:p w14:paraId="355EE6DF">
      <w:pPr>
        <w:jc w:val="left"/>
        <w:rPr>
          <w:rFonts w:eastAsia="方正黑体_GBK"/>
          <w:bCs/>
          <w:szCs w:val="32"/>
        </w:rPr>
      </w:pPr>
      <w:r>
        <w:rPr>
          <w:rFonts w:eastAsia="方正黑体_GBK"/>
          <w:bCs/>
          <w:szCs w:val="32"/>
        </w:rPr>
        <w:t>附件5</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513"/>
        <w:gridCol w:w="744"/>
        <w:gridCol w:w="772"/>
        <w:gridCol w:w="425"/>
        <w:gridCol w:w="283"/>
        <w:gridCol w:w="709"/>
        <w:gridCol w:w="1531"/>
        <w:gridCol w:w="1638"/>
      </w:tblGrid>
      <w:tr w14:paraId="7F2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22" w:type="dxa"/>
            <w:gridSpan w:val="9"/>
            <w:tcBorders>
              <w:top w:val="nil"/>
              <w:left w:val="nil"/>
              <w:right w:val="nil"/>
            </w:tcBorders>
            <w:vAlign w:val="center"/>
          </w:tcPr>
          <w:p w14:paraId="419C469C">
            <w:pPr>
              <w:jc w:val="center"/>
              <w:rPr>
                <w:b/>
                <w:bCs/>
                <w:szCs w:val="32"/>
              </w:rPr>
            </w:pPr>
            <w:r>
              <w:rPr>
                <w:b/>
                <w:bCs/>
                <w:sz w:val="28"/>
                <w:szCs w:val="28"/>
              </w:rPr>
              <w:t>肺结核患者复学诊断证明（参考）</w:t>
            </w:r>
          </w:p>
        </w:tc>
      </w:tr>
      <w:tr w14:paraId="40C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7" w:type="dxa"/>
            <w:vAlign w:val="center"/>
          </w:tcPr>
          <w:p w14:paraId="1C016DA3">
            <w:pPr>
              <w:jc w:val="center"/>
              <w:rPr>
                <w:sz w:val="24"/>
              </w:rPr>
            </w:pPr>
            <w:r>
              <w:rPr>
                <w:sz w:val="24"/>
              </w:rPr>
              <w:t>姓名</w:t>
            </w:r>
          </w:p>
        </w:tc>
        <w:tc>
          <w:tcPr>
            <w:tcW w:w="1513" w:type="dxa"/>
            <w:vAlign w:val="center"/>
          </w:tcPr>
          <w:p w14:paraId="1D5ED7E5">
            <w:pPr>
              <w:jc w:val="center"/>
              <w:rPr>
                <w:sz w:val="24"/>
              </w:rPr>
            </w:pPr>
          </w:p>
        </w:tc>
        <w:tc>
          <w:tcPr>
            <w:tcW w:w="744" w:type="dxa"/>
            <w:vAlign w:val="center"/>
          </w:tcPr>
          <w:p w14:paraId="06ED23C8">
            <w:pPr>
              <w:jc w:val="center"/>
              <w:rPr>
                <w:sz w:val="24"/>
              </w:rPr>
            </w:pPr>
            <w:r>
              <w:rPr>
                <w:sz w:val="24"/>
              </w:rPr>
              <w:t>性别</w:t>
            </w:r>
          </w:p>
        </w:tc>
        <w:tc>
          <w:tcPr>
            <w:tcW w:w="772" w:type="dxa"/>
            <w:vAlign w:val="center"/>
          </w:tcPr>
          <w:p w14:paraId="789A04B7">
            <w:pPr>
              <w:jc w:val="center"/>
              <w:rPr>
                <w:sz w:val="24"/>
              </w:rPr>
            </w:pPr>
          </w:p>
        </w:tc>
        <w:tc>
          <w:tcPr>
            <w:tcW w:w="708" w:type="dxa"/>
            <w:gridSpan w:val="2"/>
            <w:vAlign w:val="center"/>
          </w:tcPr>
          <w:p w14:paraId="63D36962">
            <w:pPr>
              <w:jc w:val="center"/>
              <w:rPr>
                <w:sz w:val="24"/>
              </w:rPr>
            </w:pPr>
            <w:r>
              <w:rPr>
                <w:sz w:val="24"/>
              </w:rPr>
              <w:t>年龄</w:t>
            </w:r>
          </w:p>
        </w:tc>
        <w:tc>
          <w:tcPr>
            <w:tcW w:w="709" w:type="dxa"/>
            <w:vAlign w:val="center"/>
          </w:tcPr>
          <w:p w14:paraId="387C9A29">
            <w:pPr>
              <w:jc w:val="center"/>
              <w:rPr>
                <w:sz w:val="24"/>
              </w:rPr>
            </w:pPr>
          </w:p>
        </w:tc>
        <w:tc>
          <w:tcPr>
            <w:tcW w:w="1531" w:type="dxa"/>
            <w:vAlign w:val="center"/>
          </w:tcPr>
          <w:p w14:paraId="5514B2F4">
            <w:pPr>
              <w:jc w:val="center"/>
              <w:rPr>
                <w:sz w:val="24"/>
              </w:rPr>
            </w:pPr>
            <w:r>
              <w:rPr>
                <w:sz w:val="24"/>
              </w:rPr>
              <w:t>身份证号码</w:t>
            </w:r>
          </w:p>
        </w:tc>
        <w:tc>
          <w:tcPr>
            <w:tcW w:w="1638" w:type="dxa"/>
            <w:vAlign w:val="center"/>
          </w:tcPr>
          <w:p w14:paraId="311CF4F0">
            <w:pPr>
              <w:jc w:val="center"/>
              <w:rPr>
                <w:sz w:val="24"/>
              </w:rPr>
            </w:pPr>
          </w:p>
        </w:tc>
      </w:tr>
      <w:tr w14:paraId="38D5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20" w:type="dxa"/>
            <w:gridSpan w:val="2"/>
            <w:vAlign w:val="center"/>
          </w:tcPr>
          <w:p w14:paraId="11CF41B5">
            <w:pPr>
              <w:jc w:val="left"/>
              <w:rPr>
                <w:sz w:val="24"/>
              </w:rPr>
            </w:pPr>
            <w:r>
              <w:rPr>
                <w:sz w:val="24"/>
              </w:rPr>
              <w:t>学校名称（具体到班级）及地址</w:t>
            </w:r>
          </w:p>
        </w:tc>
        <w:tc>
          <w:tcPr>
            <w:tcW w:w="6102" w:type="dxa"/>
            <w:gridSpan w:val="7"/>
            <w:vAlign w:val="center"/>
          </w:tcPr>
          <w:p w14:paraId="04047A23">
            <w:pPr>
              <w:jc w:val="center"/>
              <w:rPr>
                <w:sz w:val="24"/>
              </w:rPr>
            </w:pPr>
          </w:p>
        </w:tc>
      </w:tr>
      <w:tr w14:paraId="0AD4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20" w:type="dxa"/>
            <w:gridSpan w:val="2"/>
            <w:vAlign w:val="center"/>
          </w:tcPr>
          <w:p w14:paraId="3F6063E1">
            <w:pPr>
              <w:jc w:val="left"/>
              <w:rPr>
                <w:sz w:val="24"/>
              </w:rPr>
            </w:pPr>
            <w:r>
              <w:rPr>
                <w:sz w:val="24"/>
              </w:rPr>
              <w:t>户籍地址</w:t>
            </w:r>
          </w:p>
        </w:tc>
        <w:tc>
          <w:tcPr>
            <w:tcW w:w="6102" w:type="dxa"/>
            <w:gridSpan w:val="7"/>
            <w:vAlign w:val="center"/>
          </w:tcPr>
          <w:p w14:paraId="7B1D7C80">
            <w:pPr>
              <w:jc w:val="center"/>
              <w:rPr>
                <w:sz w:val="24"/>
              </w:rPr>
            </w:pPr>
          </w:p>
        </w:tc>
      </w:tr>
      <w:tr w14:paraId="27CF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420" w:type="dxa"/>
            <w:gridSpan w:val="2"/>
            <w:vAlign w:val="center"/>
          </w:tcPr>
          <w:p w14:paraId="124E7433">
            <w:pPr>
              <w:jc w:val="left"/>
              <w:rPr>
                <w:sz w:val="24"/>
              </w:rPr>
            </w:pPr>
            <w:r>
              <w:rPr>
                <w:sz w:val="24"/>
              </w:rPr>
              <w:t>现住址</w:t>
            </w:r>
          </w:p>
        </w:tc>
        <w:tc>
          <w:tcPr>
            <w:tcW w:w="6102" w:type="dxa"/>
            <w:gridSpan w:val="7"/>
            <w:vAlign w:val="center"/>
          </w:tcPr>
          <w:p w14:paraId="50363321">
            <w:pPr>
              <w:jc w:val="center"/>
              <w:rPr>
                <w:sz w:val="24"/>
              </w:rPr>
            </w:pPr>
          </w:p>
        </w:tc>
      </w:tr>
      <w:tr w14:paraId="7941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20" w:type="dxa"/>
            <w:gridSpan w:val="2"/>
            <w:vAlign w:val="center"/>
          </w:tcPr>
          <w:p w14:paraId="58DC3EEF">
            <w:pPr>
              <w:jc w:val="left"/>
              <w:rPr>
                <w:sz w:val="24"/>
              </w:rPr>
            </w:pPr>
            <w:r>
              <w:rPr>
                <w:sz w:val="24"/>
              </w:rPr>
              <w:t>本人联系电话</w:t>
            </w:r>
          </w:p>
        </w:tc>
        <w:tc>
          <w:tcPr>
            <w:tcW w:w="1941" w:type="dxa"/>
            <w:gridSpan w:val="3"/>
            <w:vAlign w:val="center"/>
          </w:tcPr>
          <w:p w14:paraId="3A474404">
            <w:pPr>
              <w:jc w:val="center"/>
              <w:rPr>
                <w:sz w:val="24"/>
              </w:rPr>
            </w:pPr>
          </w:p>
        </w:tc>
        <w:tc>
          <w:tcPr>
            <w:tcW w:w="2523" w:type="dxa"/>
            <w:gridSpan w:val="3"/>
            <w:vAlign w:val="center"/>
          </w:tcPr>
          <w:p w14:paraId="33E11D0B">
            <w:pPr>
              <w:jc w:val="center"/>
              <w:rPr>
                <w:sz w:val="24"/>
              </w:rPr>
            </w:pPr>
            <w:r>
              <w:rPr>
                <w:sz w:val="24"/>
              </w:rPr>
              <w:t>家长姓名及联系电话</w:t>
            </w:r>
          </w:p>
        </w:tc>
        <w:tc>
          <w:tcPr>
            <w:tcW w:w="1638" w:type="dxa"/>
            <w:vAlign w:val="center"/>
          </w:tcPr>
          <w:p w14:paraId="22C445A7">
            <w:pPr>
              <w:jc w:val="center"/>
              <w:rPr>
                <w:sz w:val="24"/>
              </w:rPr>
            </w:pPr>
          </w:p>
        </w:tc>
      </w:tr>
      <w:tr w14:paraId="1D7C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Align w:val="center"/>
          </w:tcPr>
          <w:p w14:paraId="2B96073D">
            <w:pPr>
              <w:jc w:val="left"/>
              <w:rPr>
                <w:sz w:val="24"/>
              </w:rPr>
            </w:pPr>
            <w:r>
              <w:rPr>
                <w:sz w:val="24"/>
              </w:rPr>
              <w:t>治疗前诊断结果</w:t>
            </w:r>
          </w:p>
        </w:tc>
        <w:tc>
          <w:tcPr>
            <w:tcW w:w="6102" w:type="dxa"/>
            <w:gridSpan w:val="7"/>
            <w:vAlign w:val="center"/>
          </w:tcPr>
          <w:p w14:paraId="4EB5838A">
            <w:pPr>
              <w:jc w:val="center"/>
              <w:rPr>
                <w:sz w:val="24"/>
              </w:rPr>
            </w:pPr>
          </w:p>
        </w:tc>
      </w:tr>
      <w:tr w14:paraId="6A9D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Align w:val="center"/>
          </w:tcPr>
          <w:p w14:paraId="6B2B536A">
            <w:pPr>
              <w:jc w:val="left"/>
              <w:rPr>
                <w:sz w:val="24"/>
              </w:rPr>
            </w:pPr>
            <w:r>
              <w:rPr>
                <w:sz w:val="24"/>
              </w:rPr>
              <w:t>开始抗结核治疗日期</w:t>
            </w:r>
          </w:p>
        </w:tc>
        <w:tc>
          <w:tcPr>
            <w:tcW w:w="6102" w:type="dxa"/>
            <w:gridSpan w:val="7"/>
            <w:vAlign w:val="center"/>
          </w:tcPr>
          <w:p w14:paraId="282109CF">
            <w:pPr>
              <w:jc w:val="center"/>
              <w:rPr>
                <w:sz w:val="24"/>
              </w:rPr>
            </w:pPr>
          </w:p>
        </w:tc>
      </w:tr>
      <w:tr w14:paraId="5570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Merge w:val="restart"/>
            <w:vAlign w:val="center"/>
          </w:tcPr>
          <w:p w14:paraId="6B0EB575">
            <w:pPr>
              <w:jc w:val="left"/>
              <w:rPr>
                <w:sz w:val="24"/>
              </w:rPr>
            </w:pPr>
            <w:r>
              <w:rPr>
                <w:sz w:val="24"/>
              </w:rPr>
              <w:t>治疗肺结核的医疗机构名称及治疗时间</w:t>
            </w:r>
          </w:p>
        </w:tc>
        <w:tc>
          <w:tcPr>
            <w:tcW w:w="6102" w:type="dxa"/>
            <w:gridSpan w:val="7"/>
            <w:vAlign w:val="center"/>
          </w:tcPr>
          <w:p w14:paraId="43DD74BD">
            <w:pPr>
              <w:rPr>
                <w:sz w:val="24"/>
              </w:rPr>
            </w:pPr>
            <w:r>
              <w:rPr>
                <w:sz w:val="24"/>
              </w:rPr>
              <w:t>医疗机构1：           ，治疗起止日期：</w:t>
            </w:r>
          </w:p>
        </w:tc>
      </w:tr>
      <w:tr w14:paraId="5C6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Merge w:val="continue"/>
            <w:vAlign w:val="center"/>
          </w:tcPr>
          <w:p w14:paraId="1446443C">
            <w:pPr>
              <w:rPr>
                <w:sz w:val="24"/>
              </w:rPr>
            </w:pPr>
          </w:p>
        </w:tc>
        <w:tc>
          <w:tcPr>
            <w:tcW w:w="6102" w:type="dxa"/>
            <w:gridSpan w:val="7"/>
            <w:vAlign w:val="center"/>
          </w:tcPr>
          <w:p w14:paraId="69CB7CBA">
            <w:pPr>
              <w:rPr>
                <w:sz w:val="24"/>
              </w:rPr>
            </w:pPr>
            <w:r>
              <w:rPr>
                <w:sz w:val="24"/>
              </w:rPr>
              <w:t>医疗机构2：           ，治疗起止日期：</w:t>
            </w:r>
          </w:p>
        </w:tc>
      </w:tr>
      <w:tr w14:paraId="375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Merge w:val="continue"/>
            <w:vAlign w:val="center"/>
          </w:tcPr>
          <w:p w14:paraId="79F8C64B">
            <w:pPr>
              <w:rPr>
                <w:sz w:val="24"/>
              </w:rPr>
            </w:pPr>
          </w:p>
        </w:tc>
        <w:tc>
          <w:tcPr>
            <w:tcW w:w="6102" w:type="dxa"/>
            <w:gridSpan w:val="7"/>
            <w:vAlign w:val="center"/>
          </w:tcPr>
          <w:p w14:paraId="757F8AF9">
            <w:pPr>
              <w:rPr>
                <w:sz w:val="24"/>
              </w:rPr>
            </w:pPr>
            <w:r>
              <w:rPr>
                <w:sz w:val="24"/>
              </w:rPr>
              <w:t>医疗机构3：           ，治疗起止日期：</w:t>
            </w:r>
          </w:p>
        </w:tc>
      </w:tr>
      <w:tr w14:paraId="058A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522" w:type="dxa"/>
            <w:gridSpan w:val="9"/>
            <w:vAlign w:val="center"/>
          </w:tcPr>
          <w:p w14:paraId="3F73F741">
            <w:pPr>
              <w:spacing w:line="276" w:lineRule="auto"/>
              <w:ind w:firstLine="400"/>
              <w:rPr>
                <w:sz w:val="24"/>
              </w:rPr>
            </w:pPr>
            <w:r>
              <w:rPr>
                <w:sz w:val="24"/>
              </w:rPr>
              <w:t>根据相关要求，</w:t>
            </w:r>
            <w:r>
              <w:rPr>
                <w:b/>
                <w:bCs/>
                <w:sz w:val="24"/>
              </w:rPr>
              <w:t>该患者符合下述复学条件，建议复学：</w:t>
            </w:r>
          </w:p>
          <w:p w14:paraId="733CE209">
            <w:pPr>
              <w:spacing w:line="276" w:lineRule="auto"/>
              <w:ind w:firstLine="400"/>
              <w:rPr>
                <w:sz w:val="24"/>
              </w:rPr>
            </w:pPr>
            <w:r>
              <w:rPr>
                <w:sz w:val="24"/>
              </w:rPr>
              <w:t>□病原学阳性肺结核患者以及重症病原学阴性肺结核患者（包括有空洞/大片干酪状坏死病灶/粟粒性肺结核等）经过规范治疗完成全疗程，达到治愈或治疗成功的标准。</w:t>
            </w:r>
          </w:p>
          <w:p w14:paraId="55676D50">
            <w:pPr>
              <w:spacing w:line="276" w:lineRule="auto"/>
              <w:ind w:firstLine="400"/>
              <w:rPr>
                <w:sz w:val="24"/>
              </w:rPr>
            </w:pPr>
            <w:r>
              <w:rPr>
                <w:sz w:val="24"/>
              </w:rPr>
              <w:t>□其他病原学阴性肺结核患者经过2个月的规范治疗后，症状减轻或消失，胸部X光片病灶明显吸收，治疗3月末、4月末涂片检查均阴性，并且至少一次结核分枝杆菌培养检查为阴性(每次涂片检查的间隔时间至少满1个月)。</w:t>
            </w:r>
          </w:p>
          <w:p w14:paraId="29A54713">
            <w:pPr>
              <w:spacing w:line="276" w:lineRule="auto"/>
              <w:ind w:firstLine="402"/>
              <w:rPr>
                <w:b/>
                <w:bCs/>
                <w:sz w:val="24"/>
              </w:rPr>
            </w:pPr>
            <w:r>
              <w:rPr>
                <w:b/>
                <w:bCs/>
                <w:sz w:val="24"/>
              </w:rPr>
              <w:t>后续措施和要求：</w:t>
            </w:r>
          </w:p>
          <w:p w14:paraId="22BF97E0">
            <w:pPr>
              <w:spacing w:line="276" w:lineRule="auto"/>
              <w:ind w:firstLine="400"/>
              <w:rPr>
                <w:sz w:val="24"/>
              </w:rPr>
            </w:pPr>
            <w:r>
              <w:rPr>
                <w:sz w:val="24"/>
              </w:rPr>
              <w:t>□学校校医或班主任应当协助医疗卫生机构督促患者按时服药并定期复查。</w:t>
            </w:r>
          </w:p>
          <w:p w14:paraId="3F2149AB">
            <w:pPr>
              <w:spacing w:line="276" w:lineRule="auto"/>
              <w:ind w:firstLine="400"/>
              <w:rPr>
                <w:sz w:val="24"/>
              </w:rPr>
            </w:pPr>
            <w:r>
              <w:rPr>
                <w:sz w:val="24"/>
              </w:rPr>
              <w:t>□加强对患者的健康教育。</w:t>
            </w:r>
          </w:p>
          <w:p w14:paraId="00BE4072">
            <w:pPr>
              <w:spacing w:line="276" w:lineRule="auto"/>
              <w:ind w:firstLine="400"/>
              <w:rPr>
                <w:sz w:val="24"/>
              </w:rPr>
            </w:pPr>
            <w:r>
              <w:rPr>
                <w:sz w:val="24"/>
              </w:rPr>
              <w:t>□一旦出现病情恶化，须立即就医。</w:t>
            </w:r>
          </w:p>
          <w:p w14:paraId="0FB0775E">
            <w:pPr>
              <w:spacing w:line="276" w:lineRule="auto"/>
              <w:ind w:firstLine="400"/>
              <w:rPr>
                <w:sz w:val="24"/>
              </w:rPr>
            </w:pPr>
            <w:r>
              <w:rPr>
                <w:sz w:val="24"/>
              </w:rPr>
              <w:t>□其他：</w:t>
            </w:r>
            <w:r>
              <w:rPr>
                <w:sz w:val="24"/>
                <w:u w:val="single"/>
              </w:rPr>
              <w:t xml:space="preserve">                                </w:t>
            </w:r>
          </w:p>
          <w:p w14:paraId="1C5EBCA4">
            <w:pPr>
              <w:spacing w:line="276" w:lineRule="auto"/>
              <w:ind w:firstLine="4320" w:firstLineChars="1800"/>
              <w:rPr>
                <w:sz w:val="24"/>
              </w:rPr>
            </w:pPr>
          </w:p>
          <w:p w14:paraId="26327F63">
            <w:pPr>
              <w:spacing w:line="276" w:lineRule="auto"/>
              <w:ind w:firstLine="4320" w:firstLineChars="1800"/>
              <w:rPr>
                <w:sz w:val="24"/>
              </w:rPr>
            </w:pPr>
            <w:r>
              <w:rPr>
                <w:sz w:val="24"/>
              </w:rPr>
              <w:t>医师/诊疗专家组签名：</w:t>
            </w:r>
          </w:p>
          <w:p w14:paraId="6BC7329D">
            <w:pPr>
              <w:spacing w:line="276" w:lineRule="auto"/>
              <w:ind w:firstLine="4320" w:firstLineChars="1800"/>
              <w:rPr>
                <w:sz w:val="24"/>
              </w:rPr>
            </w:pPr>
            <w:r>
              <w:rPr>
                <w:sz w:val="24"/>
              </w:rPr>
              <w:t>诊疗单位 （盖章）：</w:t>
            </w:r>
          </w:p>
          <w:p w14:paraId="1379D704">
            <w:pPr>
              <w:spacing w:line="276" w:lineRule="auto"/>
              <w:ind w:firstLine="4800" w:firstLineChars="2000"/>
              <w:rPr>
                <w:sz w:val="24"/>
              </w:rPr>
            </w:pPr>
            <w:r>
              <w:rPr>
                <w:sz w:val="24"/>
              </w:rPr>
              <w:t>年   月   日</w:t>
            </w:r>
          </w:p>
        </w:tc>
      </w:tr>
    </w:tbl>
    <w:p w14:paraId="711CCF16">
      <w:pPr>
        <w:rPr>
          <w:highlight w:val="yellow"/>
        </w:rPr>
      </w:pPr>
    </w:p>
    <w:p w14:paraId="3A9B373A">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GBK">
    <w:altName w:val="仿宋"/>
    <w:panose1 w:val="00000000000000000000"/>
    <w:charset w:val="00"/>
    <w:family w:val="auto"/>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968824"/>
    </w:sdtPr>
    <w:sdtEndPr>
      <w:rPr>
        <w:rFonts w:hint="eastAsia" w:ascii="方正仿宋_GBK" w:eastAsia="方正仿宋_GBK"/>
        <w:sz w:val="28"/>
        <w:szCs w:val="28"/>
      </w:rPr>
    </w:sdtEndPr>
    <w:sdtContent>
      <w:p w14:paraId="1AE84BA4">
        <w:pPr>
          <w:pStyle w:val="3"/>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19 -</w:t>
        </w:r>
        <w:r>
          <w:rPr>
            <w:rFonts w:hint="eastAsia" w:ascii="方正仿宋_GBK" w:eastAsia="方正仿宋_GBK"/>
            <w:sz w:val="28"/>
            <w:szCs w:val="28"/>
          </w:rPr>
          <w:fldChar w:fldCharType="end"/>
        </w:r>
      </w:p>
    </w:sdtContent>
  </w:sdt>
  <w:p w14:paraId="36D3B51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779156"/>
    </w:sdtPr>
    <w:sdtEndPr>
      <w:rPr>
        <w:rFonts w:hint="eastAsia" w:ascii="方正仿宋_GBK" w:eastAsia="方正仿宋_GBK"/>
        <w:sz w:val="28"/>
        <w:szCs w:val="28"/>
      </w:rPr>
    </w:sdtEndPr>
    <w:sdtContent>
      <w:p w14:paraId="584F7E85">
        <w:pPr>
          <w:pStyle w:val="3"/>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sdtContent>
  </w:sdt>
  <w:p w14:paraId="3C78588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F4438"/>
    <w:multiLevelType w:val="singleLevel"/>
    <w:tmpl w:val="C6FF4438"/>
    <w:lvl w:ilvl="0" w:tentative="0">
      <w:start w:val="1"/>
      <w:numFmt w:val="chineseCounting"/>
      <w:suff w:val="nothing"/>
      <w:lvlText w:val="（%1）"/>
      <w:lvlJc w:val="left"/>
      <w:rPr>
        <w:rFonts w:hint="eastAsia"/>
      </w:rPr>
    </w:lvl>
  </w:abstractNum>
  <w:abstractNum w:abstractNumId="1">
    <w:nsid w:val="F9DE99A9"/>
    <w:multiLevelType w:val="singleLevel"/>
    <w:tmpl w:val="F9DE99A9"/>
    <w:lvl w:ilvl="0" w:tentative="0">
      <w:start w:val="1"/>
      <w:numFmt w:val="chineseCounting"/>
      <w:suff w:val="nothing"/>
      <w:lvlText w:val="（%1）"/>
      <w:lvlJc w:val="left"/>
      <w:rPr>
        <w:rFonts w:hint="eastAsia"/>
      </w:rPr>
    </w:lvl>
  </w:abstractNum>
  <w:abstractNum w:abstractNumId="2">
    <w:nsid w:val="6B07AEEA"/>
    <w:multiLevelType w:val="singleLevel"/>
    <w:tmpl w:val="6B07AEEA"/>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mQ1OWM2NWViYTI0NGJmYWMwMjBlYzFhMjRiNGIifQ=="/>
  </w:docVars>
  <w:rsids>
    <w:rsidRoot w:val="00000000"/>
    <w:rsid w:val="002C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2024-09-26T10:30:44Z</dcterms:created>
  <dc:creator>lenovo</dc:creator>
  <cp:lastModifiedBy>lenovo</cp:lastModifiedBy>
  <dcterms:modified xsi:type="dcterms:W3CDTF">2024-09-26T10:31:09Z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C049312706B6461B9A0C2CE3C4DB925F_12</vt:lpwstr>
  </property>
</Properties>
</file>