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94F3F">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江西省药品监督管理行政处罚裁量权适用规则</w:t>
      </w:r>
    </w:p>
    <w:p w14:paraId="497651E4">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2024年9月修订稿）</w:t>
      </w:r>
    </w:p>
    <w:p w14:paraId="1B012127">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p>
    <w:p w14:paraId="13F00E82">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第一章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14:paraId="2351C93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p>
    <w:p w14:paraId="46C1F47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w:t>
      </w:r>
      <w:r>
        <w:rPr>
          <w:rFonts w:hint="eastAsia" w:ascii="仿宋_GB2312" w:hAnsi="仿宋_GB2312" w:cs="仿宋_GB2312"/>
          <w:sz w:val="32"/>
          <w:szCs w:val="32"/>
          <w:lang w:eastAsia="zh-CN"/>
        </w:rPr>
        <w:t>进一步</w:t>
      </w:r>
      <w:r>
        <w:rPr>
          <w:rFonts w:hint="eastAsia" w:ascii="仿宋_GB2312" w:hAnsi="仿宋_GB2312" w:eastAsia="仿宋_GB2312" w:cs="仿宋_GB2312"/>
          <w:sz w:val="32"/>
          <w:szCs w:val="32"/>
        </w:rPr>
        <w:t>规范我省药品、医疗器械及化妆品（以下简称“药品”）领域行政处罚裁量权的行使，保障公民、法人和其他组织的合法权益，根据《中华人民共和国行政处罚法》《中华人民共和国药品管理法》《中华人民共和国疫苗管理法》《医疗器械监督管理条例》《化妆品监督管理条例》等法律</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法规</w:t>
      </w:r>
      <w:r>
        <w:rPr>
          <w:rFonts w:hint="eastAsia" w:ascii="仿宋_GB2312" w:hAnsi="仿宋_GB2312" w:cs="仿宋_GB2312"/>
          <w:sz w:val="32"/>
          <w:szCs w:val="32"/>
          <w:lang w:eastAsia="zh-CN"/>
        </w:rPr>
        <w:t>以及有关规章的规定，</w:t>
      </w:r>
      <w:r>
        <w:rPr>
          <w:rFonts w:hint="eastAsia" w:ascii="仿宋_GB2312" w:hAnsi="仿宋_GB2312" w:eastAsia="仿宋_GB2312" w:cs="仿宋_GB2312"/>
          <w:sz w:val="32"/>
          <w:szCs w:val="32"/>
          <w:lang w:eastAsia="zh-CN"/>
        </w:rPr>
        <w:t>按国务院有关文件和</w:t>
      </w:r>
      <w:r>
        <w:rPr>
          <w:rFonts w:hint="eastAsia" w:ascii="仿宋_GB2312" w:hAnsi="仿宋_GB2312" w:eastAsia="仿宋_GB2312" w:cs="仿宋_GB2312"/>
          <w:sz w:val="32"/>
          <w:szCs w:val="32"/>
          <w:lang w:val="en-US" w:eastAsia="zh-CN"/>
        </w:rPr>
        <w:t>《药品监督管理行政处罚裁量适用规则》（国药监法【2024】11号）的</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，结合本省药品监管工作实际，制定本规则。</w:t>
      </w:r>
    </w:p>
    <w:p w14:paraId="520EA1B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本规则所称行政处罚裁量权，是指全省各级药品监督管理部门依据法定职责，对辖区内药品领域违法行为实施行政处罚时，根据法律、法规、规章的规定，综合考虑违法行为的事实、性质、情节和社会危害程度等情形，决定是否给予行政处罚、给予行政处罚的种类和幅度的权限。</w:t>
      </w:r>
    </w:p>
    <w:p w14:paraId="35A872F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全省各级</w:t>
      </w:r>
      <w:r>
        <w:rPr>
          <w:rFonts w:hint="eastAsia" w:ascii="仿宋_GB2312" w:hAnsi="仿宋_GB2312" w:cs="仿宋_GB2312"/>
          <w:sz w:val="32"/>
          <w:szCs w:val="32"/>
          <w:lang w:eastAsia="zh-CN"/>
        </w:rPr>
        <w:t>药品</w:t>
      </w:r>
      <w:r>
        <w:rPr>
          <w:rFonts w:hint="eastAsia" w:ascii="仿宋_GB2312" w:hAnsi="仿宋_GB2312" w:eastAsia="仿宋_GB2312" w:cs="仿宋_GB2312"/>
          <w:sz w:val="32"/>
          <w:szCs w:val="32"/>
          <w:lang w:val="en-US" w:eastAsia="zh-CN"/>
        </w:rPr>
        <w:t>监督管理部门</w:t>
      </w:r>
      <w:r>
        <w:rPr>
          <w:rFonts w:hint="eastAsia" w:ascii="仿宋_GB2312" w:hAnsi="仿宋_GB2312" w:eastAsia="仿宋_GB2312" w:cs="仿宋_GB2312"/>
          <w:sz w:val="32"/>
          <w:szCs w:val="32"/>
        </w:rPr>
        <w:t>在法定职权范围内行使药品行政处罚种类以及幅度裁量，适用本规则。</w:t>
      </w:r>
    </w:p>
    <w:p w14:paraId="3F6A296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法律、法规、规章、司法解释、国家药品监督管理局和省人民政府另有规定的，按有关规定执行。</w:t>
      </w:r>
    </w:p>
    <w:p w14:paraId="27FF508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w:t>
      </w:r>
      <w:r>
        <w:rPr>
          <w:rFonts w:hint="eastAsia" w:ascii="仿宋_GB2312" w:hAnsi="仿宋_GB2312" w:cs="仿宋_GB2312"/>
          <w:sz w:val="32"/>
          <w:szCs w:val="32"/>
          <w:lang w:val="en-US" w:eastAsia="zh-CN"/>
        </w:rPr>
        <w:t xml:space="preserve"> </w:t>
      </w:r>
      <w:r>
        <w:rPr>
          <w:rFonts w:hint="eastAsia" w:ascii="仿宋_GB2312" w:hAnsi="仿宋_GB2312" w:cs="仿宋_GB2312"/>
          <w:sz w:val="32"/>
          <w:szCs w:val="32"/>
          <w:lang w:eastAsia="zh-CN"/>
        </w:rPr>
        <w:t>药品</w:t>
      </w:r>
      <w:r>
        <w:rPr>
          <w:rFonts w:hint="eastAsia" w:ascii="仿宋_GB2312" w:hAnsi="仿宋_GB2312" w:eastAsia="仿宋_GB2312" w:cs="仿宋_GB2312"/>
          <w:sz w:val="32"/>
          <w:szCs w:val="32"/>
        </w:rPr>
        <w:t>监督管理部门行使行政处罚裁量权，应当遵循以下基本原则：</w:t>
      </w:r>
    </w:p>
    <w:p w14:paraId="1E00DC2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（一）合法裁量原则。依据法定权限，符合立法目的，符合法律、法规、规章规定的裁量条件、处罚种类和幅度。</w:t>
      </w:r>
    </w:p>
    <w:p w14:paraId="6862898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（二）程序正当原则。严格遵守法定程序，充分听取当事人的意见，依法保障当事人的知情权、参与权和救济权。</w:t>
      </w:r>
    </w:p>
    <w:p w14:paraId="3CC375B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（三）过罚相当原则。以事实为依据，处罚的种类和幅度与违法行为的事实、性质、情节、社会危害程度等相当。</w:t>
      </w:r>
    </w:p>
    <w:p w14:paraId="5762249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（四）公平公正原则。对违法事实、性质、情节和社会危害程度等基本相同的违法行为实施行政处罚时，适用的法律依据、处罚种类和幅度基本一致。</w:t>
      </w:r>
    </w:p>
    <w:p w14:paraId="1E99F2B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（五）处罚和教育相结合原则。兼顾惩戒、纠正违法行为和教育公民、法人和其他组织，引导当事人自觉守法。</w:t>
      </w:r>
    </w:p>
    <w:p w14:paraId="1FFFEB8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综合裁量原则。综合考虑个案的事实、性质、情节、社会危害程度和当事人主客观情况等，兼顾本地区经济社会发展状况、药品产业高质量发展和药品安全风险防控需要等相关因素，惩戒违法行为，预防药品安全风险，保护和促进公众生命健康，实现政治效果、社会效果和法律效果的统一。</w:t>
      </w:r>
    </w:p>
    <w:p w14:paraId="4E3C5AFB">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center"/>
        <w:textAlignment w:val="auto"/>
        <w:rPr>
          <w:rFonts w:hint="eastAsia" w:ascii="黑体" w:hAnsi="黑体" w:eastAsia="黑体" w:cs="黑体"/>
          <w:sz w:val="32"/>
          <w:szCs w:val="32"/>
        </w:rPr>
      </w:pPr>
    </w:p>
    <w:p w14:paraId="166BBF57">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第二章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适用规则</w:t>
      </w:r>
    </w:p>
    <w:p w14:paraId="5E99007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p>
    <w:p w14:paraId="7E37D08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药品监督管理部门</w:t>
      </w:r>
      <w:r>
        <w:rPr>
          <w:rFonts w:hint="eastAsia" w:ascii="仿宋_GB2312" w:hAnsi="仿宋_GB2312" w:eastAsia="仿宋_GB2312" w:cs="仿宋_GB2312"/>
          <w:sz w:val="32"/>
          <w:szCs w:val="32"/>
        </w:rPr>
        <w:t>行使行政处罚裁量权，应当依据违法事实、性质、情节和社会危害程度等因素，并综合考虑下列情形：</w:t>
      </w:r>
    </w:p>
    <w:p w14:paraId="3927F75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（一）当事人的年龄、智力及精神健康状况；</w:t>
      </w:r>
    </w:p>
    <w:p w14:paraId="055BB02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（二）当事人的主观过错程度；</w:t>
      </w:r>
    </w:p>
    <w:p w14:paraId="66BB434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（三）违法行为的频次、区域、范围、时间；</w:t>
      </w:r>
    </w:p>
    <w:p w14:paraId="0327A42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（四）违法行为的具体方法、手段；</w:t>
      </w:r>
    </w:p>
    <w:p w14:paraId="037AE54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（五）涉案产品的风险性；</w:t>
      </w:r>
    </w:p>
    <w:p w14:paraId="660A529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（六）违法所得或者非法财物的数量、金额；</w:t>
      </w:r>
    </w:p>
    <w:p w14:paraId="4161E3A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（七）违法行为造成的损害后果以及社会影响；</w:t>
      </w:r>
    </w:p>
    <w:p w14:paraId="3CBBAC3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（八）当事人对违法行为所采取的补救措施及效果；</w:t>
      </w:r>
    </w:p>
    <w:p w14:paraId="58ECC81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（九）法律、法规、规章规定的其他情形。</w:t>
      </w:r>
    </w:p>
    <w:p w14:paraId="48523B2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行政处罚裁量分不予处罚、减轻、从轻、一般、从重五个等级：</w:t>
      </w:r>
    </w:p>
    <w:p w14:paraId="182DE2D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（一）不予处罚，是指因法定原因对特定违法行为不给予行政处罚。</w:t>
      </w:r>
    </w:p>
    <w:p w14:paraId="4D35E69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减轻处罚，减轻行政处罚是指适用法定行政处罚最低限度以下的处罚种类或者处罚幅度，包括在违法行为应当受到的一种或者几种处罚种类之外选择更轻的处罚种类，或者在应当并处时不并处，也包括在法定最低罚款限值以下确定罚款数额。</w:t>
      </w:r>
    </w:p>
    <w:p w14:paraId="022F58F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（三）从轻处罚，是指在依法可以选择的处罚种类和处罚幅度内，适用较轻、较少的处罚种类或者较低的处罚幅度。</w:t>
      </w:r>
    </w:p>
    <w:p w14:paraId="45DE8D2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（四）一般处罚，指当事人违法行为不具备法律、法规、规章及本规则规定的从重行政处罚、从轻或者减轻行政处罚、不予行政处罚情形，应当在法定处罚幅度中限给予行政处罚。</w:t>
      </w:r>
    </w:p>
    <w:p w14:paraId="74ACB0B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（五）从重处罚，指在依法可以选择的处罚种类和处罚幅度内，适用较重、较多的处罚种类或者较高的处罚幅度。</w:t>
      </w:r>
    </w:p>
    <w:p w14:paraId="2866A15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当事人有下列情形之一的，应当不予处罚：</w:t>
      </w:r>
    </w:p>
    <w:p w14:paraId="2CB86DE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（一）不满十四周岁的未成年人有违法行为的，不予行政处罚，但应当责令监护人加以管教；</w:t>
      </w:r>
    </w:p>
    <w:p w14:paraId="6B9BB4C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（二）精神病人、智力残疾人在不能辨认或者不能控制自己行为时有违法行为的，不予行政处罚，但应当责令其监护人严加看管和治疗；</w:t>
      </w:r>
    </w:p>
    <w:p w14:paraId="6732898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（三）违法行为轻微并及时改正，没有造成危害后果的，不予行政处罚；</w:t>
      </w:r>
    </w:p>
    <w:p w14:paraId="7049447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（四）当事人有证据足以证明没有主观过错的，不予行政处罚，法律、行政法规另有规定的从其规定；</w:t>
      </w:r>
    </w:p>
    <w:p w14:paraId="1443A8A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（五）违法行为在二年内未被发现的，不再给予行政处罚；涉及公民生命健康安全且有危害后果的，上述期限延长至五年。法律另有规定的除外；</w:t>
      </w:r>
    </w:p>
    <w:p w14:paraId="00BC217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（六）依法应当不予行政处罚的其他情形。</w:t>
      </w:r>
    </w:p>
    <w:p w14:paraId="4995E4A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前款第（三）项所述“违法行为轻微并及时纠正，未造成危害后果”</w:t>
      </w:r>
      <w:r>
        <w:rPr>
          <w:rFonts w:hint="eastAsia" w:ascii="仿宋_GB2312" w:hAnsi="仿宋_GB2312" w:cs="仿宋_GB2312"/>
          <w:sz w:val="32"/>
          <w:szCs w:val="32"/>
          <w:lang w:eastAsia="zh-CN"/>
        </w:rPr>
        <w:t>的认定，参照江西省市场监管领域轻微违法行为不予处罚的意见执行。</w:t>
      </w:r>
    </w:p>
    <w:p w14:paraId="7A46312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初次违法且危害后果轻微并及时改正的，可以不予行政处罚。</w:t>
      </w:r>
    </w:p>
    <w:p w14:paraId="627D727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初次违法</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是指当事人五年内在其全部生产经营地域范围内第一次实施同一性质违法行为。但当事人被处以五年以上职业禁止罚的除外。</w:t>
      </w:r>
    </w:p>
    <w:p w14:paraId="02DC0F6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经询问当事人，并查询</w:t>
      </w:r>
      <w:r>
        <w:rPr>
          <w:rFonts w:hint="eastAsia" w:ascii="仿宋_GB2312" w:hAnsi="仿宋_GB2312" w:cs="仿宋_GB2312"/>
          <w:sz w:val="32"/>
          <w:szCs w:val="32"/>
          <w:lang w:eastAsia="zh-CN"/>
        </w:rPr>
        <w:t>国家企业信息公示系统等平台，</w:t>
      </w:r>
      <w:r>
        <w:rPr>
          <w:rFonts w:hint="eastAsia" w:ascii="仿宋_GB2312" w:hAnsi="仿宋_GB2312" w:eastAsia="仿宋_GB2312" w:cs="仿宋_GB2312"/>
          <w:sz w:val="32"/>
          <w:szCs w:val="32"/>
        </w:rPr>
        <w:t>未发现当事人五年内有同一性质违法行为的，可以认定为初次违法。</w:t>
      </w:r>
    </w:p>
    <w:p w14:paraId="0FD8576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危害后果轻微，是指违法行为造成的损害后果较轻、较小</w:t>
      </w:r>
      <w:r>
        <w:rPr>
          <w:rFonts w:hint="eastAsia" w:ascii="仿宋_GB2312" w:hAnsi="仿宋_GB2312" w:cs="仿宋_GB2312"/>
          <w:sz w:val="32"/>
          <w:szCs w:val="32"/>
          <w:lang w:eastAsia="zh-CN"/>
        </w:rPr>
        <w:t>。具体案件中</w:t>
      </w:r>
      <w:r>
        <w:rPr>
          <w:rFonts w:hint="eastAsia" w:ascii="仿宋_GB2312" w:hAnsi="仿宋_GB2312" w:eastAsia="仿宋_GB2312" w:cs="仿宋_GB2312"/>
          <w:sz w:val="32"/>
          <w:szCs w:val="32"/>
        </w:rPr>
        <w:t>可结合危害程度</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危害范围</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危害后果</w:t>
      </w:r>
      <w:r>
        <w:rPr>
          <w:rFonts w:hint="eastAsia" w:ascii="仿宋_GB2312" w:hAnsi="仿宋_GB2312" w:cs="仿宋_GB2312"/>
          <w:sz w:val="32"/>
          <w:szCs w:val="32"/>
          <w:lang w:eastAsia="zh-CN"/>
        </w:rPr>
        <w:t>等</w:t>
      </w:r>
      <w:r>
        <w:rPr>
          <w:rFonts w:hint="eastAsia" w:ascii="仿宋_GB2312" w:hAnsi="仿宋_GB2312" w:eastAsia="仿宋_GB2312" w:cs="仿宋_GB2312"/>
          <w:sz w:val="32"/>
          <w:szCs w:val="32"/>
        </w:rPr>
        <w:t>因素</w:t>
      </w:r>
      <w:r>
        <w:rPr>
          <w:rFonts w:hint="eastAsia" w:ascii="仿宋_GB2312" w:hAnsi="仿宋_GB2312" w:cs="仿宋_GB2312"/>
          <w:sz w:val="32"/>
          <w:szCs w:val="32"/>
          <w:lang w:eastAsia="zh-CN"/>
        </w:rPr>
        <w:t>，参照江西省市场监管领域轻微违法行为不予处罚的意见执行。</w:t>
      </w:r>
    </w:p>
    <w:p w14:paraId="1258B85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cs="仿宋_GB2312"/>
          <w:sz w:val="32"/>
          <w:szCs w:val="32"/>
          <w:lang w:eastAsia="zh-CN"/>
        </w:rPr>
      </w:pPr>
      <w:r>
        <w:rPr>
          <w:rFonts w:hint="eastAsia" w:ascii="仿宋_GB2312" w:hAnsi="仿宋_GB2312" w:eastAsia="仿宋_GB2312" w:cs="仿宋_GB2312"/>
          <w:sz w:val="32"/>
          <w:szCs w:val="32"/>
        </w:rPr>
        <w:t>及时改正，是指当事人在药品监督管理部门尚未立案</w:t>
      </w:r>
      <w:r>
        <w:rPr>
          <w:rFonts w:hint="eastAsia" w:ascii="仿宋_GB2312" w:hAnsi="仿宋_GB2312" w:cs="仿宋_GB2312"/>
          <w:sz w:val="32"/>
          <w:szCs w:val="32"/>
          <w:lang w:eastAsia="zh-CN"/>
        </w:rPr>
        <w:t>前主动改正违法行为。具体案件中可参照江西省市场监管领域轻微违法行为不予处罚的意见执行。</w:t>
      </w:r>
    </w:p>
    <w:p w14:paraId="1F3E324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w:t>
      </w:r>
      <w:r>
        <w:rPr>
          <w:rFonts w:hint="eastAsia" w:ascii="仿宋_GB2312" w:hAnsi="仿宋_GB2312" w:cs="仿宋_GB2312"/>
          <w:sz w:val="32"/>
          <w:szCs w:val="32"/>
          <w:lang w:eastAsia="zh-CN"/>
        </w:rPr>
        <w:t>当事人</w:t>
      </w:r>
      <w:r>
        <w:rPr>
          <w:rFonts w:hint="eastAsia" w:ascii="仿宋_GB2312" w:hAnsi="仿宋_GB2312" w:eastAsia="仿宋_GB2312" w:cs="仿宋_GB2312"/>
          <w:sz w:val="32"/>
          <w:szCs w:val="32"/>
        </w:rPr>
        <w:t>具有下列情形之一的，应当从轻或减轻者行政处罚：</w:t>
      </w:r>
    </w:p>
    <w:p w14:paraId="3FB2309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（一）已满十四周岁不满十八周岁的未成年人有违法行为的；</w:t>
      </w:r>
    </w:p>
    <w:p w14:paraId="17CEF6D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（二）主动消除或者减轻药品、医疗器械和化妆品违法行为危害后果的</w:t>
      </w:r>
      <w:r>
        <w:rPr>
          <w:rFonts w:hint="eastAsia" w:ascii="仿宋_GB2312" w:hAnsi="仿宋_GB2312" w:eastAsia="仿宋_GB2312" w:cs="仿宋_GB2312"/>
          <w:sz w:val="32"/>
          <w:szCs w:val="32"/>
          <w:lang w:eastAsia="zh-CN"/>
        </w:rPr>
        <w:t>，包括主动采取改正、召回或者赔付等措施</w:t>
      </w:r>
      <w:r>
        <w:rPr>
          <w:rFonts w:hint="eastAsia" w:ascii="仿宋_GB2312" w:hAnsi="仿宋_GB2312" w:eastAsia="仿宋_GB2312" w:cs="仿宋_GB2312"/>
          <w:sz w:val="32"/>
          <w:szCs w:val="32"/>
        </w:rPr>
        <w:t>；</w:t>
      </w:r>
    </w:p>
    <w:p w14:paraId="24C2BAB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三</w:t>
      </w:r>
      <w:r>
        <w:rPr>
          <w:rFonts w:hint="eastAsia" w:ascii="仿宋_GB2312" w:hAnsi="仿宋_GB2312" w:eastAsia="仿宋_GB2312" w:cs="仿宋_GB2312"/>
          <w:sz w:val="32"/>
          <w:szCs w:val="32"/>
        </w:rPr>
        <w:t>）受他人胁迫或者诱骗实施药品、医疗器械和化妆品违法行为的；</w:t>
      </w:r>
    </w:p>
    <w:p w14:paraId="7246FFA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四</w:t>
      </w:r>
      <w:r>
        <w:rPr>
          <w:rFonts w:hint="eastAsia" w:ascii="仿宋_GB2312" w:hAnsi="仿宋_GB2312" w:eastAsia="仿宋_GB2312" w:cs="仿宋_GB2312"/>
          <w:sz w:val="32"/>
          <w:szCs w:val="32"/>
        </w:rPr>
        <w:t>）主动供述药品监督管理部门尚未掌握的违法行为的；</w:t>
      </w:r>
    </w:p>
    <w:p w14:paraId="0B7D37B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五</w:t>
      </w:r>
      <w:r>
        <w:rPr>
          <w:rFonts w:hint="eastAsia" w:ascii="仿宋_GB2312" w:hAnsi="仿宋_GB2312" w:eastAsia="仿宋_GB2312" w:cs="仿宋_GB2312"/>
          <w:sz w:val="32"/>
          <w:szCs w:val="32"/>
        </w:rPr>
        <w:t>）配合药品监督管理部门查处药品、医疗器械和化妆品违法行为有立功表现的，包括但不限于当事人揭发药品、医疗器械、化妆品监管领域其他重大违法行为或者提供查处药品、医疗器械、化妆品监管领域其他重大违法行为的关键线索或者证据，并经查证属实的；</w:t>
      </w:r>
    </w:p>
    <w:p w14:paraId="64B24BB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其他依法应当从轻或者减轻行政处罚的。</w:t>
      </w:r>
    </w:p>
    <w:p w14:paraId="36E3367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前款</w:t>
      </w:r>
      <w:r>
        <w:rPr>
          <w:rFonts w:hint="eastAsia" w:ascii="仿宋_GB2312" w:hAnsi="仿宋_GB2312" w:eastAsia="仿宋_GB2312" w:cs="仿宋_GB2312"/>
          <w:sz w:val="32"/>
          <w:szCs w:val="32"/>
          <w:lang w:eastAsia="zh-CN"/>
        </w:rPr>
        <w:t>第</w:t>
      </w:r>
      <w:r>
        <w:rPr>
          <w:rFonts w:hint="eastAsia" w:ascii="仿宋_GB2312" w:hAnsi="仿宋_GB2312" w:cs="仿宋_GB2312"/>
          <w:sz w:val="32"/>
          <w:szCs w:val="32"/>
          <w:lang w:eastAsia="zh-CN"/>
        </w:rPr>
        <w:t>（五）</w:t>
      </w:r>
      <w:r>
        <w:rPr>
          <w:rFonts w:hint="eastAsia" w:ascii="仿宋_GB2312" w:hAnsi="仿宋_GB2312" w:eastAsia="仿宋_GB2312" w:cs="仿宋_GB2312"/>
          <w:sz w:val="32"/>
          <w:szCs w:val="32"/>
          <w:lang w:eastAsia="zh-CN"/>
        </w:rPr>
        <w:t>项</w:t>
      </w:r>
      <w:r>
        <w:rPr>
          <w:rFonts w:hint="eastAsia" w:ascii="仿宋_GB2312" w:hAnsi="仿宋_GB2312" w:eastAsia="仿宋_GB2312" w:cs="仿宋_GB2312"/>
          <w:sz w:val="32"/>
          <w:szCs w:val="32"/>
        </w:rPr>
        <w:t>重大违法行为是指涉嫌犯罪或者依法被处以责令停产停业、责令关闭、吊销许可证件、较大数额罚没款等行政处罚的违法行为。</w:t>
      </w:r>
      <w:r>
        <w:rPr>
          <w:rFonts w:hint="eastAsia" w:ascii="仿宋_GB2312" w:hAnsi="仿宋_GB2312" w:eastAsia="仿宋_GB2312" w:cs="仿宋_GB2312"/>
          <w:sz w:val="32"/>
          <w:szCs w:val="32"/>
          <w:lang w:eastAsia="zh-CN"/>
        </w:rPr>
        <w:t>江西省</w:t>
      </w:r>
      <w:r>
        <w:rPr>
          <w:rFonts w:hint="eastAsia" w:ascii="仿宋_GB2312" w:hAnsi="仿宋_GB2312" w:eastAsia="仿宋_GB2312" w:cs="仿宋_GB2312"/>
          <w:sz w:val="32"/>
          <w:szCs w:val="32"/>
        </w:rPr>
        <w:t>地方性法规或者规章对重大违法行为有具体规定的，从其规定。</w:t>
      </w:r>
    </w:p>
    <w:p w14:paraId="7B83FD6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当事人</w:t>
      </w:r>
      <w:r>
        <w:rPr>
          <w:rFonts w:hint="eastAsia" w:ascii="仿宋_GB2312" w:hAnsi="仿宋_GB2312" w:eastAsia="仿宋_GB2312" w:cs="仿宋_GB2312"/>
          <w:sz w:val="32"/>
          <w:szCs w:val="32"/>
        </w:rPr>
        <w:t>有下列情形之一的，可以从轻或者减轻行政处罚：</w:t>
      </w:r>
    </w:p>
    <w:p w14:paraId="796B83C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（一）尚未完全丧失辨认或者控制自己行为能力的精神病人、智力残疾人有违法行为的；</w:t>
      </w:r>
    </w:p>
    <w:p w14:paraId="7F69255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（二）积极配合药品监督管理部门调查并主动提供证据材料的；</w:t>
      </w:r>
    </w:p>
    <w:p w14:paraId="063075E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（三）涉案产品尚未销售或者使用的；</w:t>
      </w:r>
    </w:p>
    <w:p w14:paraId="36D7B17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（四）违法行为情节轻微，社会危害后果较小的；</w:t>
      </w:r>
    </w:p>
    <w:p w14:paraId="700F5A4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（五）在共同违法行为中起次要或者辅助作用的；</w:t>
      </w:r>
    </w:p>
    <w:p w14:paraId="220002D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（六）当事人因残疾或者重大疾病等原因生活确有困难的；</w:t>
      </w:r>
    </w:p>
    <w:p w14:paraId="6AF0DE8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（七）其他可以从轻或者减轻行政处罚的。</w:t>
      </w:r>
    </w:p>
    <w:p w14:paraId="5EA9B34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第十一条 </w:t>
      </w:r>
      <w:r>
        <w:rPr>
          <w:rFonts w:hint="eastAsia" w:ascii="仿宋_GB2312" w:hAnsi="仿宋_GB2312" w:eastAsia="仿宋_GB2312" w:cs="仿宋_GB2312"/>
          <w:sz w:val="32"/>
          <w:szCs w:val="32"/>
        </w:rPr>
        <w:t> </w:t>
      </w:r>
      <w:r>
        <w:rPr>
          <w:rFonts w:hint="eastAsia" w:ascii="仿宋_GB2312" w:hAnsi="仿宋_GB2312" w:cs="仿宋_GB2312"/>
          <w:sz w:val="32"/>
          <w:szCs w:val="32"/>
          <w:lang w:eastAsia="zh-CN"/>
        </w:rPr>
        <w:t>当事人</w:t>
      </w:r>
      <w:r>
        <w:rPr>
          <w:rFonts w:hint="eastAsia" w:ascii="仿宋_GB2312" w:hAnsi="仿宋_GB2312" w:eastAsia="仿宋_GB2312" w:cs="仿宋_GB2312"/>
          <w:sz w:val="32"/>
          <w:szCs w:val="32"/>
        </w:rPr>
        <w:t>有下列情形之一的，应当从重行政处罚：</w:t>
      </w:r>
    </w:p>
    <w:p w14:paraId="30DD3F9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（一）以麻醉药品、精神药品、医疗用毒性药品、放射性药品、药品类易制毒化学品冒充其他药品，或者以其他药品冒充上述药品的；</w:t>
      </w:r>
    </w:p>
    <w:p w14:paraId="2F50CDF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（二）生产、销售、使用假药、劣药、不符合强制性标准或者不符合经注册的产品技术要求的第三类医疗器械，以孕产妇、儿童、危重病人为主要使用对象的；</w:t>
      </w:r>
    </w:p>
    <w:p w14:paraId="21A3A79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（三）生产、销售、使用的生物制品、注射剂药品属于假药、劣药的；</w:t>
      </w:r>
    </w:p>
    <w:p w14:paraId="2B90F12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（四）生产、销售、使用假药、劣药，不符合强制性标准或者不符合经注册备案的产品技术要求的医疗器械，造成人身伤害后果的；</w:t>
      </w:r>
    </w:p>
    <w:p w14:paraId="39930E0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）生产、销售、使用假药、劣药，经处理后再犯；生产、销售、使用不符合强制性标准或者经注册的产品技术要求的医疗器械，经处理后三年内再犯的；</w:t>
      </w:r>
    </w:p>
    <w:p w14:paraId="142C861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自然灾害、事故灾难、公共卫生事件、社会安全事件等突发事件发生时期，生产、销售、使用用于应对突发事件的药品系假药、劣药，或者用于应对突发事件的医疗器械不符合强制性标准或者不符合经注册备案的产品技术要求的；</w:t>
      </w:r>
    </w:p>
    <w:p w14:paraId="3E2582D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（七）因药品、医疗器械违法行为受过刑事处罚的；</w:t>
      </w:r>
    </w:p>
    <w:p w14:paraId="7B2A5D3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（八）法律、法规、规章规定的其他应当从重行政处罚情形。</w:t>
      </w:r>
    </w:p>
    <w:p w14:paraId="0F1FDE9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w:t>
      </w:r>
      <w:r>
        <w:rPr>
          <w:rFonts w:hint="eastAsia" w:ascii="仿宋_GB2312" w:hAnsi="仿宋_GB2312" w:cs="仿宋_GB2312"/>
          <w:sz w:val="32"/>
          <w:szCs w:val="32"/>
          <w:lang w:val="en-US" w:eastAsia="zh-CN"/>
        </w:rPr>
        <w:t xml:space="preserve"> 当事人有</w:t>
      </w:r>
      <w:r>
        <w:rPr>
          <w:rFonts w:hint="eastAsia" w:ascii="仿宋_GB2312" w:hAnsi="仿宋_GB2312" w:eastAsia="仿宋_GB2312" w:cs="仿宋_GB2312"/>
          <w:sz w:val="32"/>
          <w:szCs w:val="32"/>
        </w:rPr>
        <w:t>下列情形之一的，可以从重行政处罚：</w:t>
      </w:r>
    </w:p>
    <w:p w14:paraId="07F0C91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（一）药品有效成份含量不符合规定，足以影响疗效的，或者药品检验无菌、热原（如细菌内毒素）、微生物限度、降压物质不符合规定的；涉案医疗器械属于植入类医疗器械的；</w:t>
      </w:r>
    </w:p>
    <w:p w14:paraId="7CF7F0A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（二）生产、销售、使用的急救药品属于假药、劣药的；</w:t>
      </w:r>
    </w:p>
    <w:p w14:paraId="74EF6A8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（三）涉案产品主要使用对象为孕产妇、儿童或者其他特定人群的；</w:t>
      </w:r>
    </w:p>
    <w:p w14:paraId="7418600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（四）生产经营未经注册或者备案的药品、医疗器械、化妆品或者未经许可从事生产经营活动，且涉案产品风险性高的；</w:t>
      </w:r>
    </w:p>
    <w:p w14:paraId="2B39CDF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（五）教唆、胁迫、诱骗他人实施违法行为的；</w:t>
      </w:r>
    </w:p>
    <w:p w14:paraId="2B1AB13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（六）明知属于违法产品仍销售、使用的；</w:t>
      </w:r>
    </w:p>
    <w:p w14:paraId="040B2E4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cs="仿宋_GB2312"/>
          <w:sz w:val="32"/>
          <w:szCs w:val="32"/>
          <w:lang w:val="en-US" w:eastAsia="zh-CN"/>
        </w:rPr>
        <w:t>12个月</w:t>
      </w:r>
      <w:r>
        <w:rPr>
          <w:rFonts w:hint="eastAsia" w:ascii="仿宋_GB2312" w:hAnsi="仿宋_GB2312" w:eastAsia="仿宋_GB2312" w:cs="仿宋_GB2312"/>
          <w:sz w:val="32"/>
          <w:szCs w:val="32"/>
        </w:rPr>
        <w:t>内因同一性质违法行为受过行政处罚的；</w:t>
      </w:r>
    </w:p>
    <w:p w14:paraId="3A30776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（八）违法行为持续六个月以上或者在</w:t>
      </w:r>
      <w:r>
        <w:rPr>
          <w:rFonts w:hint="eastAsia" w:ascii="仿宋_GB2312" w:hAnsi="仿宋_GB2312" w:cs="仿宋_GB2312"/>
          <w:sz w:val="32"/>
          <w:szCs w:val="32"/>
          <w:lang w:val="en-US" w:eastAsia="zh-CN"/>
        </w:rPr>
        <w:t>24个月</w:t>
      </w:r>
      <w:r>
        <w:rPr>
          <w:rFonts w:hint="eastAsia" w:ascii="仿宋_GB2312" w:hAnsi="仿宋_GB2312" w:eastAsia="仿宋_GB2312" w:cs="仿宋_GB2312"/>
          <w:sz w:val="32"/>
          <w:szCs w:val="32"/>
        </w:rPr>
        <w:t>内实施违法行为三次以上的；</w:t>
      </w:r>
    </w:p>
    <w:p w14:paraId="3579690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（九）拒绝、逃避监督检查，伪造、销毁、隐匿有关证据材料，或者擅自动用查封、扣押、先行登记保存物品的；</w:t>
      </w:r>
    </w:p>
    <w:p w14:paraId="5EB02CE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（十）阻碍或者拒不配合行政执法人员依法执行公务或者对行政执法人员、举报人、证人、鉴定人打击报复的；</w:t>
      </w:r>
    </w:p>
    <w:p w14:paraId="7EE8D96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（十一）被药品监督管理部门依法责令停止或者限期改正违法行为，继续实施违法行为的；</w:t>
      </w:r>
    </w:p>
    <w:p w14:paraId="5425003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（十二）其他可以从重行政处罚的。</w:t>
      </w:r>
    </w:p>
    <w:p w14:paraId="2BD5873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第一款第七项、第九项、第十项、第十一项规定的情形，法律、法规、规章规定为应当单独进行处罚、应当从重处罚或者属于情节严重的，从其规定。当事人因前款第九项所涉行为已被行政处罚的，该行为不再作为从重行政处罚情节。同一违法行为同时符合第八条第三项至第六项和前款第一项、第二项的，优先适用第八条相关条款。</w:t>
      </w:r>
    </w:p>
    <w:p w14:paraId="5874761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本条第一款第七项、第八项规定的情形，自上一次违法行为终了之日起算。</w:t>
      </w:r>
    </w:p>
    <w:p w14:paraId="7B86A07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除第七条到第十二条规定的不予、减轻、从轻和从重行政处罚的其他情形，应当适用一般行政处罚。</w:t>
      </w:r>
    </w:p>
    <w:p w14:paraId="371DE3C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除药品、医疗器械监管法律、法规、规章明确规定应当按照“情节严重”给予行政处罚的情形外，当事人有下列情形之一的，按照药品、医疗器械监管法律、法规、规章规定的“情节严重”给予行政处罚：</w:t>
      </w:r>
    </w:p>
    <w:p w14:paraId="63A9606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（一）药品生产中非法添加药物成份或者违法使用原料、辅料，造成严重后果的；</w:t>
      </w:r>
    </w:p>
    <w:p w14:paraId="13875DB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（二）医疗器械生产中非法添加药物成份或者非法添加已明确禁止添加的成份，造成严重后果的；</w:t>
      </w:r>
    </w:p>
    <w:p w14:paraId="1169CF9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药品上市许可持有人、医疗器械注册人备案人、生产企业、经营企业、使用单位发现其生产、销售、使用的产品存在安全隐患，可能对人体健康和生命安全造成损害，不履行通知、告知、召回、停止销售、报告等法定义务，造成严重后果的；</w:t>
      </w:r>
    </w:p>
    <w:p w14:paraId="271FDE8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（四）生产、经营企业不建立或者不执行进货检查验收制度，从非法渠道购进不合格产品或原料，或者生产、销售已禁止销售的产品，造成严重后果的；</w:t>
      </w:r>
    </w:p>
    <w:p w14:paraId="1DB1069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（五）故意隐瞒问题产品来源或者流向，导致无法追溯，造成严重后果的；</w:t>
      </w:r>
    </w:p>
    <w:p w14:paraId="02DE71D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（六）提供虚假的证明、数据、资料、样品或者采取其他手段骗取药品、医疗器械许可或者备案，社会影响恶劣或者造成人身伤害后果的；</w:t>
      </w:r>
    </w:p>
    <w:p w14:paraId="1EF348A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在自然灾害、事故灾难、公共卫生事件、社会安全事件等突发事件期间，生产、销售专用于应对突发事件的药品、医疗器械不符合安全性、有效性强制标准的，或者违反相关管理规定实施违法行为且直接影响预防、处置突发事件的；</w:t>
      </w:r>
    </w:p>
    <w:p w14:paraId="4AC4BE8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（八）因涉案行为构成犯罪被人民法院作出有罪判决的；</w:t>
      </w:r>
    </w:p>
    <w:p w14:paraId="1D2CF71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（九）其他违法行为，造成人身伤害、重大财产损失或者恶劣社会影响等严重后果的； </w:t>
      </w:r>
    </w:p>
    <w:p w14:paraId="0B5D237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（十）其他属于“情节严重”的情形。</w:t>
      </w:r>
    </w:p>
    <w:p w14:paraId="260AADD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当事人有《化妆品生产经营监督管理办法》第六十一条第一款规定情形的，应当按照化妆品监督管理法规、规章规定的“情节严重”给予行政处罚。</w:t>
      </w:r>
    </w:p>
    <w:p w14:paraId="6CD7C2A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第十五条  </w:t>
      </w:r>
      <w:r>
        <w:rPr>
          <w:rFonts w:hint="eastAsia" w:ascii="仿宋_GB2312" w:hAnsi="仿宋_GB2312" w:eastAsia="仿宋_GB2312" w:cs="仿宋_GB2312"/>
          <w:sz w:val="32"/>
          <w:szCs w:val="32"/>
          <w:lang w:val="en-US" w:eastAsia="zh-CN"/>
        </w:rPr>
        <w:t>药品上市许可持有人、医疗器械注册人备案人、化妆品注册人备案人、生产企业生产依法获得批准或者备案的创新产品，并履行上市后研究和上市后评价等法定义务，当时科学技术水平尚不能发现产品存在质量安全缺陷的，不予行政处罚。经营、使用上述缺陷产品，不予行政处罚。但是发现缺陷后未履行依法召回产品义务和采取其他有效风险控制措施的除外。</w:t>
      </w:r>
    </w:p>
    <w:p w14:paraId="71EB422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药品经营企业、使用单位同时具备下列情形的，一般应当认定为符合《中华人民共和国药品管理法实施条例》第七十五条规定的“充分证据”：</w:t>
      </w:r>
    </w:p>
    <w:p w14:paraId="33B9503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（一）进货渠道合法，提供的供货单位生产许可证或者经营许可证、营业执照、供货单位销售人员授权委托书、产品注册或者备案信息、产品合格证明、销售票据等证明真实合法；</w:t>
      </w:r>
    </w:p>
    <w:p w14:paraId="2CD74BC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（二）产品采购与收货记录、入库检查验收记录真实完整；</w:t>
      </w:r>
    </w:p>
    <w:p w14:paraId="758A509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（三）产品的储存、养护、销售、使用、出库复核、运输未违反有关规定且有真实完整的记录。</w:t>
      </w:r>
    </w:p>
    <w:p w14:paraId="48142CD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第十七条</w:t>
      </w:r>
      <w:r>
        <w:rPr>
          <w:rFonts w:hint="eastAsia" w:ascii="仿宋_GB2312" w:hAnsi="仿宋_GB2312" w:eastAsia="仿宋_GB2312" w:cs="仿宋_GB2312"/>
          <w:sz w:val="32"/>
          <w:szCs w:val="32"/>
        </w:rPr>
        <w:t>医疗器械经营企业、使用单位具备以下情形的，视为符合《医疗器械监督管理条例》第八十七条的“充分证据”，依据该条规定，可以免除行政处罚，但是应当收缴其经营、使用的不符合法定要求的医疗器械。</w:t>
      </w:r>
    </w:p>
    <w:p w14:paraId="705FA57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（一）进货渠道合法，且能提供医疗器械注册人、备案人、生产经营企业真实合法的营业执照、许可证书、备案凭证，以及授权委托书、合格证明文件、销售票据等证明；</w:t>
      </w:r>
    </w:p>
    <w:p w14:paraId="4BC25A3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（二）入库检查验收记录符合医疗器械相关法规、规章规定且真实、准确、完整和可追溯；</w:t>
      </w:r>
    </w:p>
    <w:p w14:paraId="22C5425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（三）从事第二类、第三类医疗器械批发业务以及第三类医疗器械零售业务的经营企业有真实、准确、完整和可追溯的销售记录。</w:t>
      </w:r>
    </w:p>
    <w:p w14:paraId="1F229DB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化妆品经营者具备以下情形的，视为符合《化妆品监督管理条例》第六十八条的“证据”，依据该条规定，可以免除行政处罚，但是应当收缴其经营的不符合强制性国家标准、技术规范或者不符合化妆品注册、备案资料载明的技术要求的化妆品。</w:t>
      </w:r>
    </w:p>
    <w:p w14:paraId="0949759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（一）进货渠道合法，且能提供化妆品注册人、备案人、受托生产企业真实合法的营业执照、许可证书、注册证、备案凭证，以及授权委托书、合格证明文件、销售票据等证明；</w:t>
      </w:r>
    </w:p>
    <w:p w14:paraId="72FC9E3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（二）入库检查验收、销售记录真实完整。</w:t>
      </w:r>
    </w:p>
    <w:p w14:paraId="02ACC84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除法律、法规和规章另有规定外，同一当事人的一种违法行为具有多种裁量情形的，按照以下规则实施处罚：</w:t>
      </w:r>
    </w:p>
    <w:p w14:paraId="394A915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（一）当事人同时具有两个或者两个以上从轻或减轻处罚情形的，应当从轻或减轻处罚；具有两种或者两种以上从轻情形且不具有从重处罚情形的，应按照法定处罚幅度下限实施处罚；</w:t>
      </w:r>
    </w:p>
    <w:p w14:paraId="7E5E96D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（二）当事人具有两个或者两个以上从重处罚情形且不具有减轻、从轻处罚情形的，应当按照法定处罚幅度上限实施处罚；</w:t>
      </w:r>
    </w:p>
    <w:p w14:paraId="112DB66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（三）当事人同时具有从重处罚与从轻或者减轻处罚情形的，应该结合案情综合裁量。</w:t>
      </w:r>
    </w:p>
    <w:p w14:paraId="3D83A0A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对于法律、法规、规章中，在“情节严重”情形下设定了罚款区间的，在区间内分为从轻、一般、从重三个裁量阶次依据本规定进行裁量。</w:t>
      </w:r>
    </w:p>
    <w:p w14:paraId="57A88A1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当事人的同一个违法行为，法律、法规、规章规定有多种处罚种类的，应当实施并处处罚；同一违法行为设定了可以并处处罚的，应当结合当事人违法行为的情节，按照下列规则实施行政处罚：</w:t>
      </w:r>
    </w:p>
    <w:p w14:paraId="2B2B441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（一）对认定减轻处罚的，应当实施单处；</w:t>
      </w:r>
    </w:p>
    <w:p w14:paraId="1B07AD9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（二）对认定从轻处罚的，可以实施单处或者并处；</w:t>
      </w:r>
    </w:p>
    <w:p w14:paraId="39A83BB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（三）对认定一般处罚的，应当实施并处；</w:t>
      </w:r>
    </w:p>
    <w:p w14:paraId="575AD56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（四）对认定从重处罚的，应当实施并处。</w:t>
      </w:r>
    </w:p>
    <w:p w14:paraId="4070BF1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有两种以上违法行为，没有牵连关系的，应当分别裁量，合并处罚</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有牵连关系的，适用吸收原则，选择较重的违法行为从重处罚。</w:t>
      </w:r>
    </w:p>
    <w:p w14:paraId="76F0DA2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当事人的同一个违法行为，不得给予两次以上罚款的行政处罚</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当事人同一行为违反两个以上不同内容法律规范或者同一法律规范两条以上不同内容法律条款的，应当依据法定处罚最重的规定给予行政处罚。</w:t>
      </w:r>
    </w:p>
    <w:p w14:paraId="4A8823C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个违法行为同时触犯不同效力层级的数个法律规范的，优先适用法律效力层级高的法律规范；同一机关制订的法律规范，应当遵循新法优于旧法、特别法优于一般法的原则。法律、法规、规章或司法解释等对法律适用另有规定的，从其规定。</w:t>
      </w:r>
    </w:p>
    <w:p w14:paraId="43A7F85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法律、法规、规章规定的行政处罚罚款的最低数额用A表示，最高数额用B表示。适用行政处罚罚款的，减轻处罚、从轻处罚、一般处罚和从重处罚的裁量幅度依照以下标准确定：</w:t>
      </w:r>
    </w:p>
    <w:p w14:paraId="3CB19CF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（一）减轻处罚裁量幅度：0到A以下；</w:t>
      </w:r>
    </w:p>
    <w:p w14:paraId="47EAC17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（二）从轻处罚裁量幅度：A至“A+(B-A)30%”以下；</w:t>
      </w:r>
    </w:p>
    <w:p w14:paraId="67D3B10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（三）一般处罚裁量幅度：“A+(B-A)30%”至“A+(B-A)70%”以下；</w:t>
      </w:r>
    </w:p>
    <w:p w14:paraId="07FB4F5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（四）从重处罚裁量幅度：“A+(B-A)70%至B。</w:t>
      </w:r>
    </w:p>
    <w:p w14:paraId="6A64F21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行政处罚为一定幅度的倍数罚款的，参照第二十三条规定计算实际处罚倍数，法律、法规、规章另行规定的除外。</w:t>
      </w:r>
    </w:p>
    <w:p w14:paraId="483FEC5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对只规定最高罚款数额没有规定最低罚款数额的行政处罚，适用减轻处罚的，按照0至最高罚款数额10%以下予以处罚；适用从轻处罚的，按照最高罚款数额的10%至30%以下予以处罚；适用一般处罚的，按照最高罚款数额的30%至70%以下予以处罚；适用从重处罚的，按照最高罚款数额的70%至100%予以处罚。</w:t>
      </w:r>
    </w:p>
    <w:p w14:paraId="4B517D1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对当事人的违法行为依法不予行政处罚的，药品监督管理部门应当对当事人通过劝导示范、警示告诫、约谈指导等方式进行教育。</w:t>
      </w:r>
      <w:r>
        <w:rPr>
          <w:rFonts w:hint="eastAsia" w:ascii="仿宋_GB2312" w:hAnsi="仿宋_GB2312" w:cs="仿宋_GB2312"/>
          <w:sz w:val="32"/>
          <w:szCs w:val="32"/>
          <w:lang w:eastAsia="zh-CN"/>
        </w:rPr>
        <w:t>各级</w:t>
      </w:r>
      <w:r>
        <w:rPr>
          <w:rFonts w:hint="eastAsia" w:ascii="仿宋_GB2312" w:hAnsi="仿宋_GB2312" w:eastAsia="仿宋_GB2312" w:cs="仿宋_GB2312"/>
          <w:sz w:val="32"/>
          <w:szCs w:val="32"/>
        </w:rPr>
        <w:t>药品监督管理部门应当建立健全对当事人的事前指导、风险提示、告诫、约谈、回访等制度。</w:t>
      </w:r>
    </w:p>
    <w:p w14:paraId="7E183E9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药品监督管理部门对当事人作出不予行政处罚的，应当对涉案产品采取适当、必要的风险控制措施。</w:t>
      </w:r>
    </w:p>
    <w:p w14:paraId="701736C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w:t>
      </w:r>
      <w:r>
        <w:rPr>
          <w:rFonts w:hint="eastAsia" w:ascii="黑体" w:hAnsi="黑体" w:eastAsia="黑体" w:cs="黑体"/>
          <w:sz w:val="32"/>
          <w:szCs w:val="32"/>
        </w:rPr>
        <w:t>十</w:t>
      </w:r>
      <w:r>
        <w:rPr>
          <w:rFonts w:hint="eastAsia" w:ascii="黑体" w:hAnsi="黑体" w:eastAsia="黑体" w:cs="黑体"/>
          <w:sz w:val="32"/>
          <w:szCs w:val="32"/>
          <w:lang w:eastAsia="zh-CN"/>
        </w:rPr>
        <w:t>八</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除法律、法规、规章另有规定外，职业禁止罚的年限按照下列规则确定：</w:t>
      </w:r>
    </w:p>
    <w:p w14:paraId="03C9E45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（一）依法规定特定年限内或者终身禁止从事药品、医疗器械、化妆品生产经营活动的，应当直接适用该禁业年限；</w:t>
      </w:r>
    </w:p>
    <w:p w14:paraId="539717D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（二）依法规定特定的年限区间或者直至终身禁止从事药品、医疗器械、化妆品生产经营活动的，应当区分处罚阶次。</w:t>
      </w:r>
    </w:p>
    <w:p w14:paraId="6A7F878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二十九</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对法定代表人、主要负责人、直接负责的主管人员和其他责任人员的行政处罚，应当结合其岗位职责范围、主观过错程度、履行职责情况、在违法行为中所起的作用和其他应当考虑的因素进行综合判断。</w:t>
      </w:r>
    </w:p>
    <w:p w14:paraId="3C48A13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w:t>
      </w:r>
      <w:r>
        <w:rPr>
          <w:rFonts w:hint="eastAsia" w:ascii="黑体" w:hAnsi="黑体" w:eastAsia="黑体" w:cs="黑体"/>
          <w:sz w:val="32"/>
          <w:szCs w:val="32"/>
        </w:rPr>
        <w:t>条　</w:t>
      </w:r>
      <w:r>
        <w:rPr>
          <w:rFonts w:hint="eastAsia" w:ascii="仿宋_GB2312" w:hAnsi="仿宋_GB2312" w:eastAsia="仿宋_GB2312" w:cs="仿宋_GB2312"/>
          <w:sz w:val="32"/>
          <w:szCs w:val="32"/>
        </w:rPr>
        <w:t>因违法行为被行政处罚时，违法所得的计算一般不扣除成本。法律、行政法规、部门规章对违法所得的计算另有规定的，从其规定。</w:t>
      </w:r>
    </w:p>
    <w:p w14:paraId="267D7E91">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第三章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裁量程序</w:t>
      </w:r>
    </w:p>
    <w:p w14:paraId="28B27AF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w:t>
      </w:r>
      <w:r>
        <w:rPr>
          <w:rFonts w:hint="eastAsia" w:ascii="黑体" w:hAnsi="黑体" w:eastAsia="黑体" w:cs="黑体"/>
          <w:sz w:val="32"/>
          <w:szCs w:val="32"/>
          <w:lang w:eastAsia="zh-CN"/>
        </w:rPr>
        <w:t>十一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药品监督管理部门行使行政处罚裁量权应当遵守法律、法规、规章有关回避、告知、听证、期限、说明理由等程序规定。</w:t>
      </w:r>
    </w:p>
    <w:p w14:paraId="48C0896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法律、法规、规章明确规定先责令改正，逾期不改再进行行政处罚的违法行为，应当先责令当事人限期改正；复查后，发现逾期不改的，再予处罚。</w:t>
      </w:r>
    </w:p>
    <w:p w14:paraId="35FDC5A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给予当事人合理的整改期限，除法律、法规和规章另有规定外，责令当事人限期改正的期限一般不超过30日。确因特殊原因不能在规定期限内改正，当事人申请延长的，经行政处罚实施机关批准，可以适当延长。</w:t>
      </w:r>
    </w:p>
    <w:p w14:paraId="2A77782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三十三</w:t>
      </w:r>
      <w:r>
        <w:rPr>
          <w:rFonts w:hint="eastAsia" w:ascii="黑体" w:hAnsi="黑体" w:eastAsia="黑体" w:cs="黑体"/>
          <w:sz w:val="32"/>
          <w:szCs w:val="32"/>
        </w:rPr>
        <w:t>条</w:t>
      </w:r>
      <w:r>
        <w:rPr>
          <w:rFonts w:hint="eastAsia" w:ascii="仿宋_GB2312" w:hAnsi="仿宋_GB2312" w:eastAsia="仿宋_GB2312" w:cs="仿宋_GB2312"/>
          <w:sz w:val="32"/>
          <w:szCs w:val="32"/>
        </w:rPr>
        <w:t>　药品监督管理部门作出行政处罚决定前，应当依法、全面、客观收集下列可能影响行政处罚裁量的证据：</w:t>
      </w:r>
    </w:p>
    <w:p w14:paraId="38C4CBF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（一）证明违法行为存在的证据;</w:t>
      </w:r>
    </w:p>
    <w:p w14:paraId="242A13A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（二）证明从轻、减轻、不予行政处罚的证据;</w:t>
      </w:r>
    </w:p>
    <w:p w14:paraId="3463508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（三）证明从重行政处罚、情节严重的证据。</w:t>
      </w:r>
    </w:p>
    <w:p w14:paraId="0D043B5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三十四</w:t>
      </w:r>
      <w:r>
        <w:rPr>
          <w:rFonts w:hint="eastAsia" w:ascii="黑体" w:hAnsi="黑体" w:eastAsia="黑体" w:cs="黑体"/>
          <w:sz w:val="32"/>
          <w:szCs w:val="32"/>
        </w:rPr>
        <w:t>条　</w:t>
      </w:r>
      <w:r>
        <w:rPr>
          <w:rFonts w:hint="eastAsia" w:ascii="仿宋_GB2312" w:hAnsi="仿宋_GB2312" w:eastAsia="仿宋_GB2312" w:cs="仿宋_GB2312"/>
          <w:sz w:val="32"/>
          <w:szCs w:val="32"/>
        </w:rPr>
        <w:t>药品监督管理部门作出行政处罚决定前，应当告知当事人拟作出行政处罚的内容及事实、理由、依据、裁量基准的适用情况，并告知当事人依法享有的陈述、申辩、要求听证等权利。</w:t>
      </w:r>
    </w:p>
    <w:p w14:paraId="11A4BF4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十</w:t>
      </w:r>
      <w:r>
        <w:rPr>
          <w:rFonts w:hint="eastAsia" w:ascii="黑体" w:hAnsi="黑体" w:eastAsia="黑体" w:cs="黑体"/>
          <w:sz w:val="32"/>
          <w:szCs w:val="32"/>
          <w:lang w:eastAsia="zh-CN"/>
        </w:rPr>
        <w:t>五</w:t>
      </w:r>
      <w:r>
        <w:rPr>
          <w:rFonts w:hint="eastAsia" w:ascii="黑体" w:hAnsi="黑体" w:eastAsia="黑体" w:cs="黑体"/>
          <w:sz w:val="32"/>
          <w:szCs w:val="32"/>
        </w:rPr>
        <w:t>条　</w:t>
      </w:r>
      <w:r>
        <w:rPr>
          <w:rFonts w:hint="eastAsia" w:ascii="仿宋_GB2312" w:hAnsi="仿宋_GB2312" w:eastAsia="仿宋_GB2312" w:cs="仿宋_GB2312"/>
          <w:sz w:val="32"/>
          <w:szCs w:val="32"/>
        </w:rPr>
        <w:t>药品监督管理部门应当充分听取当事人的陈述和申辩。对当事人提出的事实、理由和证据，应当进行复核。当事人提出的事实、理由或者证据成立的，应当采纳。</w:t>
      </w:r>
    </w:p>
    <w:p w14:paraId="6A9DBE2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药品监督管理部门不得因当事人陈述、申辩而给予更重的处罚。当事人应当如实陈述、申辩，不得故意提供虚假或者编造的证据材料。</w:t>
      </w:r>
    </w:p>
    <w:p w14:paraId="40AA1B1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十</w:t>
      </w:r>
      <w:r>
        <w:rPr>
          <w:rFonts w:hint="eastAsia" w:ascii="黑体" w:hAnsi="黑体" w:eastAsia="黑体" w:cs="黑体"/>
          <w:sz w:val="32"/>
          <w:szCs w:val="32"/>
          <w:lang w:eastAsia="zh-CN"/>
        </w:rPr>
        <w:t>六</w:t>
      </w:r>
      <w:r>
        <w:rPr>
          <w:rFonts w:hint="eastAsia" w:ascii="黑体" w:hAnsi="黑体" w:eastAsia="黑体" w:cs="黑体"/>
          <w:sz w:val="32"/>
          <w:szCs w:val="32"/>
        </w:rPr>
        <w:t>条　</w:t>
      </w:r>
      <w:r>
        <w:rPr>
          <w:rFonts w:hint="eastAsia" w:ascii="仿宋_GB2312" w:hAnsi="仿宋_GB2312" w:eastAsia="仿宋_GB2312" w:cs="仿宋_GB2312"/>
          <w:sz w:val="32"/>
          <w:szCs w:val="32"/>
        </w:rPr>
        <w:t>药品监督管理部门举行听证时，案件调查人员提出当事人违法事实、证据、裁量理由和行政处罚建议及依据。</w:t>
      </w:r>
    </w:p>
    <w:p w14:paraId="6283F18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听证主持人应当充分听取当事人提出的陈述、申辩和质证意见。</w:t>
      </w:r>
    </w:p>
    <w:p w14:paraId="5625B57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听证笔录应当全面、客观记载案件调查人员提出的裁量理由和当事人对于行政处罚裁量的陈述、申辩和质证意见。</w:t>
      </w:r>
    </w:p>
    <w:p w14:paraId="636EFBF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十</w:t>
      </w:r>
      <w:r>
        <w:rPr>
          <w:rFonts w:hint="eastAsia" w:ascii="黑体" w:hAnsi="黑体" w:eastAsia="黑体" w:cs="黑体"/>
          <w:sz w:val="32"/>
          <w:szCs w:val="32"/>
          <w:lang w:eastAsia="zh-CN"/>
        </w:rPr>
        <w:t>七</w:t>
      </w:r>
      <w:r>
        <w:rPr>
          <w:rFonts w:hint="eastAsia" w:ascii="黑体" w:hAnsi="黑体" w:eastAsia="黑体" w:cs="黑体"/>
          <w:sz w:val="32"/>
          <w:szCs w:val="32"/>
        </w:rPr>
        <w:t>条　</w:t>
      </w:r>
      <w:r>
        <w:rPr>
          <w:rFonts w:hint="eastAsia" w:ascii="仿宋_GB2312" w:hAnsi="仿宋_GB2312" w:eastAsia="仿宋_GB2312" w:cs="仿宋_GB2312"/>
          <w:sz w:val="32"/>
          <w:szCs w:val="32"/>
        </w:rPr>
        <w:t>对依据《市场监督管理行政处罚程序规定》属于情节复杂或者重大违法行为的案件，药品监督管理部门负责人应当集体讨论决定。行政处罚裁量情况应当在集体讨论记录中予以载明。</w:t>
      </w:r>
    </w:p>
    <w:p w14:paraId="64C1B6F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八</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药品监督管理部门实施行政处罚，适用</w:t>
      </w:r>
      <w:r>
        <w:rPr>
          <w:rFonts w:hint="eastAsia" w:ascii="仿宋_GB2312" w:hAnsi="仿宋_GB2312" w:cs="仿宋_GB2312"/>
          <w:sz w:val="32"/>
          <w:szCs w:val="32"/>
          <w:lang w:eastAsia="zh-CN"/>
        </w:rPr>
        <w:t>本级药品监督管理部门</w:t>
      </w:r>
      <w:r>
        <w:rPr>
          <w:rFonts w:hint="eastAsia" w:ascii="仿宋_GB2312" w:hAnsi="仿宋_GB2312" w:eastAsia="仿宋_GB2312" w:cs="仿宋_GB2312"/>
          <w:sz w:val="32"/>
          <w:szCs w:val="32"/>
        </w:rPr>
        <w:t>制定的行政处罚裁量基准可能出现明显不当、显失公平，或者行政处罚裁量基准适用的客观情况发生变化的，可以在不与法律、法规、规章相抵触的情况下，经本部门主要负责人批准或者负责人集体讨论通过后调整适用，并充分说明理由；批准材料或者集体讨论记录应当列入行政处罚案卷归档保存。</w:t>
      </w:r>
    </w:p>
    <w:p w14:paraId="24E89EB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适用上级药品监督管理部门制定的行政处罚裁量基准可能出现前款情形的，逐级报请基准制定部门后，可以调整适用。</w:t>
      </w:r>
    </w:p>
    <w:p w14:paraId="312C47A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w:t>
      </w:r>
      <w:r>
        <w:rPr>
          <w:rFonts w:hint="eastAsia" w:ascii="黑体" w:hAnsi="黑体" w:eastAsia="黑体" w:cs="黑体"/>
          <w:sz w:val="32"/>
          <w:szCs w:val="32"/>
          <w:lang w:eastAsia="zh-CN"/>
        </w:rPr>
        <w:t>九</w:t>
      </w:r>
      <w:r>
        <w:rPr>
          <w:rFonts w:hint="eastAsia" w:ascii="黑体" w:hAnsi="黑体" w:eastAsia="黑体" w:cs="黑体"/>
          <w:sz w:val="32"/>
          <w:szCs w:val="32"/>
        </w:rPr>
        <w:t>条　</w:t>
      </w:r>
      <w:r>
        <w:rPr>
          <w:rFonts w:hint="eastAsia" w:ascii="仿宋_GB2312" w:hAnsi="仿宋_GB2312" w:eastAsia="仿宋_GB2312" w:cs="仿宋_GB2312"/>
          <w:sz w:val="32"/>
          <w:szCs w:val="32"/>
        </w:rPr>
        <w:t>药品监督管理部门作出行政处罚决定，应当在行政处罚决定书中说明裁量理由。</w:t>
      </w:r>
    </w:p>
    <w:p w14:paraId="2121839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药品监督管理部门作出行政处罚决定，不执行上级和本级药品监督管理部门制定的行政处罚裁量基准的，应当在行政处罚决定书中明确说明裁量适用的依据和理由。</w:t>
      </w:r>
    </w:p>
    <w:p w14:paraId="48EB791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w:t>
      </w:r>
      <w:r>
        <w:rPr>
          <w:rFonts w:hint="eastAsia" w:ascii="黑体" w:hAnsi="黑体" w:eastAsia="黑体" w:cs="黑体"/>
          <w:sz w:val="32"/>
          <w:szCs w:val="32"/>
        </w:rPr>
        <w:t>十条</w:t>
      </w:r>
      <w:r>
        <w:rPr>
          <w:rFonts w:hint="eastAsia" w:ascii="仿宋_GB2312" w:hAnsi="仿宋_GB2312" w:eastAsia="仿宋_GB2312" w:cs="仿宋_GB2312"/>
          <w:sz w:val="32"/>
          <w:szCs w:val="32"/>
        </w:rPr>
        <w:t xml:space="preserve"> 本规则第</w:t>
      </w:r>
      <w:r>
        <w:rPr>
          <w:rFonts w:hint="eastAsia" w:ascii="仿宋_GB2312" w:hAnsi="仿宋_GB2312" w:cs="仿宋_GB2312"/>
          <w:sz w:val="32"/>
          <w:szCs w:val="32"/>
          <w:lang w:eastAsia="zh-CN"/>
        </w:rPr>
        <w:t>三</w:t>
      </w:r>
      <w:r>
        <w:rPr>
          <w:rFonts w:hint="eastAsia" w:ascii="仿宋_GB2312" w:hAnsi="仿宋_GB2312" w:eastAsia="仿宋_GB2312" w:cs="仿宋_GB2312"/>
          <w:sz w:val="32"/>
          <w:szCs w:val="32"/>
        </w:rPr>
        <w:t>十</w:t>
      </w:r>
      <w:r>
        <w:rPr>
          <w:rFonts w:hint="eastAsia" w:ascii="仿宋_GB2312" w:hAnsi="仿宋_GB2312" w:cs="仿宋_GB2312"/>
          <w:sz w:val="32"/>
          <w:szCs w:val="32"/>
          <w:lang w:eastAsia="zh-CN"/>
        </w:rPr>
        <w:t>四</w:t>
      </w:r>
      <w:r>
        <w:rPr>
          <w:rFonts w:hint="eastAsia" w:ascii="仿宋_GB2312" w:hAnsi="仿宋_GB2312" w:eastAsia="仿宋_GB2312" w:cs="仿宋_GB2312"/>
          <w:sz w:val="32"/>
          <w:szCs w:val="32"/>
        </w:rPr>
        <w:t>条和第三十</w:t>
      </w:r>
      <w:r>
        <w:rPr>
          <w:rFonts w:hint="eastAsia" w:ascii="仿宋_GB2312" w:hAnsi="仿宋_GB2312" w:cs="仿宋_GB2312"/>
          <w:sz w:val="32"/>
          <w:szCs w:val="32"/>
          <w:lang w:eastAsia="zh-CN"/>
        </w:rPr>
        <w:t>九</w:t>
      </w:r>
      <w:r>
        <w:rPr>
          <w:rFonts w:hint="eastAsia" w:ascii="仿宋_GB2312" w:hAnsi="仿宋_GB2312" w:eastAsia="仿宋_GB2312" w:cs="仿宋_GB2312"/>
          <w:sz w:val="32"/>
          <w:szCs w:val="32"/>
        </w:rPr>
        <w:t>条规定的裁量理由包括下列内容：</w:t>
      </w:r>
    </w:p>
    <w:p w14:paraId="6D3A3A9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（一）行政处罚裁量规则、裁量基准适用的事实依据和法律依据； </w:t>
      </w:r>
    </w:p>
    <w:p w14:paraId="74EBB97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（二）对当事人的陈述、申辩和听证意见是否采纳的意见和理由。</w:t>
      </w:r>
    </w:p>
    <w:p w14:paraId="511A425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w:t>
      </w:r>
      <w:r>
        <w:rPr>
          <w:rFonts w:hint="eastAsia" w:ascii="黑体" w:hAnsi="黑体" w:eastAsia="黑体" w:cs="黑体"/>
          <w:sz w:val="32"/>
          <w:szCs w:val="32"/>
        </w:rPr>
        <w:t>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rPr>
        <w:t>药品监督管理部门对违法行为实施行政处罚适用简易程序的，应当合理裁量。</w:t>
      </w:r>
    </w:p>
    <w:p w14:paraId="6063BBA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w:t>
      </w:r>
      <w:r>
        <w:rPr>
          <w:rFonts w:hint="eastAsia" w:ascii="黑体" w:hAnsi="黑体" w:eastAsia="黑体" w:cs="黑体"/>
          <w:sz w:val="32"/>
          <w:szCs w:val="32"/>
        </w:rPr>
        <w:t>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药品监督管理部门实施行政处罚，应当以法律、法规、规章为依据，并在裁量基准范围内作出相应的行政处罚决定。行政处罚裁量规则和裁量基准作为裁量说理依据，不得单独引用作为行政处罚的实施依据。</w:t>
      </w:r>
    </w:p>
    <w:p w14:paraId="34A97A78">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p>
    <w:p w14:paraId="4348293A">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第四章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指导与监督</w:t>
      </w:r>
    </w:p>
    <w:p w14:paraId="2BDED60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w:t>
      </w:r>
      <w:r>
        <w:rPr>
          <w:rFonts w:hint="eastAsia" w:ascii="黑体" w:hAnsi="黑体" w:eastAsia="黑体" w:cs="黑体"/>
          <w:sz w:val="32"/>
          <w:szCs w:val="32"/>
        </w:rPr>
        <w:t>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各级药品监督管理部门应当加强行政执法规范化建设，规范行政处罚裁量权，落实行政执法责任制和过错责任追究制，建立健全行政处罚裁量监督机制。</w:t>
      </w:r>
    </w:p>
    <w:p w14:paraId="1F1C104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cs="仿宋_GB2312"/>
          <w:sz w:val="32"/>
          <w:szCs w:val="32"/>
          <w:lang w:eastAsia="zh-CN"/>
        </w:rPr>
      </w:pPr>
      <w:r>
        <w:rPr>
          <w:rFonts w:hint="eastAsia" w:ascii="黑体" w:hAnsi="黑体" w:eastAsia="黑体" w:cs="黑体"/>
          <w:sz w:val="32"/>
          <w:szCs w:val="32"/>
        </w:rPr>
        <w:t>第四十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仿宋_GB2312" w:hAnsi="仿宋_GB2312" w:eastAsia="仿宋_GB2312" w:cs="仿宋_GB2312"/>
          <w:sz w:val="32"/>
          <w:szCs w:val="32"/>
        </w:rPr>
        <w:t>　上</w:t>
      </w:r>
      <w:r>
        <w:rPr>
          <w:rFonts w:hint="eastAsia" w:ascii="仿宋_GB2312" w:hAnsi="仿宋_GB2312" w:cs="仿宋_GB2312"/>
          <w:sz w:val="32"/>
          <w:szCs w:val="32"/>
          <w:lang w:eastAsia="zh-CN"/>
        </w:rPr>
        <w:t>级</w:t>
      </w:r>
      <w:r>
        <w:rPr>
          <w:rFonts w:hint="eastAsia" w:ascii="仿宋_GB2312" w:hAnsi="仿宋_GB2312" w:eastAsia="仿宋_GB2312" w:cs="仿宋_GB2312"/>
          <w:sz w:val="32"/>
          <w:szCs w:val="32"/>
        </w:rPr>
        <w:t>药品监督管理部门应当</w:t>
      </w:r>
      <w:r>
        <w:rPr>
          <w:rFonts w:hint="eastAsia" w:ascii="仿宋_GB2312" w:hAnsi="仿宋_GB2312" w:cs="仿宋_GB2312"/>
          <w:sz w:val="32"/>
          <w:szCs w:val="32"/>
          <w:lang w:eastAsia="zh-CN"/>
        </w:rPr>
        <w:t>对下级药品监督管理部门在行政处罚过程中行使行政处罚裁量权进行指导。</w:t>
      </w:r>
    </w:p>
    <w:p w14:paraId="2BF5200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五</w:t>
      </w:r>
      <w:r>
        <w:rPr>
          <w:rFonts w:hint="eastAsia" w:ascii="黑体" w:hAnsi="黑体" w:eastAsia="黑体" w:cs="黑体"/>
          <w:sz w:val="32"/>
          <w:szCs w:val="32"/>
        </w:rPr>
        <w:t xml:space="preserve">条 </w:t>
      </w:r>
      <w:r>
        <w:rPr>
          <w:rFonts w:hint="eastAsia" w:ascii="仿宋_GB2312" w:hAnsi="仿宋_GB2312" w:eastAsia="仿宋_GB2312" w:cs="仿宋_GB2312"/>
          <w:sz w:val="32"/>
          <w:szCs w:val="32"/>
        </w:rPr>
        <w:t xml:space="preserve"> 药品监督管理部门实施行政处罚，不得出现下列情形：</w:t>
      </w:r>
    </w:p>
    <w:p w14:paraId="2D8837D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（一）违法行为的事实、性质、情节以及社会危害程度与当事人受到的行政处罚相比，畸轻畸重的；</w:t>
      </w:r>
    </w:p>
    <w:p w14:paraId="717A97F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（二）依法应当对当事人不予行政处罚或者应当从轻、减轻行政处罚，但滥施行政处罚或者未予从轻、减轻行政处罚的；</w:t>
      </w:r>
    </w:p>
    <w:p w14:paraId="1EB13B8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（三）在同一个或者同类案件中，不同当事人的违法行为的事实、性质、情节以及社会危害程度相同或者基本相同，但所受处罚明显不同的；</w:t>
      </w:r>
    </w:p>
    <w:p w14:paraId="2EE4AF7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（四）采取引诱、欺诈、胁迫、暴力等不正当方式，致使当事人违法并对其实施行政处罚的；</w:t>
      </w:r>
    </w:p>
    <w:p w14:paraId="2C72DEC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（五）其他滥用行政处罚裁量权的情形。</w:t>
      </w:r>
    </w:p>
    <w:p w14:paraId="377E6CE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w:t>
      </w:r>
      <w:r>
        <w:rPr>
          <w:rFonts w:hint="eastAsia" w:ascii="黑体" w:hAnsi="黑体" w:eastAsia="黑体" w:cs="黑体"/>
          <w:sz w:val="32"/>
          <w:szCs w:val="32"/>
          <w:lang w:eastAsia="zh-CN"/>
        </w:rPr>
        <w:t>六</w:t>
      </w:r>
      <w:r>
        <w:rPr>
          <w:rFonts w:hint="eastAsia" w:ascii="黑体" w:hAnsi="黑体" w:eastAsia="黑体" w:cs="黑体"/>
          <w:sz w:val="32"/>
          <w:szCs w:val="32"/>
        </w:rPr>
        <w:t>条　</w:t>
      </w:r>
      <w:r>
        <w:rPr>
          <w:rFonts w:hint="eastAsia" w:ascii="仿宋_GB2312" w:hAnsi="仿宋_GB2312" w:cs="仿宋_GB2312"/>
          <w:sz w:val="32"/>
          <w:szCs w:val="32"/>
          <w:lang w:val="en-US" w:eastAsia="zh-CN"/>
        </w:rPr>
        <w:t>药品</w:t>
      </w:r>
      <w:r>
        <w:rPr>
          <w:rFonts w:hint="eastAsia" w:ascii="仿宋_GB2312" w:hAnsi="仿宋_GB2312" w:eastAsia="仿宋_GB2312" w:cs="仿宋_GB2312"/>
          <w:sz w:val="32"/>
          <w:szCs w:val="32"/>
        </w:rPr>
        <w:t>行政处罚裁量规则和裁量基准为执法监督中审查具体行政行为合法性和适当性的依据</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各级药品监督管理部门应当通过行政执法监督检查、行政处罚案卷评查、执法评议考核等方式，对下级药品监督管理部门行使行政处罚裁量权的情况进行指导和监督，发现已经制定的行政处罚裁量基准或者行政处罚裁量权行使存在违法或者明显不当情形的，责令限期改正；必要时可以直接纠正。</w:t>
      </w:r>
    </w:p>
    <w:p w14:paraId="21DB782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w:t>
      </w:r>
      <w:r>
        <w:rPr>
          <w:rFonts w:hint="eastAsia" w:ascii="黑体" w:hAnsi="黑体" w:eastAsia="黑体" w:cs="黑体"/>
          <w:sz w:val="32"/>
          <w:szCs w:val="32"/>
        </w:rPr>
        <w:t>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药品监督管理部门及其工作人员不执行本规则，或者滥用行政处罚裁量权致使行政处罚显失公正的，依照相关规定追究责任。涉嫌违纪、犯罪的，移交监察部门、司法机关依法处理。</w:t>
      </w:r>
    </w:p>
    <w:p w14:paraId="4DE614CE">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附则</w:t>
      </w:r>
    </w:p>
    <w:p w14:paraId="559DD9D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w:t>
      </w:r>
      <w:r>
        <w:rPr>
          <w:rFonts w:hint="eastAsia" w:ascii="黑体" w:hAnsi="黑体" w:eastAsia="黑体" w:cs="黑体"/>
          <w:sz w:val="32"/>
          <w:szCs w:val="32"/>
        </w:rPr>
        <w:t>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各级药品监管部门在具体案件中可参考江西省市场监管领域轻微违法行为不予处罚清单、减轻行政处罚清单、从轻行政处罚清单的有关规定进行裁量。</w:t>
      </w:r>
    </w:p>
    <w:p w14:paraId="72BFA1B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pacing w:val="-11"/>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w:t>
      </w:r>
      <w:r>
        <w:rPr>
          <w:rFonts w:hint="eastAsia" w:ascii="黑体" w:hAnsi="黑体" w:eastAsia="黑体" w:cs="黑体"/>
          <w:sz w:val="32"/>
          <w:szCs w:val="32"/>
        </w:rPr>
        <w:t>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仿宋_GB2312" w:hAnsi="仿宋_GB2312" w:eastAsia="仿宋_GB2312" w:cs="仿宋_GB2312"/>
          <w:sz w:val="32"/>
          <w:szCs w:val="32"/>
        </w:rPr>
        <w:t> 本</w:t>
      </w:r>
      <w:r>
        <w:rPr>
          <w:rFonts w:hint="eastAsia" w:ascii="仿宋_GB2312" w:hAnsi="仿宋_GB2312" w:eastAsia="仿宋_GB2312" w:cs="仿宋_GB2312"/>
          <w:spacing w:val="-11"/>
          <w:sz w:val="32"/>
          <w:szCs w:val="32"/>
        </w:rPr>
        <w:t>规则所称“以上”含本数，“以下”不含本数。</w:t>
      </w:r>
    </w:p>
    <w:p w14:paraId="59203FE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p>
    <w:p w14:paraId="2FACEC2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w:t>
      </w:r>
      <w:r>
        <w:rPr>
          <w:rFonts w:hint="eastAsia" w:ascii="黑体" w:hAnsi="黑体" w:eastAsia="黑体" w:cs="黑体"/>
          <w:sz w:val="32"/>
          <w:szCs w:val="32"/>
        </w:rPr>
        <w:t>十</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仿宋_GB2312" w:hAnsi="仿宋_GB2312" w:eastAsia="仿宋_GB2312" w:cs="仿宋_GB2312"/>
          <w:sz w:val="32"/>
          <w:szCs w:val="32"/>
        </w:rPr>
        <w:t> </w:t>
      </w:r>
      <w:r>
        <w:rPr>
          <w:rFonts w:hint="eastAsia" w:ascii="方正楷体简体" w:hAnsi="方正楷体简体" w:eastAsia="方正楷体简体" w:cs="方正楷体简体"/>
          <w:sz w:val="32"/>
          <w:szCs w:val="32"/>
        </w:rPr>
        <w:t xml:space="preserve"> </w:t>
      </w:r>
      <w:r>
        <w:rPr>
          <w:rFonts w:hint="eastAsia" w:ascii="仿宋_GB2312" w:hAnsi="仿宋_GB2312" w:eastAsia="仿宋_GB2312" w:cs="仿宋_GB2312"/>
          <w:sz w:val="32"/>
          <w:szCs w:val="32"/>
        </w:rPr>
        <w:t>本规则所称同一性质违法行为是指适用相同的法律条款作出行政处罚决定的违法行为。</w:t>
      </w:r>
    </w:p>
    <w:p w14:paraId="04505F1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十条</w:t>
      </w:r>
      <w:r>
        <w:rPr>
          <w:rFonts w:hint="eastAsia" w:ascii="仿宋_GB2312" w:hAnsi="仿宋_GB2312" w:eastAsia="仿宋_GB2312" w:cs="仿宋_GB2312"/>
          <w:sz w:val="32"/>
          <w:szCs w:val="32"/>
        </w:rPr>
        <w:t xml:space="preserve"> 本规则所称“牵连关系”，是指当事人实施一个违法行为，其违法的手段行为或结果行为又符合其他违法行为构成要件的违法形态。构成牵连关系须存在数个独立的违法行为，行为人出于一个违法目的，数个违法行为之间存在内在的必然联系，数个违法行为分别触犯了不同的法律规范或条文。</w:t>
      </w:r>
    </w:p>
    <w:p w14:paraId="42EE112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本规则所称“造成严重后果”，是指造成人员</w:t>
      </w:r>
      <w:bookmarkStart w:id="0" w:name="_GoBack"/>
      <w:bookmarkEnd w:id="0"/>
      <w:r>
        <w:rPr>
          <w:rFonts w:hint="eastAsia" w:ascii="仿宋_GB2312" w:hAnsi="仿宋_GB2312" w:eastAsia="仿宋_GB2312" w:cs="仿宋_GB2312"/>
          <w:sz w:val="32"/>
          <w:szCs w:val="32"/>
        </w:rPr>
        <w:t>伤害后果以及社会危害程度严重的情形。包括最高人民法院、最高人民检察院《关于办理危害药品安全刑事案件若干问题解释》中规定的“对人体健康造成严重危害”或“其他严重情节”“其他特别严重情节”等情形。</w:t>
      </w:r>
    </w:p>
    <w:p w14:paraId="1B55F82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造成人员伤害后果，是指轻伤以上伤害、轻度以上残疾、器官组织损伤导致功能障碍及其他严重危害人体健康的情形。</w:t>
      </w:r>
    </w:p>
    <w:p w14:paraId="2C2E255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涉案产品是否“造成严重后果”或“对人体健康造成严重危害”或“社会危害程度严重”认定困难的，可由专家依据法律、法规或相关规定予以认定。</w:t>
      </w:r>
    </w:p>
    <w:p w14:paraId="4CA4C08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rPr>
        <w:t>　本规则由江西省药品监督管理局负责解释，</w:t>
      </w:r>
      <w:r>
        <w:rPr>
          <w:rFonts w:hint="eastAsia" w:ascii="仿宋_GB2312" w:hAnsi="仿宋_GB2312" w:cs="仿宋_GB2312"/>
          <w:sz w:val="32"/>
          <w:szCs w:val="32"/>
          <w:lang w:eastAsia="zh-CN"/>
        </w:rPr>
        <w:t>自</w:t>
      </w:r>
      <w:r>
        <w:rPr>
          <w:rFonts w:hint="eastAsia" w:ascii="仿宋_GB2312" w:hAnsi="仿宋_GB2312" w:cs="仿宋_GB2312"/>
          <w:sz w:val="32"/>
          <w:szCs w:val="32"/>
          <w:lang w:val="en-US" w:eastAsia="zh-CN"/>
        </w:rPr>
        <w:t>2024年  月  日施行</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原</w:t>
      </w:r>
      <w:r>
        <w:rPr>
          <w:rFonts w:hint="eastAsia" w:ascii="仿宋_GB2312" w:hAnsi="仿宋_GB2312" w:eastAsia="仿宋_GB2312" w:cs="仿宋_GB2312"/>
          <w:sz w:val="32"/>
          <w:szCs w:val="32"/>
        </w:rPr>
        <w:t>《江西省药品监督管理局行政处罚裁量适用规则》（赣药监规字〔2023〕5号）同时废止。</w:t>
      </w:r>
    </w:p>
    <w:p w14:paraId="7A2F2115">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黑体" w:hAnsi="黑体" w:eastAsia="黑体" w:cs="方正小标宋简体"/>
          <w:szCs w:val="32"/>
        </w:rPr>
      </w:pPr>
    </w:p>
    <w:p w14:paraId="25A5A32E"/>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8" w:header="851" w:footer="1587" w:gutter="0"/>
      <w:pgNumType w:fmt="decimal"/>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22EC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D1A9EE">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fill on="f" focussize="0,0"/>
              <v:stroke on="f"/>
              <v:imagedata o:title=""/>
              <o:lock v:ext="edit" aspectratio="f"/>
              <v:textbox inset="0mm,0mm,0mm,0mm" style="mso-fit-shape-to-text:t;">
                <w:txbxContent>
                  <w:p w14:paraId="3BD1A9EE">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BB27B">
    <w:pPr>
      <w:pStyle w:val="2"/>
      <w:widowControl/>
      <w:numPr>
        <w:ilvl w:val="0"/>
        <w:numId w:val="0"/>
      </w:numPr>
      <w:adjustRightInd w:val="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C0CF5C">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14:paraId="30C0CF5C">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601E6">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B6C3F">
    <w:pPr>
      <w:ind w:firstLine="4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4FD31">
    <w:pPr>
      <w:ind w:firstLine="4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ECF03">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iZGI5NGQ0N2Q2MTMxMTBjNTVmOWNlNTJkNGI4YjYifQ=="/>
  </w:docVars>
  <w:rsids>
    <w:rsidRoot w:val="00000000"/>
    <w:rsid w:val="17D93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2024-09-03T03:19:03Z</dcterms:created>
  <dc:creator>Administrator</dc:creator>
  <cp:lastModifiedBy>江智燕</cp:lastModifiedBy>
  <dcterms:modified xsi:type="dcterms:W3CDTF">2024-09-03T03:19:59Z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18E3D525D5C843F5936988F1DBDD59FA_12</vt:lpwstr>
  </property>
</Properties>
</file>