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F9E98">
      <w:pPr>
        <w:pStyle w:val="5"/>
        <w:rPr>
          <w:rFonts w:ascii="Times New Roman" w:hAnsi="Times New Roman" w:cs="Times New Roman"/>
          <w:sz w:val="30"/>
          <w:szCs w:val="30"/>
        </w:rPr>
      </w:pPr>
      <w:r>
        <w:rPr>
          <w:rFonts w:ascii="Times New Roman" w:hAnsi="Times New Roman" w:cs="Times New Roman"/>
          <w:sz w:val="30"/>
          <w:szCs w:val="30"/>
        </w:rPr>
        <w:t>标准制订项目编号：202</w:t>
      </w:r>
      <w:r>
        <w:rPr>
          <w:rFonts w:hint="eastAsia" w:ascii="Times New Roman" w:hAnsi="Times New Roman" w:cs="Times New Roman"/>
          <w:sz w:val="30"/>
          <w:szCs w:val="30"/>
        </w:rPr>
        <w:t>4</w:t>
      </w:r>
      <w:r>
        <w:rPr>
          <w:rFonts w:ascii="Times New Roman" w:hAnsi="Times New Roman" w:cs="Times New Roman"/>
          <w:sz w:val="30"/>
          <w:szCs w:val="30"/>
        </w:rPr>
        <w:t>-0</w:t>
      </w:r>
      <w:r>
        <w:rPr>
          <w:rFonts w:hint="eastAsia" w:ascii="Times New Roman" w:hAnsi="Times New Roman" w:cs="Times New Roman"/>
          <w:sz w:val="30"/>
          <w:szCs w:val="30"/>
        </w:rPr>
        <w:t>201</w:t>
      </w:r>
    </w:p>
    <w:p w14:paraId="5E474E16">
      <w:pPr>
        <w:pStyle w:val="5"/>
        <w:jc w:val="center"/>
        <w:rPr>
          <w:rFonts w:ascii="Times New Roman" w:hAnsi="Times New Roman" w:eastAsia="黑体" w:cs="Times New Roman"/>
          <w:sz w:val="44"/>
          <w:szCs w:val="44"/>
        </w:rPr>
      </w:pPr>
    </w:p>
    <w:p w14:paraId="61DCC542">
      <w:pPr>
        <w:pStyle w:val="5"/>
        <w:jc w:val="center"/>
        <w:rPr>
          <w:rFonts w:ascii="Times New Roman" w:hAnsi="Times New Roman" w:eastAsia="黑体" w:cs="Times New Roman"/>
          <w:sz w:val="44"/>
          <w:szCs w:val="44"/>
        </w:rPr>
      </w:pPr>
    </w:p>
    <w:p w14:paraId="0DA75FA9">
      <w:pPr>
        <w:pStyle w:val="5"/>
        <w:jc w:val="center"/>
        <w:rPr>
          <w:rFonts w:ascii="Times New Roman" w:hAnsi="Times New Roman" w:eastAsia="黑体" w:cs="Times New Roman"/>
          <w:sz w:val="44"/>
          <w:szCs w:val="44"/>
        </w:rPr>
      </w:pPr>
    </w:p>
    <w:p w14:paraId="51C6E9DB">
      <w:pPr>
        <w:pStyle w:val="5"/>
        <w:jc w:val="center"/>
        <w:rPr>
          <w:rFonts w:ascii="Times New Roman" w:hAnsi="Times New Roman" w:eastAsia="黑体" w:cs="Times New Roman"/>
          <w:sz w:val="44"/>
          <w:szCs w:val="44"/>
        </w:rPr>
      </w:pPr>
    </w:p>
    <w:p w14:paraId="107A27A4">
      <w:pPr>
        <w:pStyle w:val="5"/>
        <w:jc w:val="center"/>
        <w:rPr>
          <w:rFonts w:ascii="Times New Roman" w:hAnsi="Times New Roman" w:eastAsia="黑体" w:cs="Times New Roman"/>
          <w:sz w:val="44"/>
          <w:szCs w:val="44"/>
        </w:rPr>
      </w:pPr>
    </w:p>
    <w:p w14:paraId="6F89706B">
      <w:pPr>
        <w:spacing w:before="2"/>
        <w:rPr>
          <w:sz w:val="35"/>
          <w:szCs w:val="35"/>
        </w:rPr>
      </w:pPr>
      <w:r>
        <w:rPr>
          <w:rFonts w:hint="eastAsia" w:hAnsi="黑体" w:eastAsia="黑体"/>
          <w:sz w:val="52"/>
          <w:szCs w:val="52"/>
        </w:rPr>
        <w:t>原发性高血压患者健康管理服务规范</w:t>
      </w:r>
    </w:p>
    <w:p w14:paraId="501EFE28">
      <w:pPr>
        <w:pStyle w:val="5"/>
        <w:jc w:val="center"/>
        <w:rPr>
          <w:rFonts w:ascii="Times New Roman" w:hAnsi="Times New Roman" w:cs="Times New Roman"/>
          <w:b/>
          <w:sz w:val="28"/>
          <w:szCs w:val="28"/>
        </w:rPr>
      </w:pPr>
    </w:p>
    <w:p w14:paraId="7675F2BD">
      <w:pPr>
        <w:pStyle w:val="5"/>
        <w:jc w:val="center"/>
        <w:rPr>
          <w:rFonts w:ascii="Times New Roman" w:hAnsi="Times New Roman" w:cs="Times New Roman"/>
          <w:b/>
          <w:sz w:val="28"/>
          <w:szCs w:val="28"/>
        </w:rPr>
      </w:pPr>
    </w:p>
    <w:p w14:paraId="6EF8CC1E">
      <w:pPr>
        <w:pStyle w:val="5"/>
        <w:jc w:val="center"/>
        <w:rPr>
          <w:rFonts w:ascii="Times New Roman" w:hAnsi="Times New Roman" w:cs="Times New Roman"/>
          <w:b/>
          <w:sz w:val="28"/>
          <w:szCs w:val="28"/>
        </w:rPr>
      </w:pPr>
    </w:p>
    <w:p w14:paraId="064C0F8D">
      <w:pPr>
        <w:pStyle w:val="5"/>
        <w:ind w:firstLine="3080" w:firstLineChars="700"/>
        <w:jc w:val="both"/>
        <w:rPr>
          <w:rFonts w:ascii="Times New Roman" w:hAnsi="Times New Roman" w:eastAsia="黑体" w:cs="Times New Roman"/>
          <w:sz w:val="44"/>
          <w:szCs w:val="44"/>
        </w:rPr>
      </w:pPr>
      <w:r>
        <w:rPr>
          <w:rFonts w:ascii="Times New Roman" w:hAnsi="Times New Roman" w:eastAsia="黑体" w:cs="Times New Roman"/>
          <w:sz w:val="44"/>
          <w:szCs w:val="44"/>
        </w:rPr>
        <w:t>编 制 说 明</w:t>
      </w:r>
    </w:p>
    <w:p w14:paraId="5289AF49">
      <w:pPr>
        <w:pStyle w:val="5"/>
        <w:spacing w:line="600" w:lineRule="exact"/>
        <w:jc w:val="center"/>
        <w:rPr>
          <w:rFonts w:ascii="Times New Roman" w:hAnsi="Times New Roman" w:cs="Times New Roman"/>
          <w:b/>
          <w:sz w:val="28"/>
          <w:szCs w:val="28"/>
        </w:rPr>
      </w:pPr>
    </w:p>
    <w:p w14:paraId="3674740D">
      <w:pPr>
        <w:pStyle w:val="5"/>
        <w:spacing w:line="600" w:lineRule="exact"/>
        <w:rPr>
          <w:rFonts w:ascii="Times New Roman" w:hAnsi="Times New Roman" w:cs="Times New Roman"/>
          <w:b/>
          <w:sz w:val="32"/>
          <w:szCs w:val="32"/>
        </w:rPr>
      </w:pPr>
    </w:p>
    <w:p w14:paraId="4AB21CEC">
      <w:pPr>
        <w:pStyle w:val="5"/>
        <w:spacing w:line="600" w:lineRule="exact"/>
        <w:jc w:val="center"/>
        <w:rPr>
          <w:rFonts w:ascii="Times New Roman" w:hAnsi="Times New Roman" w:cs="Times New Roman"/>
          <w:b/>
          <w:sz w:val="32"/>
          <w:szCs w:val="32"/>
        </w:rPr>
      </w:pPr>
    </w:p>
    <w:p w14:paraId="497718C8">
      <w:pPr>
        <w:pStyle w:val="5"/>
        <w:spacing w:line="600" w:lineRule="exact"/>
        <w:jc w:val="center"/>
        <w:rPr>
          <w:rFonts w:ascii="Times New Roman" w:hAnsi="Times New Roman" w:cs="Times New Roman"/>
          <w:b/>
          <w:sz w:val="32"/>
          <w:szCs w:val="32"/>
        </w:rPr>
      </w:pPr>
    </w:p>
    <w:p w14:paraId="15318793">
      <w:pPr>
        <w:pStyle w:val="5"/>
        <w:spacing w:line="600" w:lineRule="exact"/>
        <w:jc w:val="center"/>
        <w:rPr>
          <w:rFonts w:ascii="Times New Roman" w:hAnsi="Times New Roman" w:cs="Times New Roman"/>
          <w:b/>
          <w:sz w:val="32"/>
          <w:szCs w:val="32"/>
        </w:rPr>
      </w:pPr>
    </w:p>
    <w:p w14:paraId="6D245A1E">
      <w:pPr>
        <w:pStyle w:val="5"/>
        <w:spacing w:line="600" w:lineRule="exact"/>
        <w:jc w:val="center"/>
        <w:rPr>
          <w:rFonts w:ascii="Times New Roman" w:hAnsi="Times New Roman" w:cs="Times New Roman"/>
          <w:b/>
          <w:sz w:val="32"/>
          <w:szCs w:val="32"/>
        </w:rPr>
      </w:pPr>
    </w:p>
    <w:p w14:paraId="5C37AF23">
      <w:pPr>
        <w:pStyle w:val="5"/>
        <w:spacing w:line="600" w:lineRule="exact"/>
        <w:jc w:val="center"/>
        <w:rPr>
          <w:rFonts w:ascii="Times New Roman" w:hAnsi="Times New Roman" w:cs="Times New Roman"/>
          <w:b/>
          <w:sz w:val="32"/>
          <w:szCs w:val="32"/>
        </w:rPr>
      </w:pPr>
    </w:p>
    <w:p w14:paraId="503F4657">
      <w:pPr>
        <w:pStyle w:val="5"/>
        <w:spacing w:line="600" w:lineRule="exact"/>
        <w:jc w:val="center"/>
        <w:rPr>
          <w:rFonts w:ascii="Times New Roman" w:hAnsi="Times New Roman" w:cs="Times New Roman"/>
          <w:b/>
          <w:sz w:val="32"/>
          <w:szCs w:val="32"/>
        </w:rPr>
      </w:pPr>
    </w:p>
    <w:p w14:paraId="48046492">
      <w:pPr>
        <w:pStyle w:val="5"/>
        <w:spacing w:line="600" w:lineRule="exact"/>
        <w:jc w:val="center"/>
        <w:rPr>
          <w:rFonts w:ascii="Times New Roman" w:hAnsi="Times New Roman" w:cs="Times New Roman"/>
          <w:b/>
          <w:sz w:val="32"/>
          <w:szCs w:val="32"/>
        </w:rPr>
      </w:pPr>
    </w:p>
    <w:p w14:paraId="1C72B55F">
      <w:pPr>
        <w:pStyle w:val="5"/>
        <w:spacing w:line="600" w:lineRule="exact"/>
        <w:jc w:val="center"/>
        <w:rPr>
          <w:rFonts w:ascii="Times New Roman" w:hAnsi="Times New Roman" w:cs="Times New Roman" w:eastAsiaTheme="minorEastAsia"/>
          <w:b/>
          <w:sz w:val="32"/>
          <w:szCs w:val="32"/>
        </w:rPr>
      </w:pPr>
      <w:r>
        <w:rPr>
          <w:rFonts w:ascii="Times New Roman" w:cs="Times New Roman" w:hAnsiTheme="minorEastAsia" w:eastAsiaTheme="minorEastAsia"/>
          <w:b/>
          <w:sz w:val="32"/>
          <w:szCs w:val="32"/>
        </w:rPr>
        <w:t>太原市疾病预防控制中心</w:t>
      </w:r>
    </w:p>
    <w:p w14:paraId="0CA419F4">
      <w:pPr>
        <w:pStyle w:val="5"/>
        <w:spacing w:line="600" w:lineRule="exact"/>
        <w:jc w:val="center"/>
        <w:rPr>
          <w:rFonts w:ascii="Times New Roman" w:hAnsi="Times New Roman" w:cs="Times New Roman" w:eastAsiaTheme="minorEastAsia"/>
          <w:b/>
          <w:sz w:val="32"/>
          <w:szCs w:val="32"/>
        </w:rPr>
      </w:pPr>
      <w:r>
        <w:rPr>
          <w:rFonts w:ascii="Times New Roman" w:hAnsi="Times New Roman" w:cs="Times New Roman" w:eastAsiaTheme="minorEastAsia"/>
          <w:b/>
          <w:sz w:val="32"/>
          <w:szCs w:val="32"/>
        </w:rPr>
        <w:t>202</w:t>
      </w:r>
      <w:r>
        <w:rPr>
          <w:rFonts w:hint="eastAsia" w:ascii="Times New Roman" w:hAnsi="Times New Roman" w:cs="Times New Roman" w:eastAsiaTheme="minorEastAsia"/>
          <w:b/>
          <w:sz w:val="32"/>
          <w:szCs w:val="32"/>
        </w:rPr>
        <w:t>4</w:t>
      </w:r>
      <w:r>
        <w:rPr>
          <w:rFonts w:ascii="Times New Roman" w:cs="Times New Roman" w:hAnsiTheme="minorEastAsia" w:eastAsiaTheme="minorEastAsia"/>
          <w:b/>
          <w:sz w:val="32"/>
          <w:szCs w:val="32"/>
        </w:rPr>
        <w:t>年</w:t>
      </w:r>
      <w:r>
        <w:rPr>
          <w:rFonts w:hint="eastAsia" w:ascii="Times New Roman" w:hAnsi="Times New Roman" w:cs="Times New Roman" w:eastAsiaTheme="minorEastAsia"/>
          <w:b/>
          <w:sz w:val="32"/>
          <w:szCs w:val="32"/>
        </w:rPr>
        <w:t>8</w:t>
      </w:r>
      <w:r>
        <w:rPr>
          <w:rFonts w:ascii="Times New Roman" w:cs="Times New Roman" w:hAnsiTheme="minorEastAsia" w:eastAsiaTheme="minorEastAsia"/>
          <w:b/>
          <w:sz w:val="32"/>
          <w:szCs w:val="32"/>
        </w:rPr>
        <w:t>月</w:t>
      </w:r>
      <w:bookmarkStart w:id="0" w:name="_GoBack"/>
      <w:bookmarkEnd w:id="0"/>
      <w:r>
        <w:rPr>
          <w:rFonts w:hint="eastAsia" w:ascii="Times New Roman" w:hAnsi="Times New Roman" w:cs="Times New Roman" w:eastAsiaTheme="minorEastAsia"/>
          <w:b/>
          <w:sz w:val="32"/>
          <w:szCs w:val="32"/>
        </w:rPr>
        <w:t>1</w:t>
      </w:r>
      <w:r>
        <w:rPr>
          <w:rFonts w:ascii="Times New Roman" w:cs="Times New Roman" w:hAnsiTheme="minorEastAsia" w:eastAsiaTheme="minorEastAsia"/>
          <w:b/>
          <w:sz w:val="32"/>
          <w:szCs w:val="32"/>
        </w:rPr>
        <w:t>日</w:t>
      </w:r>
    </w:p>
    <w:p w14:paraId="47125B54">
      <w:pPr>
        <w:pStyle w:val="5"/>
        <w:jc w:val="center"/>
        <w:rPr>
          <w:rFonts w:ascii="Times New Roman" w:hAnsi="Times New Roman" w:cs="Times New Roman"/>
          <w:sz w:val="28"/>
          <w:szCs w:val="32"/>
        </w:rPr>
      </w:pPr>
    </w:p>
    <w:p w14:paraId="1DF327F6">
      <w:pPr>
        <w:pStyle w:val="5"/>
        <w:jc w:val="center"/>
        <w:rPr>
          <w:rFonts w:ascii="Times New Roman" w:hAnsi="Times New Roman" w:cs="Times New Roman"/>
          <w:sz w:val="28"/>
          <w:szCs w:val="32"/>
        </w:rPr>
        <w:sectPr>
          <w:footerReference r:id="rId3" w:type="default"/>
          <w:pgSz w:w="11910" w:h="16840"/>
          <w:pgMar w:top="1588" w:right="1588" w:bottom="1588" w:left="1588" w:header="0" w:footer="1195" w:gutter="0"/>
          <w:pgNumType w:start="1"/>
          <w:cols w:space="720" w:num="1"/>
          <w:docGrid w:linePitch="286" w:charSpace="0"/>
        </w:sectPr>
      </w:pPr>
    </w:p>
    <w:p w14:paraId="208D533D">
      <w:pPr>
        <w:spacing w:line="600" w:lineRule="exact"/>
        <w:jc w:val="center"/>
        <w:rPr>
          <w:b/>
          <w:sz w:val="44"/>
          <w:szCs w:val="44"/>
        </w:rPr>
      </w:pPr>
    </w:p>
    <w:p w14:paraId="628CDBF0">
      <w:pPr>
        <w:spacing w:line="600" w:lineRule="exact"/>
        <w:jc w:val="center"/>
        <w:rPr>
          <w:b/>
          <w:sz w:val="36"/>
          <w:szCs w:val="36"/>
        </w:rPr>
      </w:pPr>
      <w:r>
        <w:rPr>
          <w:rFonts w:hint="eastAsia" w:hAnsi="宋体"/>
          <w:b/>
          <w:sz w:val="36"/>
          <w:szCs w:val="36"/>
        </w:rPr>
        <w:t>《原发性高血压患者健康管理服务规范》</w:t>
      </w:r>
    </w:p>
    <w:p w14:paraId="32C754DE">
      <w:pPr>
        <w:spacing w:line="600" w:lineRule="exact"/>
        <w:jc w:val="center"/>
        <w:rPr>
          <w:b/>
          <w:sz w:val="36"/>
          <w:szCs w:val="36"/>
        </w:rPr>
      </w:pPr>
      <w:r>
        <w:rPr>
          <w:rFonts w:hAnsi="宋体"/>
          <w:b/>
          <w:sz w:val="36"/>
          <w:szCs w:val="36"/>
        </w:rPr>
        <w:t>编制说明</w:t>
      </w:r>
    </w:p>
    <w:p w14:paraId="31B4C2FA">
      <w:pPr>
        <w:spacing w:line="600" w:lineRule="exact"/>
        <w:rPr>
          <w:szCs w:val="32"/>
        </w:rPr>
      </w:pPr>
    </w:p>
    <w:p w14:paraId="63E6C5D5">
      <w:pPr>
        <w:pStyle w:val="12"/>
        <w:kinsoku w:val="0"/>
        <w:overflowPunct w:val="0"/>
        <w:spacing w:line="600" w:lineRule="exact"/>
        <w:ind w:left="0" w:firstLine="600" w:firstLineChars="200"/>
        <w:jc w:val="both"/>
        <w:outlineLvl w:val="9"/>
        <w:rPr>
          <w:rFonts w:ascii="Times New Roman" w:eastAsia="黑体" w:cs="Times New Roman"/>
          <w:b w:val="0"/>
          <w:kern w:val="2"/>
          <w:sz w:val="30"/>
          <w:szCs w:val="30"/>
        </w:rPr>
      </w:pPr>
      <w:r>
        <w:rPr>
          <w:rFonts w:ascii="Times New Roman" w:hAnsi="黑体" w:eastAsia="黑体" w:cs="Times New Roman"/>
          <w:b w:val="0"/>
          <w:kern w:val="2"/>
          <w:sz w:val="30"/>
          <w:szCs w:val="30"/>
        </w:rPr>
        <w:t>一、</w:t>
      </w:r>
      <w:r>
        <w:rPr>
          <w:rFonts w:hint="eastAsia" w:ascii="Times New Roman" w:hAnsi="黑体" w:eastAsia="黑体" w:cs="Times New Roman"/>
          <w:b w:val="0"/>
          <w:kern w:val="2"/>
          <w:sz w:val="30"/>
          <w:szCs w:val="30"/>
        </w:rPr>
        <w:t>工作简况</w:t>
      </w:r>
    </w:p>
    <w:p w14:paraId="03F06100">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（一）任务来源</w:t>
      </w:r>
    </w:p>
    <w:p w14:paraId="5275C955">
      <w:pPr>
        <w:ind w:firstLine="640" w:firstLineChars="200"/>
        <w:rPr>
          <w:rFonts w:asciiTheme="minorEastAsia" w:hAnsiTheme="minorEastAsia" w:eastAsiaTheme="minorEastAsia" w:cstheme="minorEastAsia"/>
          <w:bCs/>
          <w:spacing w:val="20"/>
          <w:sz w:val="28"/>
          <w:szCs w:val="28"/>
        </w:rPr>
      </w:pPr>
      <w:r>
        <w:rPr>
          <w:rFonts w:hint="eastAsia" w:asciiTheme="minorEastAsia" w:hAnsiTheme="minorEastAsia" w:eastAsiaTheme="minorEastAsia" w:cstheme="minorEastAsia"/>
          <w:bCs/>
          <w:spacing w:val="20"/>
          <w:sz w:val="28"/>
          <w:szCs w:val="28"/>
        </w:rPr>
        <w:t>根据</w:t>
      </w:r>
      <w:r>
        <w:rPr>
          <w:rFonts w:hint="eastAsia" w:asciiTheme="minorEastAsia" w:hAnsiTheme="minorEastAsia" w:eastAsiaTheme="minorEastAsia" w:cstheme="minorEastAsia"/>
          <w:sz w:val="28"/>
          <w:szCs w:val="28"/>
        </w:rPr>
        <w:t>《太原市市场监督管理局关于征集2024年度太原市地方标准制修订项目的通知》（并市监函[2024]92号）</w:t>
      </w:r>
      <w:r>
        <w:rPr>
          <w:rFonts w:hint="eastAsia" w:asciiTheme="minorEastAsia" w:hAnsiTheme="minorEastAsia" w:eastAsiaTheme="minorEastAsia" w:cstheme="minorEastAsia"/>
          <w:bCs/>
          <w:spacing w:val="20"/>
          <w:sz w:val="28"/>
          <w:szCs w:val="28"/>
        </w:rPr>
        <w:t>要求，《原发性高血压患者健康管理服务规范》由太原市卫生健康委员会提出，太原市卫生健康标准化技术委员会归口，由太原市疾病预防控制中心起草。2024年5月16日，《太原市市场监督管理局关于下达2024年度第二批太原市地方标准制定项目计划的通知》（并市监[2024]50号）</w:t>
      </w:r>
      <w:r>
        <w:rPr>
          <w:rFonts w:hint="eastAsia" w:asciiTheme="minorEastAsia" w:hAnsiTheme="minorEastAsia" w:eastAsiaTheme="minorEastAsia" w:cstheme="minorEastAsia"/>
          <w:sz w:val="28"/>
          <w:szCs w:val="28"/>
        </w:rPr>
        <w:t>批准立项，</w:t>
      </w:r>
      <w:r>
        <w:rPr>
          <w:rFonts w:hint="eastAsia" w:asciiTheme="minorEastAsia" w:hAnsiTheme="minorEastAsia" w:eastAsiaTheme="minorEastAsia" w:cstheme="minorEastAsia"/>
          <w:bCs/>
          <w:spacing w:val="20"/>
          <w:sz w:val="28"/>
          <w:szCs w:val="28"/>
        </w:rPr>
        <w:t>项目编号2024-0201。</w:t>
      </w:r>
    </w:p>
    <w:p w14:paraId="737EEB37">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（二）起草单位</w:t>
      </w:r>
    </w:p>
    <w:p w14:paraId="46C61247">
      <w:pPr>
        <w:pStyle w:val="10"/>
        <w:ind w:left="0" w:left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Cs/>
          <w:spacing w:val="20"/>
          <w:sz w:val="28"/>
          <w:szCs w:val="28"/>
        </w:rPr>
        <w:t xml:space="preserve">  起草单位：太原市疾病预防控制中心</w:t>
      </w:r>
    </w:p>
    <w:p w14:paraId="0A9B413A">
      <w:pPr>
        <w:spacing w:line="600" w:lineRule="exact"/>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（三）主要起草人</w:t>
      </w:r>
    </w:p>
    <w:p w14:paraId="6A1134EA">
      <w:pPr>
        <w:ind w:firstLine="640" w:firstLineChars="200"/>
        <w:jc w:val="left"/>
        <w:rPr>
          <w:rFonts w:asciiTheme="minorEastAsia" w:hAnsiTheme="minorEastAsia" w:eastAsiaTheme="minorEastAsia" w:cstheme="minorEastAsia"/>
          <w:bCs/>
          <w:spacing w:val="20"/>
          <w:sz w:val="28"/>
          <w:szCs w:val="28"/>
        </w:rPr>
      </w:pPr>
      <w:r>
        <w:rPr>
          <w:rFonts w:hint="eastAsia" w:asciiTheme="minorEastAsia" w:hAnsiTheme="minorEastAsia" w:eastAsiaTheme="minorEastAsia" w:cstheme="minorEastAsia"/>
          <w:bCs/>
          <w:spacing w:val="20"/>
          <w:sz w:val="28"/>
          <w:szCs w:val="28"/>
        </w:rPr>
        <w:t>杜鹃、刘慧君、康静、张晓平、郝俊霞、池敏、宋伟梅、徐计宏、郭建娥、郭学谦。具体信息见表1。</w:t>
      </w:r>
    </w:p>
    <w:p w14:paraId="6D71A39A">
      <w:pPr>
        <w:pStyle w:val="10"/>
        <w:ind w:left="0" w:leftChars="0"/>
        <w:jc w:val="center"/>
        <w:rPr>
          <w:b/>
          <w:bCs/>
        </w:rPr>
      </w:pPr>
      <w:r>
        <w:rPr>
          <w:rFonts w:hint="eastAsia" w:asciiTheme="minorEastAsia" w:hAnsiTheme="minorEastAsia" w:eastAsiaTheme="minorEastAsia" w:cstheme="minorEastAsia"/>
          <w:b/>
          <w:bCs/>
          <w:sz w:val="28"/>
          <w:szCs w:val="28"/>
        </w:rPr>
        <w:t>表1主要起草人信息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860"/>
        <w:gridCol w:w="2308"/>
        <w:gridCol w:w="2095"/>
        <w:gridCol w:w="1839"/>
      </w:tblGrid>
      <w:tr w14:paraId="7CC74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2FDAEB0D">
            <w:pPr>
              <w:spacing w:line="0" w:lineRule="atLeast"/>
              <w:jc w:val="center"/>
              <w:rPr>
                <w:b/>
                <w:spacing w:val="20"/>
                <w:sz w:val="22"/>
                <w:szCs w:val="22"/>
              </w:rPr>
            </w:pPr>
            <w:r>
              <w:rPr>
                <w:rFonts w:hint="eastAsia"/>
                <w:b/>
                <w:spacing w:val="20"/>
                <w:sz w:val="22"/>
                <w:szCs w:val="22"/>
              </w:rPr>
              <w:t>姓名</w:t>
            </w:r>
          </w:p>
        </w:tc>
        <w:tc>
          <w:tcPr>
            <w:tcW w:w="860" w:type="dxa"/>
            <w:vAlign w:val="center"/>
          </w:tcPr>
          <w:p w14:paraId="0443542C">
            <w:pPr>
              <w:spacing w:line="0" w:lineRule="atLeast"/>
              <w:jc w:val="center"/>
              <w:rPr>
                <w:b/>
                <w:spacing w:val="20"/>
                <w:sz w:val="22"/>
                <w:szCs w:val="22"/>
              </w:rPr>
            </w:pPr>
            <w:r>
              <w:rPr>
                <w:rFonts w:hint="eastAsia"/>
                <w:b/>
                <w:spacing w:val="20"/>
                <w:sz w:val="22"/>
                <w:szCs w:val="22"/>
              </w:rPr>
              <w:t>性别</w:t>
            </w:r>
          </w:p>
        </w:tc>
        <w:tc>
          <w:tcPr>
            <w:tcW w:w="2308" w:type="dxa"/>
            <w:vAlign w:val="center"/>
          </w:tcPr>
          <w:p w14:paraId="0537E849">
            <w:pPr>
              <w:spacing w:line="0" w:lineRule="atLeast"/>
              <w:jc w:val="center"/>
              <w:rPr>
                <w:b/>
                <w:spacing w:val="20"/>
                <w:sz w:val="22"/>
                <w:szCs w:val="22"/>
              </w:rPr>
            </w:pPr>
            <w:r>
              <w:rPr>
                <w:rFonts w:hint="eastAsia"/>
                <w:b/>
                <w:spacing w:val="20"/>
                <w:sz w:val="22"/>
                <w:szCs w:val="22"/>
              </w:rPr>
              <w:t>职务/职称</w:t>
            </w:r>
          </w:p>
        </w:tc>
        <w:tc>
          <w:tcPr>
            <w:tcW w:w="2095" w:type="dxa"/>
            <w:vAlign w:val="center"/>
          </w:tcPr>
          <w:p w14:paraId="2B00E52E">
            <w:pPr>
              <w:spacing w:line="0" w:lineRule="atLeast"/>
              <w:jc w:val="center"/>
              <w:rPr>
                <w:b/>
                <w:spacing w:val="20"/>
                <w:sz w:val="22"/>
                <w:szCs w:val="22"/>
              </w:rPr>
            </w:pPr>
            <w:r>
              <w:rPr>
                <w:rFonts w:hint="eastAsia"/>
                <w:b/>
                <w:spacing w:val="20"/>
                <w:sz w:val="22"/>
                <w:szCs w:val="22"/>
              </w:rPr>
              <w:t>工作单位</w:t>
            </w:r>
          </w:p>
        </w:tc>
        <w:tc>
          <w:tcPr>
            <w:tcW w:w="1839" w:type="dxa"/>
            <w:vAlign w:val="center"/>
          </w:tcPr>
          <w:p w14:paraId="23BC76D4">
            <w:pPr>
              <w:spacing w:line="0" w:lineRule="atLeast"/>
              <w:jc w:val="center"/>
              <w:rPr>
                <w:b/>
                <w:spacing w:val="20"/>
                <w:sz w:val="22"/>
                <w:szCs w:val="22"/>
              </w:rPr>
            </w:pPr>
            <w:r>
              <w:rPr>
                <w:rFonts w:hint="eastAsia"/>
                <w:b/>
                <w:spacing w:val="20"/>
                <w:sz w:val="22"/>
                <w:szCs w:val="22"/>
              </w:rPr>
              <w:t>任务分工</w:t>
            </w:r>
          </w:p>
        </w:tc>
      </w:tr>
      <w:tr w14:paraId="5799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31DBEAC4">
            <w:pPr>
              <w:spacing w:line="0" w:lineRule="atLeast"/>
              <w:jc w:val="center"/>
              <w:rPr>
                <w:bCs/>
                <w:spacing w:val="20"/>
                <w:sz w:val="24"/>
                <w:szCs w:val="24"/>
              </w:rPr>
            </w:pPr>
            <w:r>
              <w:rPr>
                <w:rFonts w:hint="eastAsia"/>
                <w:bCs/>
                <w:spacing w:val="20"/>
                <w:sz w:val="24"/>
                <w:szCs w:val="24"/>
              </w:rPr>
              <w:t>杜  鹃</w:t>
            </w:r>
          </w:p>
        </w:tc>
        <w:tc>
          <w:tcPr>
            <w:tcW w:w="860" w:type="dxa"/>
            <w:vAlign w:val="center"/>
          </w:tcPr>
          <w:p w14:paraId="2CF6932E">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42CE60D0">
            <w:pPr>
              <w:spacing w:line="0" w:lineRule="atLeast"/>
              <w:jc w:val="center"/>
              <w:rPr>
                <w:bCs/>
                <w:spacing w:val="20"/>
                <w:sz w:val="22"/>
                <w:szCs w:val="22"/>
              </w:rPr>
            </w:pPr>
            <w:r>
              <w:rPr>
                <w:rFonts w:hint="eastAsia"/>
                <w:bCs/>
                <w:spacing w:val="20"/>
                <w:sz w:val="22"/>
                <w:szCs w:val="22"/>
              </w:rPr>
              <w:t>副科长/副主任医师</w:t>
            </w:r>
          </w:p>
        </w:tc>
        <w:tc>
          <w:tcPr>
            <w:tcW w:w="2095" w:type="dxa"/>
            <w:vAlign w:val="center"/>
          </w:tcPr>
          <w:p w14:paraId="1ED9FF87">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4E9F81C5">
            <w:pPr>
              <w:spacing w:line="0" w:lineRule="atLeast"/>
              <w:jc w:val="center"/>
              <w:rPr>
                <w:bCs/>
                <w:spacing w:val="20"/>
                <w:sz w:val="22"/>
                <w:szCs w:val="22"/>
              </w:rPr>
            </w:pPr>
            <w:r>
              <w:rPr>
                <w:rFonts w:hint="eastAsia"/>
                <w:bCs/>
                <w:spacing w:val="20"/>
                <w:sz w:val="22"/>
                <w:szCs w:val="22"/>
              </w:rPr>
              <w:t>标准起草</w:t>
            </w:r>
          </w:p>
          <w:p w14:paraId="1671CF9D">
            <w:pPr>
              <w:spacing w:line="0" w:lineRule="atLeast"/>
              <w:jc w:val="center"/>
              <w:rPr>
                <w:bCs/>
                <w:spacing w:val="20"/>
                <w:sz w:val="22"/>
                <w:szCs w:val="22"/>
              </w:rPr>
            </w:pPr>
            <w:r>
              <w:rPr>
                <w:rFonts w:hint="eastAsia"/>
                <w:bCs/>
                <w:spacing w:val="20"/>
                <w:sz w:val="22"/>
                <w:szCs w:val="22"/>
              </w:rPr>
              <w:t>计划拟定</w:t>
            </w:r>
          </w:p>
        </w:tc>
      </w:tr>
      <w:tr w14:paraId="2063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3FDF5DA8">
            <w:pPr>
              <w:spacing w:line="0" w:lineRule="atLeast"/>
              <w:jc w:val="center"/>
              <w:rPr>
                <w:bCs/>
                <w:spacing w:val="20"/>
                <w:sz w:val="24"/>
                <w:szCs w:val="24"/>
              </w:rPr>
            </w:pPr>
            <w:r>
              <w:rPr>
                <w:rFonts w:hint="eastAsia"/>
                <w:bCs/>
                <w:spacing w:val="20"/>
                <w:sz w:val="24"/>
                <w:szCs w:val="24"/>
              </w:rPr>
              <w:t>刘慧君</w:t>
            </w:r>
          </w:p>
        </w:tc>
        <w:tc>
          <w:tcPr>
            <w:tcW w:w="860" w:type="dxa"/>
            <w:vAlign w:val="center"/>
          </w:tcPr>
          <w:p w14:paraId="1AA5F2F4">
            <w:pPr>
              <w:spacing w:line="0" w:lineRule="atLeast"/>
              <w:jc w:val="center"/>
              <w:rPr>
                <w:bCs/>
                <w:spacing w:val="20"/>
                <w:sz w:val="22"/>
                <w:szCs w:val="22"/>
              </w:rPr>
            </w:pPr>
            <w:r>
              <w:rPr>
                <w:rFonts w:hint="eastAsia"/>
                <w:bCs/>
                <w:spacing w:val="20"/>
                <w:sz w:val="22"/>
                <w:szCs w:val="22"/>
              </w:rPr>
              <w:t>男</w:t>
            </w:r>
          </w:p>
        </w:tc>
        <w:tc>
          <w:tcPr>
            <w:tcW w:w="2308" w:type="dxa"/>
            <w:vAlign w:val="center"/>
          </w:tcPr>
          <w:p w14:paraId="1427CF69">
            <w:pPr>
              <w:spacing w:line="0" w:lineRule="atLeast"/>
              <w:jc w:val="center"/>
              <w:rPr>
                <w:bCs/>
                <w:spacing w:val="20"/>
                <w:sz w:val="22"/>
                <w:szCs w:val="22"/>
              </w:rPr>
            </w:pPr>
            <w:r>
              <w:rPr>
                <w:rFonts w:hint="eastAsia"/>
                <w:bCs/>
                <w:spacing w:val="20"/>
                <w:sz w:val="22"/>
                <w:szCs w:val="22"/>
              </w:rPr>
              <w:t>科长/副主任医师</w:t>
            </w:r>
          </w:p>
        </w:tc>
        <w:tc>
          <w:tcPr>
            <w:tcW w:w="2095" w:type="dxa"/>
            <w:vAlign w:val="center"/>
          </w:tcPr>
          <w:p w14:paraId="4A77BC50">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0000C915">
            <w:pPr>
              <w:spacing w:line="0" w:lineRule="atLeast"/>
              <w:jc w:val="center"/>
              <w:rPr>
                <w:bCs/>
                <w:spacing w:val="20"/>
                <w:sz w:val="22"/>
                <w:szCs w:val="22"/>
              </w:rPr>
            </w:pPr>
            <w:r>
              <w:rPr>
                <w:rFonts w:hint="eastAsia"/>
                <w:bCs/>
                <w:spacing w:val="20"/>
                <w:sz w:val="22"/>
                <w:szCs w:val="22"/>
              </w:rPr>
              <w:t>组织协调</w:t>
            </w:r>
          </w:p>
          <w:p w14:paraId="3E6D6E77">
            <w:pPr>
              <w:spacing w:line="0" w:lineRule="atLeast"/>
              <w:jc w:val="center"/>
              <w:rPr>
                <w:bCs/>
                <w:spacing w:val="20"/>
                <w:sz w:val="22"/>
                <w:szCs w:val="22"/>
              </w:rPr>
            </w:pPr>
            <w:r>
              <w:rPr>
                <w:rFonts w:hint="eastAsia"/>
                <w:bCs/>
                <w:spacing w:val="20"/>
                <w:sz w:val="22"/>
                <w:szCs w:val="22"/>
              </w:rPr>
              <w:t>经费管理</w:t>
            </w:r>
          </w:p>
        </w:tc>
      </w:tr>
      <w:tr w14:paraId="59D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308078BC">
            <w:pPr>
              <w:spacing w:line="0" w:lineRule="atLeast"/>
              <w:jc w:val="center"/>
              <w:rPr>
                <w:bCs/>
                <w:spacing w:val="20"/>
                <w:sz w:val="24"/>
                <w:szCs w:val="24"/>
              </w:rPr>
            </w:pPr>
            <w:r>
              <w:rPr>
                <w:rFonts w:hint="eastAsia"/>
                <w:bCs/>
                <w:spacing w:val="20"/>
                <w:sz w:val="24"/>
                <w:szCs w:val="24"/>
              </w:rPr>
              <w:t>康  静</w:t>
            </w:r>
          </w:p>
        </w:tc>
        <w:tc>
          <w:tcPr>
            <w:tcW w:w="860" w:type="dxa"/>
            <w:vAlign w:val="center"/>
          </w:tcPr>
          <w:p w14:paraId="4F322523">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7E0EA839">
            <w:pPr>
              <w:spacing w:line="0" w:lineRule="atLeast"/>
              <w:jc w:val="center"/>
              <w:rPr>
                <w:bCs/>
                <w:spacing w:val="20"/>
                <w:sz w:val="22"/>
                <w:szCs w:val="22"/>
              </w:rPr>
            </w:pPr>
            <w:r>
              <w:rPr>
                <w:rFonts w:hint="eastAsia"/>
                <w:bCs/>
                <w:spacing w:val="20"/>
                <w:sz w:val="22"/>
                <w:szCs w:val="22"/>
              </w:rPr>
              <w:t>主管医师</w:t>
            </w:r>
          </w:p>
        </w:tc>
        <w:tc>
          <w:tcPr>
            <w:tcW w:w="2095" w:type="dxa"/>
            <w:vAlign w:val="center"/>
          </w:tcPr>
          <w:p w14:paraId="5468821A">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68E700F3">
            <w:pPr>
              <w:spacing w:line="0" w:lineRule="atLeast"/>
              <w:jc w:val="center"/>
              <w:rPr>
                <w:bCs/>
                <w:spacing w:val="20"/>
                <w:sz w:val="22"/>
                <w:szCs w:val="22"/>
              </w:rPr>
            </w:pPr>
            <w:r>
              <w:rPr>
                <w:rFonts w:hint="eastAsia"/>
                <w:bCs/>
                <w:spacing w:val="20"/>
                <w:sz w:val="22"/>
                <w:szCs w:val="22"/>
              </w:rPr>
              <w:t>资料检索</w:t>
            </w:r>
          </w:p>
          <w:p w14:paraId="067322B1">
            <w:pPr>
              <w:spacing w:line="0" w:lineRule="atLeast"/>
              <w:jc w:val="center"/>
              <w:rPr>
                <w:bCs/>
                <w:spacing w:val="20"/>
                <w:sz w:val="22"/>
                <w:szCs w:val="22"/>
              </w:rPr>
            </w:pPr>
            <w:r>
              <w:rPr>
                <w:rFonts w:hint="eastAsia"/>
                <w:bCs/>
                <w:spacing w:val="20"/>
                <w:sz w:val="22"/>
                <w:szCs w:val="22"/>
              </w:rPr>
              <w:t>意见汇总</w:t>
            </w:r>
          </w:p>
        </w:tc>
      </w:tr>
      <w:tr w14:paraId="4B92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42A6D339">
            <w:pPr>
              <w:spacing w:line="0" w:lineRule="atLeast"/>
              <w:jc w:val="center"/>
              <w:rPr>
                <w:bCs/>
                <w:spacing w:val="20"/>
                <w:sz w:val="24"/>
                <w:szCs w:val="24"/>
              </w:rPr>
            </w:pPr>
            <w:r>
              <w:rPr>
                <w:rFonts w:hint="eastAsia"/>
                <w:bCs/>
                <w:spacing w:val="20"/>
                <w:sz w:val="24"/>
                <w:szCs w:val="24"/>
              </w:rPr>
              <w:t>张晓平</w:t>
            </w:r>
          </w:p>
        </w:tc>
        <w:tc>
          <w:tcPr>
            <w:tcW w:w="860" w:type="dxa"/>
            <w:vAlign w:val="center"/>
          </w:tcPr>
          <w:p w14:paraId="4527040C">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0D5F2F03">
            <w:pPr>
              <w:spacing w:line="0" w:lineRule="atLeast"/>
              <w:jc w:val="center"/>
              <w:rPr>
                <w:bCs/>
                <w:spacing w:val="20"/>
                <w:sz w:val="22"/>
                <w:szCs w:val="22"/>
              </w:rPr>
            </w:pPr>
            <w:r>
              <w:rPr>
                <w:rFonts w:hint="eastAsia"/>
                <w:bCs/>
                <w:spacing w:val="20"/>
                <w:sz w:val="22"/>
                <w:szCs w:val="22"/>
              </w:rPr>
              <w:t>主任医师</w:t>
            </w:r>
          </w:p>
        </w:tc>
        <w:tc>
          <w:tcPr>
            <w:tcW w:w="2095" w:type="dxa"/>
            <w:vAlign w:val="center"/>
          </w:tcPr>
          <w:p w14:paraId="32EA9866">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39033133">
            <w:pPr>
              <w:spacing w:line="0" w:lineRule="atLeast"/>
              <w:jc w:val="center"/>
              <w:rPr>
                <w:bCs/>
                <w:spacing w:val="20"/>
                <w:sz w:val="22"/>
                <w:szCs w:val="22"/>
              </w:rPr>
            </w:pPr>
            <w:r>
              <w:rPr>
                <w:rFonts w:hint="eastAsia"/>
                <w:bCs/>
                <w:spacing w:val="20"/>
                <w:sz w:val="22"/>
                <w:szCs w:val="22"/>
              </w:rPr>
              <w:t>资料检索</w:t>
            </w:r>
          </w:p>
          <w:p w14:paraId="6DEFED03">
            <w:pPr>
              <w:spacing w:line="0" w:lineRule="atLeast"/>
              <w:jc w:val="center"/>
              <w:rPr>
                <w:bCs/>
                <w:spacing w:val="20"/>
                <w:sz w:val="22"/>
                <w:szCs w:val="22"/>
              </w:rPr>
            </w:pPr>
            <w:r>
              <w:rPr>
                <w:rFonts w:hint="eastAsia"/>
                <w:bCs/>
                <w:spacing w:val="20"/>
                <w:sz w:val="22"/>
                <w:szCs w:val="22"/>
              </w:rPr>
              <w:t>讨论</w:t>
            </w:r>
          </w:p>
        </w:tc>
      </w:tr>
      <w:tr w14:paraId="6F3B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29ACDEAA">
            <w:pPr>
              <w:spacing w:line="0" w:lineRule="atLeast"/>
              <w:jc w:val="center"/>
              <w:rPr>
                <w:bCs/>
                <w:spacing w:val="20"/>
                <w:sz w:val="24"/>
                <w:szCs w:val="24"/>
              </w:rPr>
            </w:pPr>
            <w:r>
              <w:rPr>
                <w:rFonts w:hint="eastAsia"/>
                <w:bCs/>
                <w:spacing w:val="20"/>
                <w:sz w:val="24"/>
                <w:szCs w:val="24"/>
              </w:rPr>
              <w:t>郝俊霞</w:t>
            </w:r>
          </w:p>
        </w:tc>
        <w:tc>
          <w:tcPr>
            <w:tcW w:w="860" w:type="dxa"/>
            <w:vAlign w:val="center"/>
          </w:tcPr>
          <w:p w14:paraId="7BF55363">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5A3CA5B9">
            <w:pPr>
              <w:spacing w:line="0" w:lineRule="atLeast"/>
              <w:jc w:val="center"/>
              <w:rPr>
                <w:bCs/>
                <w:spacing w:val="20"/>
                <w:sz w:val="22"/>
                <w:szCs w:val="22"/>
              </w:rPr>
            </w:pPr>
            <w:r>
              <w:rPr>
                <w:rFonts w:hint="eastAsia"/>
                <w:bCs/>
                <w:spacing w:val="20"/>
                <w:sz w:val="22"/>
                <w:szCs w:val="22"/>
              </w:rPr>
              <w:t>副主任医师</w:t>
            </w:r>
          </w:p>
        </w:tc>
        <w:tc>
          <w:tcPr>
            <w:tcW w:w="2095" w:type="dxa"/>
            <w:vAlign w:val="center"/>
          </w:tcPr>
          <w:p w14:paraId="4A3C7475">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7C6A2336">
            <w:pPr>
              <w:spacing w:line="0" w:lineRule="atLeast"/>
              <w:jc w:val="center"/>
              <w:rPr>
                <w:bCs/>
                <w:spacing w:val="20"/>
                <w:sz w:val="22"/>
                <w:szCs w:val="22"/>
              </w:rPr>
            </w:pPr>
            <w:r>
              <w:rPr>
                <w:rFonts w:hint="eastAsia"/>
                <w:bCs/>
                <w:spacing w:val="20"/>
                <w:sz w:val="22"/>
                <w:szCs w:val="22"/>
              </w:rPr>
              <w:t>资料检索</w:t>
            </w:r>
          </w:p>
          <w:p w14:paraId="267E4B04">
            <w:pPr>
              <w:spacing w:line="0" w:lineRule="atLeast"/>
              <w:jc w:val="center"/>
              <w:rPr>
                <w:bCs/>
                <w:spacing w:val="20"/>
                <w:sz w:val="22"/>
                <w:szCs w:val="22"/>
              </w:rPr>
            </w:pPr>
            <w:r>
              <w:rPr>
                <w:rFonts w:hint="eastAsia"/>
                <w:bCs/>
                <w:spacing w:val="20"/>
                <w:sz w:val="22"/>
                <w:szCs w:val="22"/>
              </w:rPr>
              <w:t>校对</w:t>
            </w:r>
          </w:p>
        </w:tc>
      </w:tr>
      <w:tr w14:paraId="46FF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031EE39E">
            <w:pPr>
              <w:spacing w:line="0" w:lineRule="atLeast"/>
              <w:jc w:val="center"/>
              <w:rPr>
                <w:bCs/>
                <w:spacing w:val="20"/>
                <w:sz w:val="24"/>
                <w:szCs w:val="24"/>
              </w:rPr>
            </w:pPr>
            <w:r>
              <w:rPr>
                <w:rFonts w:hint="eastAsia"/>
                <w:bCs/>
                <w:spacing w:val="20"/>
                <w:sz w:val="24"/>
                <w:szCs w:val="24"/>
              </w:rPr>
              <w:t>池  敏</w:t>
            </w:r>
          </w:p>
        </w:tc>
        <w:tc>
          <w:tcPr>
            <w:tcW w:w="860" w:type="dxa"/>
            <w:vAlign w:val="center"/>
          </w:tcPr>
          <w:p w14:paraId="301D38DD">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0BCFECE7">
            <w:pPr>
              <w:spacing w:line="0" w:lineRule="atLeast"/>
              <w:jc w:val="center"/>
              <w:rPr>
                <w:bCs/>
                <w:spacing w:val="20"/>
                <w:sz w:val="22"/>
                <w:szCs w:val="22"/>
              </w:rPr>
            </w:pPr>
            <w:r>
              <w:rPr>
                <w:rFonts w:hint="eastAsia"/>
                <w:bCs/>
                <w:spacing w:val="20"/>
                <w:sz w:val="22"/>
                <w:szCs w:val="22"/>
              </w:rPr>
              <w:t>主管医师</w:t>
            </w:r>
          </w:p>
        </w:tc>
        <w:tc>
          <w:tcPr>
            <w:tcW w:w="2095" w:type="dxa"/>
            <w:vAlign w:val="center"/>
          </w:tcPr>
          <w:p w14:paraId="0369DB23">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7CC15A9A">
            <w:pPr>
              <w:spacing w:line="0" w:lineRule="atLeast"/>
              <w:jc w:val="center"/>
              <w:rPr>
                <w:bCs/>
                <w:spacing w:val="20"/>
                <w:sz w:val="22"/>
                <w:szCs w:val="22"/>
              </w:rPr>
            </w:pPr>
            <w:r>
              <w:rPr>
                <w:rFonts w:hint="eastAsia"/>
                <w:bCs/>
                <w:spacing w:val="20"/>
                <w:sz w:val="22"/>
                <w:szCs w:val="22"/>
              </w:rPr>
              <w:t>资料检索</w:t>
            </w:r>
          </w:p>
          <w:p w14:paraId="2B38A5E6">
            <w:pPr>
              <w:spacing w:line="0" w:lineRule="atLeast"/>
              <w:jc w:val="center"/>
              <w:rPr>
                <w:bCs/>
                <w:spacing w:val="20"/>
                <w:sz w:val="22"/>
                <w:szCs w:val="22"/>
              </w:rPr>
            </w:pPr>
            <w:r>
              <w:rPr>
                <w:rFonts w:hint="eastAsia"/>
                <w:bCs/>
                <w:spacing w:val="20"/>
                <w:sz w:val="22"/>
                <w:szCs w:val="22"/>
              </w:rPr>
              <w:t>讨论</w:t>
            </w:r>
          </w:p>
        </w:tc>
      </w:tr>
      <w:tr w14:paraId="44E35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00B09E20">
            <w:pPr>
              <w:spacing w:line="0" w:lineRule="atLeast"/>
              <w:jc w:val="center"/>
              <w:rPr>
                <w:bCs/>
                <w:spacing w:val="20"/>
                <w:sz w:val="24"/>
                <w:szCs w:val="24"/>
              </w:rPr>
            </w:pPr>
            <w:r>
              <w:rPr>
                <w:rFonts w:hint="eastAsia"/>
                <w:bCs/>
                <w:spacing w:val="20"/>
                <w:sz w:val="24"/>
                <w:szCs w:val="24"/>
              </w:rPr>
              <w:t>宋伟梅</w:t>
            </w:r>
          </w:p>
        </w:tc>
        <w:tc>
          <w:tcPr>
            <w:tcW w:w="860" w:type="dxa"/>
            <w:vAlign w:val="center"/>
          </w:tcPr>
          <w:p w14:paraId="02157DE6">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5EE8CA2C">
            <w:pPr>
              <w:spacing w:line="0" w:lineRule="atLeast"/>
              <w:jc w:val="center"/>
              <w:rPr>
                <w:bCs/>
                <w:spacing w:val="20"/>
                <w:sz w:val="22"/>
                <w:szCs w:val="22"/>
              </w:rPr>
            </w:pPr>
            <w:r>
              <w:rPr>
                <w:rFonts w:hint="eastAsia"/>
                <w:bCs/>
                <w:spacing w:val="20"/>
                <w:sz w:val="22"/>
                <w:szCs w:val="22"/>
              </w:rPr>
              <w:t>主管医师</w:t>
            </w:r>
          </w:p>
        </w:tc>
        <w:tc>
          <w:tcPr>
            <w:tcW w:w="2095" w:type="dxa"/>
            <w:vAlign w:val="center"/>
          </w:tcPr>
          <w:p w14:paraId="7C623557">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4A50DAFC">
            <w:pPr>
              <w:spacing w:line="0" w:lineRule="atLeast"/>
              <w:jc w:val="center"/>
              <w:rPr>
                <w:bCs/>
                <w:spacing w:val="20"/>
                <w:sz w:val="22"/>
                <w:szCs w:val="22"/>
              </w:rPr>
            </w:pPr>
            <w:r>
              <w:rPr>
                <w:rFonts w:hint="eastAsia"/>
                <w:bCs/>
                <w:spacing w:val="20"/>
                <w:sz w:val="22"/>
                <w:szCs w:val="22"/>
              </w:rPr>
              <w:t>资料检索</w:t>
            </w:r>
          </w:p>
          <w:p w14:paraId="4FC48970">
            <w:pPr>
              <w:spacing w:line="0" w:lineRule="atLeast"/>
              <w:jc w:val="center"/>
              <w:rPr>
                <w:bCs/>
                <w:spacing w:val="20"/>
                <w:sz w:val="22"/>
                <w:szCs w:val="22"/>
              </w:rPr>
            </w:pPr>
            <w:r>
              <w:rPr>
                <w:rFonts w:hint="eastAsia"/>
                <w:bCs/>
                <w:spacing w:val="20"/>
                <w:sz w:val="22"/>
                <w:szCs w:val="22"/>
              </w:rPr>
              <w:t>校对</w:t>
            </w:r>
          </w:p>
        </w:tc>
      </w:tr>
      <w:tr w14:paraId="2327A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6A0A0887">
            <w:pPr>
              <w:spacing w:line="0" w:lineRule="atLeast"/>
              <w:jc w:val="center"/>
              <w:rPr>
                <w:bCs/>
                <w:spacing w:val="20"/>
                <w:sz w:val="24"/>
                <w:szCs w:val="24"/>
              </w:rPr>
            </w:pPr>
            <w:r>
              <w:rPr>
                <w:rFonts w:hint="eastAsia"/>
                <w:bCs/>
                <w:spacing w:val="20"/>
                <w:sz w:val="24"/>
                <w:szCs w:val="24"/>
              </w:rPr>
              <w:t>徐计宏</w:t>
            </w:r>
          </w:p>
        </w:tc>
        <w:tc>
          <w:tcPr>
            <w:tcW w:w="860" w:type="dxa"/>
            <w:vAlign w:val="center"/>
          </w:tcPr>
          <w:p w14:paraId="14E2B029">
            <w:pPr>
              <w:spacing w:line="0" w:lineRule="atLeast"/>
              <w:jc w:val="center"/>
              <w:rPr>
                <w:bCs/>
                <w:spacing w:val="20"/>
                <w:sz w:val="22"/>
                <w:szCs w:val="22"/>
              </w:rPr>
            </w:pPr>
            <w:r>
              <w:rPr>
                <w:rFonts w:hint="eastAsia"/>
                <w:bCs/>
                <w:spacing w:val="20"/>
                <w:sz w:val="22"/>
                <w:szCs w:val="22"/>
              </w:rPr>
              <w:t>男</w:t>
            </w:r>
          </w:p>
        </w:tc>
        <w:tc>
          <w:tcPr>
            <w:tcW w:w="2308" w:type="dxa"/>
            <w:vAlign w:val="center"/>
          </w:tcPr>
          <w:p w14:paraId="470836EE">
            <w:pPr>
              <w:spacing w:line="0" w:lineRule="atLeast"/>
              <w:jc w:val="center"/>
              <w:rPr>
                <w:bCs/>
                <w:spacing w:val="20"/>
                <w:sz w:val="22"/>
                <w:szCs w:val="22"/>
              </w:rPr>
            </w:pPr>
            <w:r>
              <w:rPr>
                <w:rFonts w:hint="eastAsia"/>
                <w:bCs/>
                <w:spacing w:val="20"/>
                <w:sz w:val="22"/>
                <w:szCs w:val="22"/>
              </w:rPr>
              <w:t>主任医师</w:t>
            </w:r>
          </w:p>
        </w:tc>
        <w:tc>
          <w:tcPr>
            <w:tcW w:w="2095" w:type="dxa"/>
            <w:vAlign w:val="center"/>
          </w:tcPr>
          <w:p w14:paraId="5C98AADF">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3AAF6239">
            <w:pPr>
              <w:spacing w:line="0" w:lineRule="atLeast"/>
              <w:jc w:val="center"/>
              <w:rPr>
                <w:bCs/>
                <w:spacing w:val="20"/>
                <w:sz w:val="22"/>
                <w:szCs w:val="22"/>
              </w:rPr>
            </w:pPr>
            <w:r>
              <w:rPr>
                <w:rFonts w:hint="eastAsia"/>
                <w:bCs/>
                <w:spacing w:val="20"/>
                <w:sz w:val="22"/>
                <w:szCs w:val="22"/>
              </w:rPr>
              <w:t>组织协调</w:t>
            </w:r>
          </w:p>
        </w:tc>
      </w:tr>
      <w:tr w14:paraId="11BA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40A4723A">
            <w:pPr>
              <w:spacing w:line="0" w:lineRule="atLeast"/>
              <w:jc w:val="center"/>
              <w:rPr>
                <w:bCs/>
                <w:spacing w:val="20"/>
                <w:sz w:val="24"/>
                <w:szCs w:val="24"/>
              </w:rPr>
            </w:pPr>
            <w:r>
              <w:rPr>
                <w:rFonts w:hint="eastAsia"/>
                <w:bCs/>
                <w:spacing w:val="20"/>
                <w:sz w:val="24"/>
                <w:szCs w:val="24"/>
              </w:rPr>
              <w:t>郭建娥</w:t>
            </w:r>
          </w:p>
        </w:tc>
        <w:tc>
          <w:tcPr>
            <w:tcW w:w="860" w:type="dxa"/>
            <w:vAlign w:val="center"/>
          </w:tcPr>
          <w:p w14:paraId="42226E15">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3FED88D5">
            <w:pPr>
              <w:spacing w:line="0" w:lineRule="atLeast"/>
              <w:jc w:val="center"/>
              <w:rPr>
                <w:bCs/>
                <w:spacing w:val="20"/>
                <w:sz w:val="22"/>
                <w:szCs w:val="22"/>
              </w:rPr>
            </w:pPr>
            <w:r>
              <w:rPr>
                <w:rFonts w:hint="eastAsia"/>
                <w:bCs/>
                <w:spacing w:val="20"/>
                <w:sz w:val="22"/>
                <w:szCs w:val="22"/>
              </w:rPr>
              <w:t>主任医师</w:t>
            </w:r>
          </w:p>
        </w:tc>
        <w:tc>
          <w:tcPr>
            <w:tcW w:w="2095" w:type="dxa"/>
            <w:vAlign w:val="center"/>
          </w:tcPr>
          <w:p w14:paraId="3AE0F06D">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301F1A46">
            <w:pPr>
              <w:spacing w:line="0" w:lineRule="atLeast"/>
              <w:jc w:val="center"/>
              <w:rPr>
                <w:bCs/>
                <w:spacing w:val="20"/>
                <w:sz w:val="22"/>
                <w:szCs w:val="22"/>
              </w:rPr>
            </w:pPr>
            <w:r>
              <w:rPr>
                <w:rFonts w:hint="eastAsia"/>
                <w:bCs/>
                <w:spacing w:val="20"/>
                <w:sz w:val="22"/>
                <w:szCs w:val="22"/>
              </w:rPr>
              <w:t>组织协调</w:t>
            </w:r>
          </w:p>
        </w:tc>
      </w:tr>
      <w:tr w14:paraId="2E96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0CECF16F">
            <w:pPr>
              <w:spacing w:line="0" w:lineRule="atLeast"/>
              <w:jc w:val="center"/>
              <w:rPr>
                <w:bCs/>
                <w:spacing w:val="20"/>
                <w:sz w:val="24"/>
                <w:szCs w:val="24"/>
              </w:rPr>
            </w:pPr>
            <w:r>
              <w:rPr>
                <w:rFonts w:hint="eastAsia"/>
                <w:bCs/>
                <w:spacing w:val="20"/>
                <w:sz w:val="24"/>
                <w:szCs w:val="24"/>
              </w:rPr>
              <w:t>郭学谦</w:t>
            </w:r>
          </w:p>
        </w:tc>
        <w:tc>
          <w:tcPr>
            <w:tcW w:w="860" w:type="dxa"/>
            <w:vAlign w:val="center"/>
          </w:tcPr>
          <w:p w14:paraId="238110B4">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589D55C5">
            <w:pPr>
              <w:spacing w:line="0" w:lineRule="atLeast"/>
              <w:jc w:val="center"/>
              <w:rPr>
                <w:bCs/>
                <w:spacing w:val="20"/>
                <w:sz w:val="22"/>
                <w:szCs w:val="22"/>
              </w:rPr>
            </w:pPr>
            <w:r>
              <w:rPr>
                <w:rFonts w:hint="eastAsia"/>
                <w:bCs/>
                <w:spacing w:val="20"/>
                <w:sz w:val="22"/>
                <w:szCs w:val="22"/>
              </w:rPr>
              <w:t>主任技师</w:t>
            </w:r>
          </w:p>
        </w:tc>
        <w:tc>
          <w:tcPr>
            <w:tcW w:w="2095" w:type="dxa"/>
            <w:vAlign w:val="center"/>
          </w:tcPr>
          <w:p w14:paraId="5E6A8D18">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36E71CF6">
            <w:pPr>
              <w:spacing w:line="0" w:lineRule="atLeast"/>
              <w:jc w:val="center"/>
              <w:rPr>
                <w:bCs/>
                <w:spacing w:val="20"/>
                <w:sz w:val="22"/>
                <w:szCs w:val="22"/>
              </w:rPr>
            </w:pPr>
            <w:r>
              <w:rPr>
                <w:rFonts w:hint="eastAsia"/>
                <w:bCs/>
                <w:spacing w:val="20"/>
                <w:sz w:val="22"/>
                <w:szCs w:val="22"/>
              </w:rPr>
              <w:t>资料检索</w:t>
            </w:r>
          </w:p>
        </w:tc>
      </w:tr>
    </w:tbl>
    <w:p w14:paraId="49BDB2B9">
      <w:pPr>
        <w:adjustRightInd w:val="0"/>
        <w:snapToGrid w:val="0"/>
        <w:spacing w:line="360" w:lineRule="auto"/>
        <w:ind w:firstLine="561"/>
        <w:rPr>
          <w:rFonts w:asciiTheme="minorEastAsia" w:hAnsiTheme="minorEastAsia" w:eastAsiaTheme="minorEastAsia" w:cstheme="minorEastAsia"/>
          <w:sz w:val="28"/>
          <w:szCs w:val="28"/>
        </w:rPr>
      </w:pPr>
    </w:p>
    <w:p w14:paraId="6B8D2E97">
      <w:pPr>
        <w:pStyle w:val="12"/>
        <w:kinsoku w:val="0"/>
        <w:overflowPunct w:val="0"/>
        <w:spacing w:line="600" w:lineRule="exact"/>
        <w:ind w:left="0" w:firstLine="602" w:firstLineChars="200"/>
        <w:jc w:val="both"/>
        <w:outlineLvl w:val="9"/>
        <w:rPr>
          <w:rFonts w:asciiTheme="minorEastAsia" w:hAnsiTheme="minorEastAsia" w:eastAsiaTheme="minorEastAsia" w:cstheme="minorEastAsia"/>
          <w:bCs w:val="0"/>
          <w:kern w:val="2"/>
          <w:sz w:val="30"/>
          <w:szCs w:val="30"/>
        </w:rPr>
      </w:pPr>
      <w:r>
        <w:rPr>
          <w:rFonts w:hint="eastAsia" w:asciiTheme="minorEastAsia" w:hAnsiTheme="minorEastAsia" w:eastAsiaTheme="minorEastAsia" w:cstheme="minorEastAsia"/>
          <w:bCs w:val="0"/>
          <w:kern w:val="2"/>
          <w:sz w:val="30"/>
          <w:szCs w:val="30"/>
        </w:rPr>
        <w:t>二、 制定标准的必要性和意义</w:t>
      </w:r>
    </w:p>
    <w:p w14:paraId="1D0E489D">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随着我国人口老龄化进程加快及居民生活方式的改变，高血压患病率及发病率呈增高趋势,来自《中国心血管健康与疾病报告2022》和《中国居民营养与慢性病状况报告2020》的数据显示：中国18岁及以上居民中高血压患病率为27.5%，3.3亿心血管疾病的患病人群中，高血压2.45亿,占75%。目前已成为严重危害公众健康的重大公共卫生问题。高血压严重危害身心健康,可引起脑卒中、心力衰竭、冠心病等并发症,严重威胁生命。但我国高血压存在“三高三低”现象，即患病率高、致残率高、致死率高，且知晓率低、控制率低、服药率低，存在较大的风险隐患。在基层医疗卫生机构开展高血压综合管理能够有效改善患者功能状况和生命质量、减少危险因素。因此，基本公共卫生服务利用率的提高可以改善高血压患者的健康状况。</w:t>
      </w:r>
    </w:p>
    <w:p w14:paraId="347568B3">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国从2009年启动了国家基本公共卫生服务项目，其中，原发性高血压患者是管理的重点人群，既是服务的重点，也是难点。基层医疗卫生机构是高血压患者健康管理的“主战场”，其管理水平的高低将直接影响我国未来慢性疾病发展趋势。太原市基层高血压防控形势不容乐观，高血压患者规范管理率、血压控制率均低于国家要求的水平（2023年要求规范管理率62%、血压控制率40%），除基层卫生服务机构医疗资源相对缺乏、人员专业素质普遍不高外，缺乏规范化的诊疗流程和分级管理技术，转诊流程不明确是尤为突出的问题。</w:t>
      </w:r>
    </w:p>
    <w:p w14:paraId="3F86BC3D">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2017年，国家卫健委出版了《国家基本公共卫生服务规范（第三版）》，用于指导基层卫生服务机构做好慢性病患者健康管理服务。但由于受地域经济发展水平、卫生资源配置、人员素质等因素的限制，国家版规范在我市推行时，项目效果不佳。究其原因，主要是国家版规范制定了高血压患者管理的对象、内容、流程及要求，这些内容对于绩效考核指导性更强，对基层卫生服务人员面对患者如何规范诊疗、转诊流程等方面缺乏具体指导内容。因此亟待我市根据本地实际情况制定更详细、更具实操性的规范。</w:t>
      </w:r>
    </w:p>
    <w:p w14:paraId="536212DF">
      <w:pPr>
        <w:ind w:firstLine="560" w:firstLineChars="200"/>
        <w:rPr>
          <w:rFonts w:asciiTheme="minorEastAsia" w:hAnsiTheme="minorEastAsia" w:eastAsiaTheme="minorEastAsia" w:cstheme="minorEastAsia"/>
          <w:bCs/>
          <w:spacing w:val="20"/>
          <w:sz w:val="28"/>
          <w:szCs w:val="28"/>
        </w:rPr>
      </w:pPr>
      <w:r>
        <w:rPr>
          <w:rFonts w:hint="eastAsia" w:asciiTheme="minorEastAsia" w:hAnsiTheme="minorEastAsia" w:eastAsiaTheme="minorEastAsia" w:cstheme="minorEastAsia"/>
          <w:sz w:val="28"/>
          <w:szCs w:val="28"/>
        </w:rPr>
        <w:t>本规范用标准化、规范化、简单化的流程和技术规范指导和培训基层卫生服务人员，使其能快速掌握规范化服务技能，破解基层医生管理水平难以迅速提高的难题，提高工作效率，更好地为我市原发性高血压患者提供综合性、连续性、规范性的健康管理服务，结合合理、有效的分层管理及分类干预治疗，控制好血压，提高血压达标率，从而减少或延缓高血压患者并发症的发生，以达到降低病死率、提高生活质量和预期寿命的最终目的。</w:t>
      </w:r>
    </w:p>
    <w:p w14:paraId="2581072B">
      <w:pPr>
        <w:pStyle w:val="12"/>
        <w:kinsoku w:val="0"/>
        <w:overflowPunct w:val="0"/>
        <w:spacing w:line="600" w:lineRule="exact"/>
        <w:ind w:left="0" w:firstLine="602" w:firstLineChars="200"/>
        <w:jc w:val="both"/>
        <w:outlineLvl w:val="9"/>
        <w:rPr>
          <w:rFonts w:asciiTheme="minorEastAsia" w:hAnsiTheme="minorEastAsia" w:eastAsiaTheme="minorEastAsia" w:cstheme="minorEastAsia"/>
          <w:bCs w:val="0"/>
          <w:kern w:val="2"/>
          <w:sz w:val="30"/>
          <w:szCs w:val="30"/>
        </w:rPr>
      </w:pPr>
      <w:r>
        <w:rPr>
          <w:rFonts w:hint="eastAsia" w:asciiTheme="minorEastAsia" w:hAnsiTheme="minorEastAsia" w:eastAsiaTheme="minorEastAsia" w:cstheme="minorEastAsia"/>
          <w:bCs w:val="0"/>
          <w:kern w:val="2"/>
          <w:sz w:val="30"/>
          <w:szCs w:val="30"/>
        </w:rPr>
        <w:t>三、主要起草工作过程</w:t>
      </w:r>
    </w:p>
    <w:p w14:paraId="58DEB05F">
      <w:pPr>
        <w:adjustRightInd w:val="0"/>
        <w:snapToGrid w:val="0"/>
        <w:spacing w:before="156" w:beforeLines="50"/>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（一）成立项目组</w:t>
      </w:r>
    </w:p>
    <w:p w14:paraId="268DBDB0">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2023年10月，成立本标准项目组，项目框架和计划拟定，起草人员分工安排。</w:t>
      </w:r>
    </w:p>
    <w:p w14:paraId="0C21CDE6">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（二）收集资料</w:t>
      </w:r>
    </w:p>
    <w:p w14:paraId="5D822ADF">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对原发性高血压患者健康管理服务相关国家、行业、地方标准、文献资料查询，收集相关的标准、资料文献共20余项。 </w:t>
      </w:r>
    </w:p>
    <w:p w14:paraId="457312EE">
      <w:pPr>
        <w:ind w:firstLine="560"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（三）标准起草</w:t>
      </w:r>
    </w:p>
    <w:p w14:paraId="627F69B2">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国家基本公共卫生服务规范（第三版）》工作要求的基础上，参考《国家基层高血压防治管理指南2020版》，并根据我市基层高压防治的实际情况，结合十几年工作实践，对《原发性高血压患者健康管理服务规范》地方标准的框架、主要内容进行深入的讨论，确定标准的各项技术要素，编写了标准草案。</w:t>
      </w:r>
    </w:p>
    <w:p w14:paraId="71532318">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（四）对标准草案进行讨论、修改，形成征求意见稿</w:t>
      </w:r>
    </w:p>
    <w:p w14:paraId="1579CBFC">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标准起草组在查阅文献、相关标准，收集资料，广泛咨询和采纳项目专家的意见和建议，重点从服务对象范围划定、服务内容进行细化、规范，进一步对标准草案进行修改和完善，形成征求意见稿。</w:t>
      </w:r>
    </w:p>
    <w:p w14:paraId="07FB7E9D">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（五）征求意见</w:t>
      </w:r>
    </w:p>
    <w:p w14:paraId="657F2EFD">
      <w:pPr>
        <w:pStyle w:val="10"/>
        <w:spacing w:line="360" w:lineRule="auto"/>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了征求到更广泛的意见和建议，我们选取了2个三甲医院、2个卫体局、3个疾控中心及2个社区卫生服务中心和1所乡镇卫生院共10所适用单位，征求范围涵盖了我市各类各级、城市与农村等不同类型的机构。使征求的意见尽可能地更具代表性。对收回的意见本项目组进行了深入的讨论和交流，最终经过修改、完善形成了征求意见稿。</w:t>
      </w:r>
    </w:p>
    <w:p w14:paraId="692F5055">
      <w:pPr>
        <w:pStyle w:val="10"/>
        <w:spacing w:line="360" w:lineRule="auto"/>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发送征求意见稿单位数10个；收到回函的单位数10个；收到提出意见的单位数5个，共收到8条意见，采纳2条意见，未采纳6条意见（具体见附表1）。</w:t>
      </w:r>
    </w:p>
    <w:p w14:paraId="3E52FFD1">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（六）修改完善后形成送审稿</w:t>
      </w:r>
    </w:p>
    <w:p w14:paraId="56B7497B">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2024年7月22日，太原市卫生健康标准化技术委员会组织有关专家对本规范进行第一次评审，根据评审会专家意见，起草组从标准框架、应包含的内容、内容的逻辑性等进行修改完善，形成征求意见稿。太原市卫生健康标准化技术委员会组织有关专家对本规范进行第二次评审，起草组再次根据专家组意见进行修改完善，形成送审稿。</w:t>
      </w:r>
    </w:p>
    <w:p w14:paraId="36E71F07">
      <w:pPr>
        <w:pStyle w:val="10"/>
        <w:spacing w:line="360" w:lineRule="auto"/>
        <w:ind w:left="0" w:leftChars="0"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四、制定标准的原则和依据</w:t>
      </w:r>
    </w:p>
    <w:p w14:paraId="0B57F368">
      <w:pPr>
        <w:pStyle w:val="10"/>
        <w:spacing w:line="360" w:lineRule="auto"/>
        <w:ind w:left="64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本标准根据国家发布的《国家基本公共卫生服务规范（第三版）》</w:t>
      </w:r>
    </w:p>
    <w:p w14:paraId="59001FA9">
      <w:pPr>
        <w:pStyle w:val="10"/>
        <w:spacing w:line="360" w:lineRule="auto"/>
        <w:ind w:left="0" w:left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作要求，参考《国家基层高血压防治管理指南2020版》，并根据我市基层高血压防治的实际情况制定，可操作性强，有助于逐步实现基层高血压患者健康管理工作的同质化与规范化。该项标准与现行法律、法规、标准协调一致，无冲突。</w:t>
      </w:r>
    </w:p>
    <w:p w14:paraId="677FC6D5">
      <w:pPr>
        <w:numPr>
          <w:ilvl w:val="0"/>
          <w:numId w:val="2"/>
        </w:num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主要条款的说明，主要技术指标、参数、试验验证的分析、综合论述</w:t>
      </w:r>
    </w:p>
    <w:p w14:paraId="0EDD1108">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本规范由七章节组成，包括范围、规范性引用文件、术语和定义、基本要求、服务流程、服务对象、服务内容。</w:t>
      </w:r>
      <w:r>
        <w:rPr>
          <w:rFonts w:hint="eastAsia" w:asciiTheme="minorEastAsia" w:hAnsiTheme="minorEastAsia" w:eastAsiaTheme="minorEastAsia" w:cstheme="minorEastAsia"/>
          <w:sz w:val="28"/>
          <w:szCs w:val="28"/>
        </w:rPr>
        <w:t>是在国家版规范基础上，结合我市项目多年实践的具体情况，内容上做了以下3点补充：</w:t>
      </w:r>
    </w:p>
    <w:p w14:paraId="00752B51">
      <w:pPr>
        <w:pStyle w:val="2"/>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1、对国家版规范中的服务对象做了4点解读说明，更明确了服务对象的特征和范围。</w:t>
      </w:r>
    </w:p>
    <w:p w14:paraId="6DE72B2C">
      <w:pPr>
        <w:pStyle w:val="2"/>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2、明确了分类干预中每类人群的规范化干预流程和用表。</w:t>
      </w:r>
    </w:p>
    <w:p w14:paraId="70102699">
      <w:pPr>
        <w:pStyle w:val="2"/>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3、结合本地实际情况，规定了患者转诊需要填写的表格、流程、及转诊后的管理流程。</w:t>
      </w:r>
    </w:p>
    <w:p w14:paraId="5CFB6D80">
      <w:pPr>
        <w:pStyle w:val="10"/>
        <w:spacing w:line="360" w:lineRule="auto"/>
        <w:ind w:left="0" w:leftChars="0"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六、重大意见分歧的处理依据和结果</w:t>
      </w:r>
    </w:p>
    <w:p w14:paraId="3D1EBE9E">
      <w:pPr>
        <w:pStyle w:val="10"/>
        <w:spacing w:line="360" w:lineRule="auto"/>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征求意见过程中没有重大分歧意见。</w:t>
      </w:r>
    </w:p>
    <w:p w14:paraId="6A0B737B">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七、采标情况，是否合规引用或采用国际标准和国外先进标</w:t>
      </w:r>
    </w:p>
    <w:p w14:paraId="2F3035C5">
      <w:pPr>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准，以及与国内外同类标准水平的对比情况。</w:t>
      </w:r>
    </w:p>
    <w:p w14:paraId="36B75CF6">
      <w:pPr>
        <w:pStyle w:val="2"/>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规范未采用国际标准和国外先进标准。本规范用标准化、规范化、简单化的流程和技术规范指导和培训基层卫生服务人员，使其能快速掌握规范化服务技能，破解基层医生管理水平难以迅速提高的难题，提高工作效率，更好地为我市原发性高血压患者提供综合性、连续性、规范性的健康管理服务，结合合理、有效的分层管理及分类干预治疗，控制好血压，提高血压达标率，从而减少或延缓高血压患者并发症的发生，以达到降低病死率、提高生活质量和预期寿命的最终目的。</w:t>
      </w:r>
    </w:p>
    <w:p w14:paraId="027A7833">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八、作为推荐性标准或者强制性标准的建议及其理由。</w:t>
      </w:r>
    </w:p>
    <w:p w14:paraId="30C41138">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建议本规范作为推荐性标准。因为国家版规范对患者如何规范诊疗、转诊流程等方面缺乏具体指导内容，而我市亟待根据本地实际情况制定更详细、更具实操性的规范，本规范应运而生。本规范用标准化、规范化、简单化的流程和技术规范指导和培训基层卫生服务人员，使其能快速掌握规范化服务技能，破解基层医生管理水平难以迅速提高的难题，提高工作效率，更好地为我市原发性高血压患者提供综合性、连续性、规范性的健康管理服务。</w:t>
      </w:r>
    </w:p>
    <w:p w14:paraId="6EEE6691">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九、强制性标准实施的风险点、风险程度、风险防控措施和预案。</w:t>
      </w:r>
    </w:p>
    <w:p w14:paraId="51467D1E">
      <w:pPr>
        <w:ind w:firstLine="600" w:firstLineChars="200"/>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无此项内容。</w:t>
      </w:r>
    </w:p>
    <w:p w14:paraId="71E0F9DD">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十、实施标准的措施建议</w:t>
      </w:r>
    </w:p>
    <w:p w14:paraId="056B4655">
      <w:pPr>
        <w:adjustRightInd w:val="0"/>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（一）通过卫生行政部门将本标准贯彻到全市各级医疗卫生服务机构及业务指导机构。</w:t>
      </w:r>
    </w:p>
    <w:p w14:paraId="09876C9C">
      <w:pPr>
        <w:adjustRightInd w:val="0"/>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（二）采用多轮逐级培训和点对点加强培训（点面相结合）的方式，通过各级疾控机构进行标准的宣贯、培训。</w:t>
      </w:r>
    </w:p>
    <w:p w14:paraId="483E71CA">
      <w:pPr>
        <w:adjustRightInd w:val="0"/>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（三）各级业务管理部门按照该标准相关要求开展管理指导工作。</w:t>
      </w:r>
    </w:p>
    <w:p w14:paraId="5CA16BE5">
      <w:pPr>
        <w:adjustRightInd w:val="0"/>
        <w:snapToGrid w:val="0"/>
        <w:spacing w:line="360" w:lineRule="auto"/>
        <w:ind w:firstLine="560" w:firstLineChars="200"/>
        <w:rPr>
          <w:rFonts w:asciiTheme="minorEastAsia" w:hAnsiTheme="minorEastAsia" w:eastAsiaTheme="minorEastAsia" w:cstheme="minorEastAsia"/>
        </w:rPr>
      </w:pPr>
      <w:r>
        <w:rPr>
          <w:rFonts w:hint="eastAsia" w:asciiTheme="minorEastAsia" w:hAnsiTheme="minorEastAsia" w:eastAsiaTheme="minorEastAsia" w:cstheme="minorEastAsia"/>
          <w:sz w:val="28"/>
          <w:szCs w:val="28"/>
        </w:rPr>
        <w:t>（四）印制标准资料汇编，发到基层医疗卫生服务机构使其掌握本标准要求，并落实实施。</w:t>
      </w:r>
    </w:p>
    <w:p w14:paraId="412DA983">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十一、其他应说明的事项</w:t>
      </w:r>
    </w:p>
    <w:p w14:paraId="2FA3DE99">
      <w:pPr>
        <w:ind w:firstLine="600"/>
        <w:rPr>
          <w:rFonts w:asciiTheme="minorEastAsia" w:hAnsiTheme="minorEastAsia"/>
          <w:sz w:val="30"/>
          <w:szCs w:val="30"/>
        </w:rPr>
      </w:pPr>
      <w:r>
        <w:rPr>
          <w:rFonts w:hint="eastAsia" w:asciiTheme="minorEastAsia" w:hAnsiTheme="minorEastAsia"/>
          <w:sz w:val="30"/>
          <w:szCs w:val="30"/>
        </w:rPr>
        <w:t>无此项内容。</w:t>
      </w:r>
    </w:p>
    <w:p w14:paraId="40B4F1CA">
      <w:pPr>
        <w:pStyle w:val="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44BB2F6A">
      <w:pPr>
        <w:pStyle w:val="2"/>
        <w:rPr>
          <w:rFonts w:asciiTheme="minorEastAsia" w:hAnsiTheme="minorEastAsia" w:eastAsiaTheme="minorEastAsia" w:cstheme="minorEastAsia"/>
          <w:sz w:val="28"/>
          <w:szCs w:val="28"/>
        </w:rPr>
      </w:pPr>
    </w:p>
    <w:p w14:paraId="268CB271">
      <w:pPr>
        <w:spacing w:line="600" w:lineRule="exact"/>
        <w:ind w:firstLine="560" w:firstLineChars="200"/>
        <w:rPr>
          <w:szCs w:val="32"/>
        </w:rPr>
      </w:pPr>
      <w:r>
        <w:rPr>
          <w:rFonts w:hint="eastAsia" w:asciiTheme="minorEastAsia" w:hAnsiTheme="minorEastAsia" w:eastAsiaTheme="minorEastAsia" w:cstheme="minorEastAsia"/>
          <w:sz w:val="28"/>
          <w:szCs w:val="28"/>
        </w:rPr>
        <w:t xml:space="preserve">                                        </w:t>
      </w:r>
    </w:p>
    <w:p w14:paraId="78FADBEF">
      <w:pPr>
        <w:spacing w:line="600" w:lineRule="exact"/>
        <w:ind w:firstLine="200"/>
        <w:jc w:val="right"/>
        <w:rPr>
          <w:szCs w:val="32"/>
        </w:rPr>
      </w:pPr>
      <w:r>
        <w:rPr>
          <w:rFonts w:hint="eastAsia" w:asciiTheme="minorEastAsia" w:hAnsiTheme="minorEastAsia" w:eastAsiaTheme="minorEastAsia" w:cstheme="minorEastAsia"/>
          <w:sz w:val="28"/>
          <w:szCs w:val="28"/>
        </w:rPr>
        <w:t>《原发性高血压患者健康管理服务规范》编制组</w:t>
      </w:r>
    </w:p>
    <w:p w14:paraId="2F7D4961">
      <w:pPr>
        <w:pStyle w:val="2"/>
        <w:ind w:firstLine="5760" w:firstLineChars="1800"/>
        <w:rPr>
          <w:rFonts w:asciiTheme="minorEastAsia" w:hAnsiTheme="minorEastAsia" w:eastAsiaTheme="minorEastAsia" w:cstheme="minorEastAsia"/>
          <w:sz w:val="28"/>
          <w:szCs w:val="28"/>
        </w:rPr>
        <w:sectPr>
          <w:pgSz w:w="11906" w:h="16838"/>
          <w:pgMar w:top="1440" w:right="1800" w:bottom="1440" w:left="1800" w:header="851" w:footer="992" w:gutter="0"/>
          <w:cols w:space="425" w:num="1"/>
          <w:docGrid w:type="lines" w:linePitch="312" w:charSpace="0"/>
        </w:sectPr>
      </w:pPr>
      <w:r>
        <w:rPr>
          <w:szCs w:val="32"/>
        </w:rPr>
        <w:t>202</w:t>
      </w:r>
      <w:r>
        <w:rPr>
          <w:rFonts w:hint="eastAsia"/>
          <w:szCs w:val="32"/>
        </w:rPr>
        <w:t>4</w:t>
      </w:r>
      <w:r>
        <w:rPr>
          <w:szCs w:val="32"/>
        </w:rPr>
        <w:t>年</w:t>
      </w:r>
      <w:r>
        <w:rPr>
          <w:rFonts w:hint="eastAsia"/>
          <w:szCs w:val="32"/>
        </w:rPr>
        <w:t>8</w:t>
      </w:r>
      <w:r>
        <w:rPr>
          <w:szCs w:val="32"/>
        </w:rPr>
        <w:t>月</w:t>
      </w:r>
      <w:r>
        <w:rPr>
          <w:rFonts w:hint="eastAsia"/>
          <w:szCs w:val="32"/>
        </w:rPr>
        <w:t>1</w:t>
      </w:r>
      <w:r>
        <w:rPr>
          <w:szCs w:val="32"/>
        </w:rPr>
        <w:t>日</w:t>
      </w:r>
    </w:p>
    <w:p w14:paraId="4948CF05">
      <w:pPr>
        <w:spacing w:after="218" w:afterLines="50"/>
        <w:jc w:val="center"/>
        <w:rPr>
          <w:sz w:val="24"/>
          <w:szCs w:val="24"/>
        </w:rPr>
      </w:pPr>
      <w:r>
        <w:rPr>
          <w:rFonts w:hint="eastAsia"/>
          <w:b/>
          <w:bCs/>
          <w:sz w:val="28"/>
          <w:szCs w:val="28"/>
        </w:rPr>
        <w:t>附表1 原发性高血压患者健康管理服务规范地方标准征求意见汇总处理表</w:t>
      </w:r>
    </w:p>
    <w:p w14:paraId="4D2CEDE5">
      <w:pPr>
        <w:rPr>
          <w:sz w:val="24"/>
          <w:szCs w:val="24"/>
        </w:rPr>
      </w:pPr>
      <w:r>
        <w:rPr>
          <w:rFonts w:hint="eastAsia"/>
          <w:sz w:val="24"/>
          <w:szCs w:val="24"/>
        </w:rPr>
        <w:t xml:space="preserve">起草单位：太原市疾病预防控制中心        承办人：杜鹃         联系电话：15034058075      填写时间：2024年6月 18日 </w:t>
      </w:r>
    </w:p>
    <w:tbl>
      <w:tblPr>
        <w:tblStyle w:val="8"/>
        <w:tblpPr w:leftFromText="180" w:rightFromText="180" w:vertAnchor="text" w:horzAnchor="page" w:tblpX="1502" w:tblpY="20"/>
        <w:tblOverlap w:val="never"/>
        <w:tblW w:w="140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312"/>
        <w:gridCol w:w="4488"/>
        <w:gridCol w:w="1962"/>
        <w:gridCol w:w="1538"/>
        <w:gridCol w:w="4106"/>
      </w:tblGrid>
      <w:tr w14:paraId="3D06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670" w:type="dxa"/>
            <w:vAlign w:val="center"/>
          </w:tcPr>
          <w:p w14:paraId="08C23520">
            <w:pPr>
              <w:jc w:val="center"/>
              <w:rPr>
                <w:sz w:val="18"/>
                <w:szCs w:val="18"/>
              </w:rPr>
            </w:pPr>
            <w:r>
              <w:rPr>
                <w:rFonts w:hint="eastAsia"/>
                <w:sz w:val="18"/>
                <w:szCs w:val="18"/>
              </w:rPr>
              <w:t>序号</w:t>
            </w:r>
          </w:p>
        </w:tc>
        <w:tc>
          <w:tcPr>
            <w:tcW w:w="1312" w:type="dxa"/>
            <w:vAlign w:val="center"/>
          </w:tcPr>
          <w:p w14:paraId="13CEBDE3">
            <w:pPr>
              <w:jc w:val="center"/>
              <w:rPr>
                <w:sz w:val="18"/>
                <w:szCs w:val="18"/>
              </w:rPr>
            </w:pPr>
            <w:r>
              <w:rPr>
                <w:rFonts w:hint="eastAsia"/>
                <w:sz w:val="18"/>
                <w:szCs w:val="18"/>
              </w:rPr>
              <w:t>标准章条编号</w:t>
            </w:r>
          </w:p>
        </w:tc>
        <w:tc>
          <w:tcPr>
            <w:tcW w:w="4488" w:type="dxa"/>
            <w:vAlign w:val="center"/>
          </w:tcPr>
          <w:p w14:paraId="5F0B5A7B">
            <w:pPr>
              <w:jc w:val="center"/>
              <w:rPr>
                <w:sz w:val="18"/>
                <w:szCs w:val="18"/>
              </w:rPr>
            </w:pPr>
            <w:r>
              <w:rPr>
                <w:rFonts w:hint="eastAsia"/>
                <w:sz w:val="18"/>
                <w:szCs w:val="18"/>
              </w:rPr>
              <w:t>意见内容</w:t>
            </w:r>
          </w:p>
        </w:tc>
        <w:tc>
          <w:tcPr>
            <w:tcW w:w="1962" w:type="dxa"/>
            <w:vAlign w:val="center"/>
          </w:tcPr>
          <w:p w14:paraId="1DC7BBA1">
            <w:pPr>
              <w:jc w:val="center"/>
              <w:rPr>
                <w:sz w:val="18"/>
                <w:szCs w:val="18"/>
              </w:rPr>
            </w:pPr>
            <w:r>
              <w:rPr>
                <w:rFonts w:hint="eastAsia"/>
                <w:sz w:val="18"/>
                <w:szCs w:val="18"/>
              </w:rPr>
              <w:t>提出单位（或个人）</w:t>
            </w:r>
          </w:p>
        </w:tc>
        <w:tc>
          <w:tcPr>
            <w:tcW w:w="1538" w:type="dxa"/>
            <w:vAlign w:val="center"/>
          </w:tcPr>
          <w:p w14:paraId="64682731">
            <w:pPr>
              <w:jc w:val="center"/>
              <w:rPr>
                <w:sz w:val="18"/>
                <w:szCs w:val="18"/>
              </w:rPr>
            </w:pPr>
            <w:r>
              <w:rPr>
                <w:rFonts w:hint="eastAsia"/>
                <w:sz w:val="18"/>
                <w:szCs w:val="18"/>
              </w:rPr>
              <w:t>处理意见</w:t>
            </w:r>
          </w:p>
          <w:p w14:paraId="4F3261AD">
            <w:pPr>
              <w:jc w:val="center"/>
              <w:rPr>
                <w:sz w:val="18"/>
                <w:szCs w:val="18"/>
              </w:rPr>
            </w:pPr>
            <w:r>
              <w:rPr>
                <w:rFonts w:hint="eastAsia"/>
                <w:sz w:val="18"/>
                <w:szCs w:val="18"/>
              </w:rPr>
              <w:t>（采纳/不采纳）</w:t>
            </w:r>
          </w:p>
        </w:tc>
        <w:tc>
          <w:tcPr>
            <w:tcW w:w="4106" w:type="dxa"/>
            <w:vAlign w:val="center"/>
          </w:tcPr>
          <w:p w14:paraId="6A84436B">
            <w:pPr>
              <w:jc w:val="center"/>
              <w:rPr>
                <w:sz w:val="18"/>
                <w:szCs w:val="18"/>
              </w:rPr>
            </w:pPr>
            <w:r>
              <w:rPr>
                <w:rFonts w:hint="eastAsia"/>
                <w:sz w:val="18"/>
                <w:szCs w:val="18"/>
              </w:rPr>
              <w:t>意见处理说明</w:t>
            </w:r>
          </w:p>
          <w:p w14:paraId="6B9D7A74">
            <w:pPr>
              <w:jc w:val="center"/>
              <w:rPr>
                <w:sz w:val="18"/>
                <w:szCs w:val="18"/>
              </w:rPr>
            </w:pPr>
            <w:r>
              <w:rPr>
                <w:rFonts w:hint="eastAsia"/>
                <w:sz w:val="18"/>
                <w:szCs w:val="18"/>
              </w:rPr>
              <w:t>（不采纳的理由等）</w:t>
            </w:r>
          </w:p>
        </w:tc>
      </w:tr>
      <w:tr w14:paraId="1F16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70" w:type="dxa"/>
            <w:vAlign w:val="center"/>
          </w:tcPr>
          <w:p w14:paraId="15BD73A0">
            <w:pPr>
              <w:jc w:val="center"/>
              <w:rPr>
                <w:sz w:val="18"/>
                <w:szCs w:val="18"/>
              </w:rPr>
            </w:pPr>
            <w:r>
              <w:rPr>
                <w:rFonts w:hint="eastAsia"/>
                <w:sz w:val="18"/>
                <w:szCs w:val="18"/>
              </w:rPr>
              <w:t>1</w:t>
            </w:r>
          </w:p>
        </w:tc>
        <w:tc>
          <w:tcPr>
            <w:tcW w:w="1312" w:type="dxa"/>
          </w:tcPr>
          <w:p w14:paraId="3DE85B27">
            <w:pPr>
              <w:widowControl/>
              <w:spacing w:line="400" w:lineRule="exact"/>
              <w:jc w:val="center"/>
              <w:rPr>
                <w:sz w:val="21"/>
                <w:szCs w:val="21"/>
              </w:rPr>
            </w:pPr>
            <w:r>
              <w:rPr>
                <w:rFonts w:hint="eastAsia" w:asciiTheme="minorEastAsia" w:hAnsiTheme="minorEastAsia" w:eastAsiaTheme="minorEastAsia" w:cstheme="minorEastAsia"/>
                <w:kern w:val="0"/>
                <w:sz w:val="21"/>
                <w:szCs w:val="21"/>
              </w:rPr>
              <w:t>4.5.2.7</w:t>
            </w:r>
          </w:p>
        </w:tc>
        <w:tc>
          <w:tcPr>
            <w:tcW w:w="4488" w:type="dxa"/>
          </w:tcPr>
          <w:p w14:paraId="46C46196">
            <w:pPr>
              <w:widowControl/>
              <w:adjustRightInd w:val="0"/>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计算体质指数（BMI）建议修改为计算体重指数（BMI）</w:t>
            </w:r>
          </w:p>
        </w:tc>
        <w:tc>
          <w:tcPr>
            <w:tcW w:w="1962" w:type="dxa"/>
            <w:vAlign w:val="center"/>
          </w:tcPr>
          <w:p w14:paraId="440649CF">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太原市人民医院</w:t>
            </w:r>
          </w:p>
        </w:tc>
        <w:tc>
          <w:tcPr>
            <w:tcW w:w="1538" w:type="dxa"/>
            <w:vAlign w:val="center"/>
          </w:tcPr>
          <w:p w14:paraId="2B8572BB">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不采纳</w:t>
            </w:r>
          </w:p>
        </w:tc>
        <w:tc>
          <w:tcPr>
            <w:tcW w:w="4106" w:type="dxa"/>
            <w:vAlign w:val="center"/>
          </w:tcPr>
          <w:p w14:paraId="637A26F6">
            <w:pPr>
              <w:widowControl/>
              <w:spacing w:line="40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体质指数和体重指数这两种名称都正确</w:t>
            </w:r>
          </w:p>
        </w:tc>
      </w:tr>
      <w:tr w14:paraId="576F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670" w:type="dxa"/>
            <w:vAlign w:val="center"/>
          </w:tcPr>
          <w:p w14:paraId="61FC9AF8">
            <w:pPr>
              <w:jc w:val="center"/>
              <w:rPr>
                <w:sz w:val="18"/>
                <w:szCs w:val="18"/>
              </w:rPr>
            </w:pPr>
            <w:r>
              <w:rPr>
                <w:rFonts w:hint="eastAsia"/>
                <w:sz w:val="18"/>
                <w:szCs w:val="18"/>
              </w:rPr>
              <w:t>2</w:t>
            </w:r>
          </w:p>
        </w:tc>
        <w:tc>
          <w:tcPr>
            <w:tcW w:w="1312" w:type="dxa"/>
            <w:vAlign w:val="center"/>
          </w:tcPr>
          <w:p w14:paraId="3980E694">
            <w:pPr>
              <w:spacing w:line="400" w:lineRule="exact"/>
              <w:jc w:val="center"/>
              <w:rPr>
                <w:sz w:val="21"/>
                <w:szCs w:val="21"/>
              </w:rPr>
            </w:pPr>
            <w:r>
              <w:rPr>
                <w:rFonts w:hint="eastAsia" w:asciiTheme="minorEastAsia" w:hAnsiTheme="minorEastAsia" w:eastAsiaTheme="minorEastAsia" w:cstheme="minorEastAsia"/>
                <w:kern w:val="0"/>
                <w:sz w:val="21"/>
                <w:szCs w:val="21"/>
              </w:rPr>
              <w:t>4.5.2.5</w:t>
            </w:r>
          </w:p>
        </w:tc>
        <w:tc>
          <w:tcPr>
            <w:tcW w:w="4488" w:type="dxa"/>
            <w:vAlign w:val="center"/>
          </w:tcPr>
          <w:p w14:paraId="63951128">
            <w:pPr>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询问生活方式，包括吸烟、饮酒、运动、摄盐情况等，并评估进展建议修改为：询问生活方式，包括吸烟、饮酒、运动、摄盐情况等，并对生活方式的改进状态进行评估。</w:t>
            </w:r>
          </w:p>
        </w:tc>
        <w:tc>
          <w:tcPr>
            <w:tcW w:w="1962" w:type="dxa"/>
            <w:vAlign w:val="center"/>
          </w:tcPr>
          <w:p w14:paraId="1F471A17">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太原市人民医院</w:t>
            </w:r>
          </w:p>
        </w:tc>
        <w:tc>
          <w:tcPr>
            <w:tcW w:w="1538" w:type="dxa"/>
            <w:vAlign w:val="center"/>
          </w:tcPr>
          <w:p w14:paraId="6CF0D555">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采纳</w:t>
            </w:r>
          </w:p>
        </w:tc>
        <w:tc>
          <w:tcPr>
            <w:tcW w:w="4106" w:type="dxa"/>
            <w:vAlign w:val="center"/>
          </w:tcPr>
          <w:p w14:paraId="6EDD6831">
            <w:pPr>
              <w:spacing w:line="40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修改为：询问生活方式，包括吸烟、饮酒、运动、摄盐情况等，并对生活方式的改进情况进行评估</w:t>
            </w:r>
          </w:p>
        </w:tc>
      </w:tr>
      <w:tr w14:paraId="559A1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670" w:type="dxa"/>
            <w:vAlign w:val="center"/>
          </w:tcPr>
          <w:p w14:paraId="34E97DDB">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1312" w:type="dxa"/>
          </w:tcPr>
          <w:p w14:paraId="02DA12BF">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4.5.1</w:t>
            </w:r>
          </w:p>
        </w:tc>
        <w:tc>
          <w:tcPr>
            <w:tcW w:w="4488" w:type="dxa"/>
          </w:tcPr>
          <w:p w14:paraId="54B35052">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建议添加“视频随访”作为面对面访视</w:t>
            </w:r>
          </w:p>
        </w:tc>
        <w:tc>
          <w:tcPr>
            <w:tcW w:w="1962" w:type="dxa"/>
            <w:vAlign w:val="center"/>
          </w:tcPr>
          <w:p w14:paraId="44A3A82A">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杏花岭区疾控中心</w:t>
            </w:r>
          </w:p>
        </w:tc>
        <w:tc>
          <w:tcPr>
            <w:tcW w:w="1538" w:type="dxa"/>
            <w:vAlign w:val="center"/>
          </w:tcPr>
          <w:p w14:paraId="6DDC7D43">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不采纳</w:t>
            </w:r>
          </w:p>
        </w:tc>
        <w:tc>
          <w:tcPr>
            <w:tcW w:w="4106" w:type="dxa"/>
            <w:vAlign w:val="center"/>
          </w:tcPr>
          <w:p w14:paraId="703E1A1B">
            <w:pPr>
              <w:spacing w:line="40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视频随访可以存在，但性质等同于电话随访，不能替代面对面随访。</w:t>
            </w:r>
          </w:p>
        </w:tc>
      </w:tr>
      <w:tr w14:paraId="6842F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670" w:type="dxa"/>
            <w:vAlign w:val="center"/>
          </w:tcPr>
          <w:p w14:paraId="1AE94A22">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1312" w:type="dxa"/>
          </w:tcPr>
          <w:p w14:paraId="575AEAFF">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w:t>
            </w:r>
          </w:p>
        </w:tc>
        <w:tc>
          <w:tcPr>
            <w:tcW w:w="4488" w:type="dxa"/>
          </w:tcPr>
          <w:p w14:paraId="0F2C22D8">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建议体检增加与高血压相关危险因素的项目，吸引患者主动来体检。</w:t>
            </w:r>
          </w:p>
        </w:tc>
        <w:tc>
          <w:tcPr>
            <w:tcW w:w="1962" w:type="dxa"/>
            <w:vAlign w:val="center"/>
          </w:tcPr>
          <w:p w14:paraId="578832D0">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杏花岭区疾控中心</w:t>
            </w:r>
          </w:p>
        </w:tc>
        <w:tc>
          <w:tcPr>
            <w:tcW w:w="1538" w:type="dxa"/>
            <w:vAlign w:val="center"/>
          </w:tcPr>
          <w:p w14:paraId="17628522">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不采纳</w:t>
            </w:r>
          </w:p>
        </w:tc>
        <w:tc>
          <w:tcPr>
            <w:tcW w:w="4106" w:type="dxa"/>
            <w:vAlign w:val="center"/>
          </w:tcPr>
          <w:p w14:paraId="581B0332">
            <w:pPr>
              <w:spacing w:line="40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高血压主要的危险因素基本都纳入体检了，纳入更多的体检项目需要国家政策及资金的支持。</w:t>
            </w:r>
          </w:p>
        </w:tc>
      </w:tr>
      <w:tr w14:paraId="20581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vAlign w:val="center"/>
          </w:tcPr>
          <w:p w14:paraId="4E977655">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w:t>
            </w:r>
          </w:p>
        </w:tc>
        <w:tc>
          <w:tcPr>
            <w:tcW w:w="1312" w:type="dxa"/>
            <w:vAlign w:val="center"/>
          </w:tcPr>
          <w:p w14:paraId="4B17D885">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4.7.2</w:t>
            </w:r>
          </w:p>
        </w:tc>
        <w:tc>
          <w:tcPr>
            <w:tcW w:w="4488" w:type="dxa"/>
            <w:vAlign w:val="center"/>
          </w:tcPr>
          <w:p w14:paraId="30038C90">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建议删除预防接种史填写</w:t>
            </w:r>
          </w:p>
        </w:tc>
        <w:tc>
          <w:tcPr>
            <w:tcW w:w="1962" w:type="dxa"/>
            <w:vAlign w:val="center"/>
          </w:tcPr>
          <w:p w14:paraId="14F9E8D7">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杏花岭区坝陵桥社区卫生服务中心</w:t>
            </w:r>
          </w:p>
        </w:tc>
        <w:tc>
          <w:tcPr>
            <w:tcW w:w="1538" w:type="dxa"/>
            <w:vAlign w:val="center"/>
          </w:tcPr>
          <w:p w14:paraId="5AF9D745">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不采纳</w:t>
            </w:r>
          </w:p>
        </w:tc>
        <w:tc>
          <w:tcPr>
            <w:tcW w:w="4106" w:type="dxa"/>
            <w:vAlign w:val="center"/>
          </w:tcPr>
          <w:p w14:paraId="3CB46B16">
            <w:pPr>
              <w:widowControl/>
              <w:adjustRightInd w:val="0"/>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非免疫规划预防接种史是国家版规范要求填写的，有助于了解服务对象近一年疫苗接种情况。</w:t>
            </w:r>
          </w:p>
        </w:tc>
      </w:tr>
      <w:tr w14:paraId="784B4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vAlign w:val="center"/>
          </w:tcPr>
          <w:p w14:paraId="4FE877CF">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1312" w:type="dxa"/>
            <w:vAlign w:val="center"/>
          </w:tcPr>
          <w:p w14:paraId="5488F1B7">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4.5.1</w:t>
            </w:r>
          </w:p>
        </w:tc>
        <w:tc>
          <w:tcPr>
            <w:tcW w:w="4488" w:type="dxa"/>
            <w:vAlign w:val="center"/>
          </w:tcPr>
          <w:p w14:paraId="228813F1">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电话追踪。利用电话询问方式。应定一个什么情况下可以电话随访</w:t>
            </w:r>
          </w:p>
        </w:tc>
        <w:tc>
          <w:tcPr>
            <w:tcW w:w="1962" w:type="dxa"/>
            <w:vAlign w:val="center"/>
          </w:tcPr>
          <w:p w14:paraId="75C7D2EC">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清徐县疾控中心</w:t>
            </w:r>
          </w:p>
        </w:tc>
        <w:tc>
          <w:tcPr>
            <w:tcW w:w="1538" w:type="dxa"/>
            <w:vAlign w:val="center"/>
          </w:tcPr>
          <w:p w14:paraId="6BE04653">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不采纳</w:t>
            </w:r>
          </w:p>
        </w:tc>
        <w:tc>
          <w:tcPr>
            <w:tcW w:w="4106" w:type="dxa"/>
            <w:vAlign w:val="center"/>
          </w:tcPr>
          <w:p w14:paraId="184BF31E">
            <w:pPr>
              <w:widowControl/>
              <w:adjustRightInd w:val="0"/>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标准里已经明确规定了一年至少4次面对面随访，电话随访不属于面对面随访，因此4次面对面随访之外，可以结合电话随访。</w:t>
            </w:r>
          </w:p>
        </w:tc>
      </w:tr>
      <w:tr w14:paraId="380CE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vAlign w:val="center"/>
          </w:tcPr>
          <w:p w14:paraId="21D2F8A3">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w:t>
            </w:r>
          </w:p>
        </w:tc>
        <w:tc>
          <w:tcPr>
            <w:tcW w:w="1312" w:type="dxa"/>
            <w:vAlign w:val="center"/>
          </w:tcPr>
          <w:p w14:paraId="35D042C0">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4.7.6</w:t>
            </w:r>
          </w:p>
        </w:tc>
        <w:tc>
          <w:tcPr>
            <w:tcW w:w="4488" w:type="dxa"/>
            <w:vAlign w:val="center"/>
          </w:tcPr>
          <w:p w14:paraId="538FA625">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体检与随访相结合。体检可同时进行一次随访，应明确什么时间可以同时进行</w:t>
            </w:r>
          </w:p>
        </w:tc>
        <w:tc>
          <w:tcPr>
            <w:tcW w:w="1962" w:type="dxa"/>
            <w:vAlign w:val="center"/>
          </w:tcPr>
          <w:p w14:paraId="635188F6">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清徐县疾控中心</w:t>
            </w:r>
          </w:p>
        </w:tc>
        <w:tc>
          <w:tcPr>
            <w:tcW w:w="1538" w:type="dxa"/>
            <w:vAlign w:val="center"/>
          </w:tcPr>
          <w:p w14:paraId="4E71E883">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采纳</w:t>
            </w:r>
          </w:p>
        </w:tc>
        <w:tc>
          <w:tcPr>
            <w:tcW w:w="4106" w:type="dxa"/>
            <w:vAlign w:val="center"/>
          </w:tcPr>
          <w:p w14:paraId="48A84059">
            <w:pPr>
              <w:widowControl/>
              <w:adjustRightInd w:val="0"/>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修改为：4.7.6 体检与随访相结合。只要是体检在本季度随访的期间，体检可同时进行一次随访，填写体检表和随访服务记录表。</w:t>
            </w:r>
          </w:p>
        </w:tc>
      </w:tr>
      <w:tr w14:paraId="6454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vAlign w:val="center"/>
          </w:tcPr>
          <w:p w14:paraId="5D826558">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w:t>
            </w:r>
          </w:p>
        </w:tc>
        <w:tc>
          <w:tcPr>
            <w:tcW w:w="1312" w:type="dxa"/>
            <w:vAlign w:val="center"/>
          </w:tcPr>
          <w:p w14:paraId="2A5100F7">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4.6</w:t>
            </w:r>
          </w:p>
        </w:tc>
        <w:tc>
          <w:tcPr>
            <w:tcW w:w="4488" w:type="dxa"/>
            <w:vAlign w:val="center"/>
          </w:tcPr>
          <w:p w14:paraId="370D8099">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明确分类干预时间节点2周时和2周内的区别。</w:t>
            </w:r>
          </w:p>
        </w:tc>
        <w:tc>
          <w:tcPr>
            <w:tcW w:w="1962" w:type="dxa"/>
            <w:vAlign w:val="center"/>
          </w:tcPr>
          <w:p w14:paraId="5B5DCF2C">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清徐县王答乡</w:t>
            </w:r>
          </w:p>
          <w:p w14:paraId="34DBF88F">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乡镇卫生院</w:t>
            </w:r>
          </w:p>
        </w:tc>
        <w:tc>
          <w:tcPr>
            <w:tcW w:w="1538" w:type="dxa"/>
            <w:vAlign w:val="center"/>
          </w:tcPr>
          <w:p w14:paraId="24C8A7A5">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不采纳</w:t>
            </w:r>
          </w:p>
        </w:tc>
        <w:tc>
          <w:tcPr>
            <w:tcW w:w="4106" w:type="dxa"/>
            <w:vAlign w:val="center"/>
          </w:tcPr>
          <w:p w14:paraId="3347CDA9">
            <w:pPr>
              <w:widowControl/>
              <w:adjustRightInd w:val="0"/>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只有2周内，从来没有2周时</w:t>
            </w:r>
          </w:p>
        </w:tc>
      </w:tr>
      <w:tr w14:paraId="34AB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vAlign w:val="center"/>
          </w:tcPr>
          <w:p w14:paraId="0535587A">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w:t>
            </w:r>
          </w:p>
        </w:tc>
        <w:tc>
          <w:tcPr>
            <w:tcW w:w="1312" w:type="dxa"/>
          </w:tcPr>
          <w:p w14:paraId="4660EC6D">
            <w:pPr>
              <w:widowControl/>
              <w:spacing w:line="400" w:lineRule="exact"/>
              <w:jc w:val="center"/>
              <w:rPr>
                <w:rFonts w:asciiTheme="minorEastAsia" w:hAnsiTheme="minorEastAsia" w:eastAsiaTheme="minorEastAsia" w:cstheme="minorEastAsia"/>
                <w:kern w:val="0"/>
                <w:sz w:val="21"/>
                <w:szCs w:val="21"/>
              </w:rPr>
            </w:pPr>
          </w:p>
        </w:tc>
        <w:tc>
          <w:tcPr>
            <w:tcW w:w="4488" w:type="dxa"/>
            <w:vAlign w:val="center"/>
          </w:tcPr>
          <w:p w14:paraId="24A77E7C">
            <w:pPr>
              <w:widowControl/>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w:t>
            </w:r>
          </w:p>
        </w:tc>
        <w:tc>
          <w:tcPr>
            <w:tcW w:w="1962" w:type="dxa"/>
            <w:vAlign w:val="center"/>
          </w:tcPr>
          <w:p w14:paraId="1E99CA2D">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太原市第二人民医院</w:t>
            </w:r>
          </w:p>
        </w:tc>
        <w:tc>
          <w:tcPr>
            <w:tcW w:w="1538" w:type="dxa"/>
            <w:vAlign w:val="center"/>
          </w:tcPr>
          <w:p w14:paraId="47DB5F9C">
            <w:pPr>
              <w:spacing w:line="400" w:lineRule="exact"/>
              <w:jc w:val="center"/>
              <w:rPr>
                <w:rFonts w:asciiTheme="minorEastAsia" w:hAnsiTheme="minorEastAsia" w:eastAsiaTheme="minorEastAsia" w:cstheme="minorEastAsia"/>
                <w:sz w:val="21"/>
                <w:szCs w:val="21"/>
              </w:rPr>
            </w:pPr>
          </w:p>
        </w:tc>
        <w:tc>
          <w:tcPr>
            <w:tcW w:w="4106" w:type="dxa"/>
          </w:tcPr>
          <w:p w14:paraId="6299AD13">
            <w:pPr>
              <w:widowControl/>
              <w:adjustRightInd w:val="0"/>
              <w:spacing w:line="400" w:lineRule="exact"/>
              <w:jc w:val="left"/>
              <w:rPr>
                <w:rFonts w:asciiTheme="minorEastAsia" w:hAnsiTheme="minorEastAsia" w:eastAsiaTheme="minorEastAsia" w:cstheme="minorEastAsia"/>
                <w:kern w:val="0"/>
                <w:sz w:val="21"/>
                <w:szCs w:val="21"/>
              </w:rPr>
            </w:pPr>
          </w:p>
        </w:tc>
      </w:tr>
      <w:tr w14:paraId="2190F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vAlign w:val="center"/>
          </w:tcPr>
          <w:p w14:paraId="34F75C4D">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w:t>
            </w:r>
          </w:p>
        </w:tc>
        <w:tc>
          <w:tcPr>
            <w:tcW w:w="1312" w:type="dxa"/>
          </w:tcPr>
          <w:p w14:paraId="774504CC">
            <w:pPr>
              <w:widowControl/>
              <w:spacing w:line="540" w:lineRule="exact"/>
              <w:jc w:val="center"/>
              <w:rPr>
                <w:rFonts w:asciiTheme="minorEastAsia" w:hAnsiTheme="minorEastAsia" w:eastAsiaTheme="minorEastAsia" w:cstheme="minorEastAsia"/>
                <w:kern w:val="0"/>
                <w:sz w:val="21"/>
                <w:szCs w:val="21"/>
              </w:rPr>
            </w:pPr>
          </w:p>
        </w:tc>
        <w:tc>
          <w:tcPr>
            <w:tcW w:w="4488" w:type="dxa"/>
            <w:vAlign w:val="center"/>
          </w:tcPr>
          <w:p w14:paraId="6A95D1F0">
            <w:pPr>
              <w:widowControl/>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w:t>
            </w:r>
          </w:p>
        </w:tc>
        <w:tc>
          <w:tcPr>
            <w:tcW w:w="1962" w:type="dxa"/>
            <w:vAlign w:val="center"/>
          </w:tcPr>
          <w:p w14:paraId="036DA497">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晋源区疾控中心</w:t>
            </w:r>
          </w:p>
        </w:tc>
        <w:tc>
          <w:tcPr>
            <w:tcW w:w="1538" w:type="dxa"/>
          </w:tcPr>
          <w:p w14:paraId="0A10C0CB">
            <w:pPr>
              <w:widowControl/>
              <w:spacing w:line="540" w:lineRule="exact"/>
              <w:jc w:val="center"/>
              <w:rPr>
                <w:rFonts w:asciiTheme="minorEastAsia" w:hAnsiTheme="minorEastAsia" w:eastAsiaTheme="minorEastAsia" w:cstheme="minorEastAsia"/>
                <w:kern w:val="0"/>
                <w:sz w:val="21"/>
                <w:szCs w:val="21"/>
              </w:rPr>
            </w:pPr>
          </w:p>
        </w:tc>
        <w:tc>
          <w:tcPr>
            <w:tcW w:w="4106" w:type="dxa"/>
          </w:tcPr>
          <w:p w14:paraId="31493717">
            <w:pPr>
              <w:widowControl/>
              <w:adjustRightInd w:val="0"/>
              <w:jc w:val="center"/>
              <w:rPr>
                <w:rFonts w:asciiTheme="minorEastAsia" w:hAnsiTheme="minorEastAsia" w:eastAsiaTheme="minorEastAsia" w:cstheme="minorEastAsia"/>
                <w:kern w:val="0"/>
                <w:sz w:val="21"/>
                <w:szCs w:val="21"/>
              </w:rPr>
            </w:pPr>
          </w:p>
        </w:tc>
      </w:tr>
      <w:tr w14:paraId="524E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vAlign w:val="center"/>
          </w:tcPr>
          <w:p w14:paraId="602F6A67">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w:t>
            </w:r>
          </w:p>
        </w:tc>
        <w:tc>
          <w:tcPr>
            <w:tcW w:w="1312" w:type="dxa"/>
          </w:tcPr>
          <w:p w14:paraId="24D85956">
            <w:pPr>
              <w:widowControl/>
              <w:spacing w:line="540" w:lineRule="exact"/>
              <w:jc w:val="center"/>
              <w:rPr>
                <w:rFonts w:asciiTheme="minorEastAsia" w:hAnsiTheme="minorEastAsia" w:eastAsiaTheme="minorEastAsia" w:cstheme="minorEastAsia"/>
                <w:kern w:val="0"/>
                <w:sz w:val="21"/>
                <w:szCs w:val="21"/>
              </w:rPr>
            </w:pPr>
          </w:p>
        </w:tc>
        <w:tc>
          <w:tcPr>
            <w:tcW w:w="4488" w:type="dxa"/>
            <w:vAlign w:val="center"/>
          </w:tcPr>
          <w:p w14:paraId="29077467">
            <w:pPr>
              <w:widowControl/>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w:t>
            </w:r>
          </w:p>
        </w:tc>
        <w:tc>
          <w:tcPr>
            <w:tcW w:w="1962" w:type="dxa"/>
            <w:vAlign w:val="center"/>
          </w:tcPr>
          <w:p w14:paraId="731FF6F4">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晋源社区卫生服务中心</w:t>
            </w:r>
          </w:p>
        </w:tc>
        <w:tc>
          <w:tcPr>
            <w:tcW w:w="1538" w:type="dxa"/>
          </w:tcPr>
          <w:p w14:paraId="20EDC719">
            <w:pPr>
              <w:widowControl/>
              <w:spacing w:line="540" w:lineRule="exact"/>
              <w:jc w:val="center"/>
              <w:rPr>
                <w:rFonts w:asciiTheme="minorEastAsia" w:hAnsiTheme="minorEastAsia" w:eastAsiaTheme="minorEastAsia" w:cstheme="minorEastAsia"/>
                <w:kern w:val="0"/>
                <w:sz w:val="21"/>
                <w:szCs w:val="21"/>
              </w:rPr>
            </w:pPr>
          </w:p>
        </w:tc>
        <w:tc>
          <w:tcPr>
            <w:tcW w:w="4106" w:type="dxa"/>
          </w:tcPr>
          <w:p w14:paraId="0074E473">
            <w:pPr>
              <w:widowControl/>
              <w:adjustRightInd w:val="0"/>
              <w:jc w:val="center"/>
              <w:rPr>
                <w:rFonts w:asciiTheme="minorEastAsia" w:hAnsiTheme="minorEastAsia" w:eastAsiaTheme="minorEastAsia" w:cstheme="minorEastAsia"/>
                <w:kern w:val="0"/>
                <w:sz w:val="21"/>
                <w:szCs w:val="21"/>
              </w:rPr>
            </w:pPr>
          </w:p>
        </w:tc>
      </w:tr>
      <w:tr w14:paraId="73FD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vAlign w:val="center"/>
          </w:tcPr>
          <w:p w14:paraId="3386EB9E">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w:t>
            </w:r>
          </w:p>
        </w:tc>
        <w:tc>
          <w:tcPr>
            <w:tcW w:w="1312" w:type="dxa"/>
          </w:tcPr>
          <w:p w14:paraId="670C22C1">
            <w:pPr>
              <w:widowControl/>
              <w:spacing w:line="540" w:lineRule="exact"/>
              <w:jc w:val="center"/>
              <w:rPr>
                <w:rFonts w:asciiTheme="minorEastAsia" w:hAnsiTheme="minorEastAsia" w:eastAsiaTheme="minorEastAsia" w:cstheme="minorEastAsia"/>
                <w:kern w:val="0"/>
                <w:sz w:val="21"/>
                <w:szCs w:val="21"/>
              </w:rPr>
            </w:pPr>
          </w:p>
        </w:tc>
        <w:tc>
          <w:tcPr>
            <w:tcW w:w="4488" w:type="dxa"/>
            <w:vAlign w:val="center"/>
          </w:tcPr>
          <w:p w14:paraId="7A16A07E">
            <w:pPr>
              <w:widowControl/>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w:t>
            </w:r>
          </w:p>
        </w:tc>
        <w:tc>
          <w:tcPr>
            <w:tcW w:w="1962" w:type="dxa"/>
            <w:vAlign w:val="center"/>
          </w:tcPr>
          <w:p w14:paraId="32108E2C">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小店区卫体局</w:t>
            </w:r>
          </w:p>
        </w:tc>
        <w:tc>
          <w:tcPr>
            <w:tcW w:w="1538" w:type="dxa"/>
          </w:tcPr>
          <w:p w14:paraId="7934BA1E">
            <w:pPr>
              <w:widowControl/>
              <w:spacing w:line="540" w:lineRule="exact"/>
              <w:jc w:val="center"/>
              <w:rPr>
                <w:rFonts w:asciiTheme="minorEastAsia" w:hAnsiTheme="minorEastAsia" w:eastAsiaTheme="minorEastAsia" w:cstheme="minorEastAsia"/>
                <w:kern w:val="0"/>
                <w:sz w:val="21"/>
                <w:szCs w:val="21"/>
              </w:rPr>
            </w:pPr>
          </w:p>
        </w:tc>
        <w:tc>
          <w:tcPr>
            <w:tcW w:w="4106" w:type="dxa"/>
          </w:tcPr>
          <w:p w14:paraId="4BB20490">
            <w:pPr>
              <w:widowControl/>
              <w:adjustRightInd w:val="0"/>
              <w:jc w:val="center"/>
              <w:rPr>
                <w:rFonts w:asciiTheme="minorEastAsia" w:hAnsiTheme="minorEastAsia" w:eastAsiaTheme="minorEastAsia" w:cstheme="minorEastAsia"/>
                <w:kern w:val="0"/>
                <w:sz w:val="21"/>
                <w:szCs w:val="21"/>
              </w:rPr>
            </w:pPr>
          </w:p>
        </w:tc>
      </w:tr>
      <w:tr w14:paraId="1F2F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0" w:type="dxa"/>
          </w:tcPr>
          <w:p w14:paraId="13E47BFB">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w:t>
            </w:r>
          </w:p>
        </w:tc>
        <w:tc>
          <w:tcPr>
            <w:tcW w:w="1312" w:type="dxa"/>
          </w:tcPr>
          <w:p w14:paraId="21775859">
            <w:pPr>
              <w:widowControl/>
              <w:spacing w:line="540" w:lineRule="exact"/>
              <w:jc w:val="center"/>
              <w:rPr>
                <w:rFonts w:asciiTheme="minorEastAsia" w:hAnsiTheme="minorEastAsia" w:eastAsiaTheme="minorEastAsia" w:cstheme="minorEastAsia"/>
                <w:kern w:val="0"/>
                <w:sz w:val="21"/>
                <w:szCs w:val="21"/>
              </w:rPr>
            </w:pPr>
          </w:p>
        </w:tc>
        <w:tc>
          <w:tcPr>
            <w:tcW w:w="4488" w:type="dxa"/>
            <w:vAlign w:val="center"/>
          </w:tcPr>
          <w:p w14:paraId="1C73312A">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w:t>
            </w:r>
          </w:p>
        </w:tc>
        <w:tc>
          <w:tcPr>
            <w:tcW w:w="1962" w:type="dxa"/>
            <w:vAlign w:val="center"/>
          </w:tcPr>
          <w:p w14:paraId="370E4CC4">
            <w:pPr>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阳曲县卫体局</w:t>
            </w:r>
          </w:p>
        </w:tc>
        <w:tc>
          <w:tcPr>
            <w:tcW w:w="1538" w:type="dxa"/>
          </w:tcPr>
          <w:p w14:paraId="66911C52">
            <w:pPr>
              <w:widowControl/>
              <w:spacing w:line="540" w:lineRule="exact"/>
              <w:jc w:val="center"/>
              <w:rPr>
                <w:rFonts w:asciiTheme="minorEastAsia" w:hAnsiTheme="minorEastAsia" w:eastAsiaTheme="minorEastAsia" w:cstheme="minorEastAsia"/>
                <w:kern w:val="0"/>
                <w:sz w:val="21"/>
                <w:szCs w:val="21"/>
              </w:rPr>
            </w:pPr>
          </w:p>
        </w:tc>
        <w:tc>
          <w:tcPr>
            <w:tcW w:w="4106" w:type="dxa"/>
          </w:tcPr>
          <w:p w14:paraId="7E3F8534">
            <w:pPr>
              <w:widowControl/>
              <w:adjustRightInd w:val="0"/>
              <w:jc w:val="center"/>
              <w:rPr>
                <w:rFonts w:asciiTheme="minorEastAsia" w:hAnsiTheme="minorEastAsia" w:eastAsiaTheme="minorEastAsia" w:cstheme="minorEastAsia"/>
                <w:kern w:val="0"/>
                <w:sz w:val="21"/>
                <w:szCs w:val="21"/>
              </w:rPr>
            </w:pPr>
          </w:p>
        </w:tc>
      </w:tr>
      <w:tr w14:paraId="450F7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14076" w:type="dxa"/>
            <w:gridSpan w:val="6"/>
          </w:tcPr>
          <w:p w14:paraId="69478CCF">
            <w:pPr>
              <w:ind w:firstLine="360" w:firstLineChars="200"/>
              <w:rPr>
                <w:sz w:val="18"/>
                <w:szCs w:val="18"/>
              </w:rPr>
            </w:pPr>
            <w:r>
              <w:rPr>
                <w:rFonts w:hint="eastAsia"/>
                <w:sz w:val="18"/>
                <w:szCs w:val="18"/>
              </w:rPr>
              <w:t>说明：1、针对明确回复无意见的单位，请在“意见内容”中注明无意见，在“提出单位”中列出无意见单位的名称。</w:t>
            </w:r>
          </w:p>
          <w:p w14:paraId="637F4193">
            <w:pPr>
              <w:numPr>
                <w:ilvl w:val="0"/>
                <w:numId w:val="3"/>
              </w:numPr>
              <w:ind w:left="816" w:leftChars="255" w:firstLine="360" w:firstLineChars="200"/>
              <w:rPr>
                <w:sz w:val="18"/>
                <w:szCs w:val="18"/>
              </w:rPr>
            </w:pPr>
            <w:r>
              <w:rPr>
                <w:rFonts w:hint="eastAsia"/>
                <w:sz w:val="18"/>
                <w:szCs w:val="18"/>
              </w:rPr>
              <w:t>发送征求意见稿单位数</w:t>
            </w:r>
            <w:r>
              <w:rPr>
                <w:rFonts w:hint="eastAsia"/>
                <w:sz w:val="18"/>
                <w:szCs w:val="18"/>
                <w:u w:val="single"/>
              </w:rPr>
              <w:t xml:space="preserve">  10  </w:t>
            </w:r>
            <w:r>
              <w:rPr>
                <w:rFonts w:hint="eastAsia"/>
                <w:sz w:val="18"/>
                <w:szCs w:val="18"/>
              </w:rPr>
              <w:t>个；回到征求意见稿回函的单位数</w:t>
            </w:r>
            <w:r>
              <w:rPr>
                <w:rFonts w:hint="eastAsia"/>
                <w:sz w:val="18"/>
                <w:szCs w:val="18"/>
                <w:u w:val="single"/>
              </w:rPr>
              <w:t xml:space="preserve"> 10 </w:t>
            </w:r>
            <w:r>
              <w:rPr>
                <w:rFonts w:hint="eastAsia"/>
                <w:sz w:val="18"/>
                <w:szCs w:val="18"/>
              </w:rPr>
              <w:t>个；收到征求意见稿并提出意见的单位数</w:t>
            </w:r>
            <w:r>
              <w:rPr>
                <w:rFonts w:hint="eastAsia"/>
                <w:sz w:val="18"/>
                <w:szCs w:val="18"/>
                <w:u w:val="single"/>
              </w:rPr>
              <w:t xml:space="preserve"> 5 </w:t>
            </w:r>
            <w:r>
              <w:rPr>
                <w:rFonts w:hint="eastAsia"/>
                <w:sz w:val="18"/>
                <w:szCs w:val="18"/>
              </w:rPr>
              <w:t>个；没有回函的单位数</w:t>
            </w:r>
            <w:r>
              <w:rPr>
                <w:rFonts w:hint="eastAsia"/>
                <w:sz w:val="18"/>
                <w:szCs w:val="18"/>
                <w:u w:val="single"/>
              </w:rPr>
              <w:t xml:space="preserve"> 0 </w:t>
            </w:r>
            <w:r>
              <w:rPr>
                <w:rFonts w:hint="eastAsia"/>
                <w:sz w:val="18"/>
                <w:szCs w:val="18"/>
              </w:rPr>
              <w:t>个；共收</w:t>
            </w:r>
          </w:p>
          <w:p w14:paraId="3D5C5AB4">
            <w:pPr>
              <w:ind w:left="1456" w:leftChars="455"/>
              <w:rPr>
                <w:szCs w:val="24"/>
              </w:rPr>
            </w:pPr>
            <w:r>
              <w:rPr>
                <w:rFonts w:hint="eastAsia"/>
                <w:sz w:val="18"/>
                <w:szCs w:val="18"/>
              </w:rPr>
              <w:t>到</w:t>
            </w:r>
            <w:r>
              <w:rPr>
                <w:sz w:val="18"/>
                <w:szCs w:val="18"/>
              </w:rPr>
              <w:t xml:space="preserve"> </w:t>
            </w:r>
            <w:r>
              <w:rPr>
                <w:rFonts w:hint="eastAsia"/>
                <w:sz w:val="18"/>
                <w:szCs w:val="18"/>
                <w:u w:val="single"/>
              </w:rPr>
              <w:t xml:space="preserve"> 8  </w:t>
            </w:r>
            <w:r>
              <w:rPr>
                <w:rFonts w:hint="eastAsia"/>
                <w:sz w:val="18"/>
                <w:szCs w:val="18"/>
              </w:rPr>
              <w:t>条意见，采纳</w:t>
            </w:r>
            <w:r>
              <w:rPr>
                <w:rFonts w:hint="eastAsia"/>
                <w:sz w:val="18"/>
                <w:szCs w:val="18"/>
                <w:u w:val="single"/>
              </w:rPr>
              <w:t xml:space="preserve">  2  </w:t>
            </w:r>
            <w:r>
              <w:rPr>
                <w:rFonts w:hint="eastAsia"/>
                <w:sz w:val="18"/>
                <w:szCs w:val="18"/>
              </w:rPr>
              <w:t>条意见，部分采纳</w:t>
            </w:r>
            <w:r>
              <w:rPr>
                <w:rFonts w:hint="eastAsia"/>
                <w:sz w:val="18"/>
                <w:szCs w:val="18"/>
                <w:u w:val="single"/>
              </w:rPr>
              <w:t xml:space="preserve">  0  </w:t>
            </w:r>
            <w:r>
              <w:rPr>
                <w:rFonts w:hint="eastAsia"/>
                <w:sz w:val="18"/>
                <w:szCs w:val="18"/>
              </w:rPr>
              <w:t>条意见，未采纳</w:t>
            </w:r>
            <w:r>
              <w:rPr>
                <w:rFonts w:hint="eastAsia"/>
                <w:sz w:val="18"/>
                <w:szCs w:val="18"/>
                <w:u w:val="single"/>
              </w:rPr>
              <w:t xml:space="preserve">  6 </w:t>
            </w:r>
            <w:r>
              <w:rPr>
                <w:rFonts w:hint="eastAsia"/>
                <w:sz w:val="18"/>
                <w:szCs w:val="18"/>
              </w:rPr>
              <w:t>条意见。</w:t>
            </w:r>
          </w:p>
        </w:tc>
      </w:tr>
    </w:tbl>
    <w:p w14:paraId="302544F6">
      <w:pPr>
        <w:pStyle w:val="2"/>
        <w:rPr>
          <w:rFonts w:asciiTheme="minorEastAsia" w:hAnsiTheme="minorEastAsia" w:eastAsiaTheme="minorEastAsia" w:cstheme="minorEastAsia"/>
          <w:sz w:val="28"/>
          <w:szCs w:val="28"/>
        </w:rPr>
      </w:pPr>
    </w:p>
    <w:sectPr>
      <w:pgSz w:w="16838" w:h="11906" w:orient="landscape"/>
      <w:pgMar w:top="1803" w:right="1440" w:bottom="1803" w:left="1440"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B7D7D">
    <w:pPr>
      <w:pStyle w:val="13"/>
      <w:jc w:val="center"/>
      <w:rPr>
        <w:rFonts w:hint="default"/>
      </w:rPr>
    </w:pPr>
    <w:r>
      <w:rPr>
        <w:rFonts w:hint="default" w:ascii="Times New Roman" w:cs="Times New Roman"/>
        <w:sz w:val="21"/>
        <w:szCs w:val="21"/>
      </w:rPr>
      <w:fldChar w:fldCharType="begin"/>
    </w:r>
    <w:r>
      <w:rPr>
        <w:rFonts w:hint="default" w:ascii="Times New Roman" w:cs="Times New Roman"/>
        <w:sz w:val="21"/>
        <w:szCs w:val="21"/>
      </w:rPr>
      <w:instrText xml:space="preserve"> PAGE  \* MERGEFORMAT </w:instrText>
    </w:r>
    <w:r>
      <w:rPr>
        <w:rFonts w:hint="default" w:ascii="Times New Roman" w:cs="Times New Roman"/>
        <w:sz w:val="21"/>
        <w:szCs w:val="21"/>
      </w:rPr>
      <w:fldChar w:fldCharType="separate"/>
    </w:r>
    <w:r>
      <w:rPr>
        <w:rFonts w:hint="default" w:ascii="Times New Roman" w:cs="Times New Roman"/>
        <w:sz w:val="21"/>
        <w:szCs w:val="21"/>
      </w:rPr>
      <w:t>6</w:t>
    </w:r>
    <w:r>
      <w:rPr>
        <w:rFonts w:hint="default" w:ascii="Times New Roman" w:cs="Times New Roman"/>
        <w:sz w:val="21"/>
        <w:szCs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1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61154EF9"/>
    <w:multiLevelType w:val="singleLevel"/>
    <w:tmpl w:val="61154EF9"/>
    <w:lvl w:ilvl="0" w:tentative="0">
      <w:start w:val="2"/>
      <w:numFmt w:val="decimal"/>
      <w:suff w:val="nothing"/>
      <w:lvlText w:val="%1、"/>
      <w:lvlJc w:val="left"/>
    </w:lvl>
  </w:abstractNum>
  <w:abstractNum w:abstractNumId="2">
    <w:nsid w:val="686580A1"/>
    <w:multiLevelType w:val="singleLevel"/>
    <w:tmpl w:val="686580A1"/>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mZTQ4Y2ZiMzAxZWRjYWY5ZjI1ZWM3MzE2ZjNmOGMifQ=="/>
  </w:docVars>
  <w:rsids>
    <w:rsidRoot w:val="6A7D3749"/>
    <w:rsid w:val="00082B39"/>
    <w:rsid w:val="003512CB"/>
    <w:rsid w:val="00403EBA"/>
    <w:rsid w:val="004B66B9"/>
    <w:rsid w:val="00563BAA"/>
    <w:rsid w:val="005715DC"/>
    <w:rsid w:val="00643489"/>
    <w:rsid w:val="006E7126"/>
    <w:rsid w:val="007D2A93"/>
    <w:rsid w:val="00AE187A"/>
    <w:rsid w:val="00B72061"/>
    <w:rsid w:val="00CF6FF4"/>
    <w:rsid w:val="00E07A68"/>
    <w:rsid w:val="00E5210C"/>
    <w:rsid w:val="00F00BFB"/>
    <w:rsid w:val="01F731B3"/>
    <w:rsid w:val="040C6033"/>
    <w:rsid w:val="07F23713"/>
    <w:rsid w:val="0ABD2032"/>
    <w:rsid w:val="0B02247C"/>
    <w:rsid w:val="0F1850EF"/>
    <w:rsid w:val="18676097"/>
    <w:rsid w:val="20E831C9"/>
    <w:rsid w:val="233E26A9"/>
    <w:rsid w:val="25601EB7"/>
    <w:rsid w:val="37096032"/>
    <w:rsid w:val="37D852CC"/>
    <w:rsid w:val="381B195E"/>
    <w:rsid w:val="39580E15"/>
    <w:rsid w:val="3DEA573E"/>
    <w:rsid w:val="3F817A44"/>
    <w:rsid w:val="41587EC0"/>
    <w:rsid w:val="43416C01"/>
    <w:rsid w:val="4EA3285F"/>
    <w:rsid w:val="4FB9575A"/>
    <w:rsid w:val="540A1633"/>
    <w:rsid w:val="5B581B4E"/>
    <w:rsid w:val="5F0C4FAF"/>
    <w:rsid w:val="609E24BB"/>
    <w:rsid w:val="63557652"/>
    <w:rsid w:val="663E1354"/>
    <w:rsid w:val="67FE4643"/>
    <w:rsid w:val="6A1D704C"/>
    <w:rsid w:val="6A7D3749"/>
    <w:rsid w:val="6E503E0D"/>
    <w:rsid w:val="6F1B09FD"/>
    <w:rsid w:val="70955D1E"/>
    <w:rsid w:val="782A7E58"/>
    <w:rsid w:val="7978726E"/>
    <w:rsid w:val="79FA08E3"/>
    <w:rsid w:val="7A150090"/>
    <w:rsid w:val="7E946857"/>
    <w:rsid w:val="7F0D047A"/>
    <w:rsid w:val="7FEE5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next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正文首行缩进 21"/>
    <w:basedOn w:val="11"/>
    <w:next w:val="6"/>
    <w:qFormat/>
    <w:uiPriority w:val="0"/>
    <w:rPr>
      <w:rFonts w:eastAsia="仿宋_GB2312"/>
      <w:sz w:val="32"/>
      <w:szCs w:val="32"/>
    </w:rPr>
  </w:style>
  <w:style w:type="paragraph" w:customStyle="1" w:styleId="11">
    <w:name w:val="正文文本缩进1"/>
    <w:qFormat/>
    <w:uiPriority w:val="0"/>
    <w:pPr>
      <w:widowControl w:val="0"/>
      <w:ind w:left="200" w:leftChars="200"/>
      <w:jc w:val="both"/>
    </w:pPr>
    <w:rPr>
      <w:rFonts w:ascii="Calibri" w:hAnsi="Calibri" w:eastAsia="宋体" w:cs="Times New Roman"/>
      <w:kern w:val="2"/>
      <w:sz w:val="21"/>
      <w:szCs w:val="24"/>
      <w:lang w:val="en-US" w:eastAsia="zh-CN" w:bidi="ar-SA"/>
    </w:rPr>
  </w:style>
  <w:style w:type="paragraph" w:customStyle="1" w:styleId="12">
    <w:name w:val="标题 11"/>
    <w:basedOn w:val="1"/>
    <w:qFormat/>
    <w:uiPriority w:val="1"/>
    <w:pPr>
      <w:autoSpaceDE w:val="0"/>
      <w:autoSpaceDN w:val="0"/>
      <w:adjustRightInd w:val="0"/>
      <w:ind w:left="220"/>
      <w:jc w:val="left"/>
      <w:outlineLvl w:val="0"/>
    </w:pPr>
    <w:rPr>
      <w:rFonts w:ascii="Microsoft JhengHei" w:eastAsia="Microsoft JhengHei" w:cs="Microsoft JhengHei"/>
      <w:b/>
      <w:bCs/>
      <w:kern w:val="0"/>
      <w:szCs w:val="32"/>
    </w:rPr>
  </w:style>
  <w:style w:type="paragraph" w:customStyle="1" w:styleId="13">
    <w:name w:val="标准书脚_奇数页"/>
    <w:qFormat/>
    <w:uiPriority w:val="0"/>
    <w:pPr>
      <w:ind w:right="227"/>
      <w:jc w:val="right"/>
    </w:pPr>
    <w:rPr>
      <w:rFonts w:hint="eastAsia" w:ascii="宋体" w:hAnsi="Times New Roman" w:eastAsia="宋体" w:cs="宋体"/>
      <w:sz w:val="18"/>
      <w:lang w:val="en-US" w:eastAsia="zh-CN" w:bidi="ar-SA"/>
    </w:rPr>
  </w:style>
  <w:style w:type="paragraph" w:customStyle="1" w:styleId="14">
    <w:name w:val="标准文件_附录图标题"/>
    <w:next w:val="15"/>
    <w:qFormat/>
    <w:uiPriority w:val="0"/>
    <w:pPr>
      <w:numPr>
        <w:ilvl w:val="1"/>
        <w:numId w:val="1"/>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
    <w:name w:val="页眉 Char"/>
    <w:basedOn w:val="9"/>
    <w:link w:val="4"/>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10</Pages>
  <Words>4418</Words>
  <Characters>4574</Characters>
  <Lines>35</Lines>
  <Paragraphs>9</Paragraphs>
  <TotalTime>325</TotalTime>
  <ScaleCrop>false</ScaleCrop>
  <LinksUpToDate>false</LinksUpToDate>
  <CharactersWithSpaces>4682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2024-07-09T03:05:00Z</dcterms:created>
  <dc:creator>DJ</dc:creator>
  <cp:lastModifiedBy>杨晓慧</cp:lastModifiedBy>
  <cp:lastPrinted>2024-07-19T01:33:00Z</cp:lastPrinted>
  <dcterms:modified xsi:type="dcterms:W3CDTF">2024-08-23T08:10:16Z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5132A9C65B3D43AA892E64B4A75D6D8F_12</vt:lpwstr>
  </property>
</Properties>
</file>