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AF582">
      <w:pPr>
        <w:pStyle w:val="2"/>
        <w:bidi w:val="0"/>
        <w:rPr>
          <w:rFonts w:hint="eastAsia"/>
          <w:lang w:val="en-US" w:eastAsia="zh-CN"/>
        </w:rPr>
      </w:pPr>
    </w:p>
    <w:p w14:paraId="79A2E7BC">
      <w:pPr>
        <w:pStyle w:val="2"/>
        <w:bidi w:val="0"/>
        <w:rPr>
          <w:rFonts w:hint="eastAsia"/>
          <w:lang w:val="en-US" w:eastAsia="zh-CN"/>
        </w:rPr>
      </w:pPr>
    </w:p>
    <w:p w14:paraId="06DD737A">
      <w:pPr>
        <w:pStyle w:val="2"/>
        <w:bidi w:val="0"/>
        <w:jc w:val="center"/>
        <w:rPr>
          <w:rFonts w:hint="eastAsia"/>
          <w:sz w:val="52"/>
          <w:szCs w:val="32"/>
          <w:lang w:val="en-US" w:eastAsia="zh-CN"/>
        </w:rPr>
      </w:pPr>
      <w:r>
        <w:rPr>
          <w:rFonts w:hint="eastAsia"/>
          <w:sz w:val="52"/>
          <w:szCs w:val="32"/>
          <w:lang w:val="en-US" w:eastAsia="zh-CN"/>
        </w:rPr>
        <w:t>中小学生健康监测管理规范</w:t>
      </w:r>
    </w:p>
    <w:p w14:paraId="154FA2EB">
      <w:pPr>
        <w:pStyle w:val="2"/>
        <w:bidi w:val="0"/>
        <w:jc w:val="center"/>
        <w:rPr>
          <w:rFonts w:hint="eastAsia" w:ascii="黑体" w:hAnsi="Times New Roman" w:eastAsia="黑体" w:cs="Times New Roman"/>
          <w:kern w:val="21"/>
          <w:lang w:val="en-US" w:eastAsia="zh-CN" w:bidi="ar-SA"/>
        </w:rPr>
      </w:pPr>
      <w:r>
        <w:rPr>
          <w:rFonts w:hint="eastAsia"/>
          <w:sz w:val="52"/>
          <w:szCs w:val="32"/>
          <w:lang w:val="en-US" w:eastAsia="zh-CN"/>
        </w:rPr>
        <w:t>编制说明</w:t>
      </w:r>
    </w:p>
    <w:p w14:paraId="6C4B4B85">
      <w:pPr>
        <w:jc w:val="both"/>
        <w:rPr>
          <w:rFonts w:hint="eastAsia" w:ascii="黑体" w:hAnsi="Times New Roman" w:eastAsia="黑体" w:cs="Times New Roman"/>
          <w:kern w:val="21"/>
          <w:sz w:val="21"/>
          <w:lang w:val="en-US" w:eastAsia="zh-CN" w:bidi="ar-SA"/>
        </w:rPr>
      </w:pPr>
    </w:p>
    <w:p w14:paraId="476EBBCA">
      <w:pPr>
        <w:jc w:val="center"/>
        <w:rPr>
          <w:rFonts w:hint="eastAsia" w:ascii="黑体" w:hAnsi="Times New Roman" w:eastAsia="黑体" w:cs="Times New Roman"/>
          <w:kern w:val="21"/>
          <w:sz w:val="21"/>
          <w:lang w:val="en-US" w:eastAsia="zh-CN" w:bidi="ar-SA"/>
        </w:rPr>
      </w:pPr>
    </w:p>
    <w:p w14:paraId="40056F7B">
      <w:pPr>
        <w:jc w:val="center"/>
        <w:rPr>
          <w:rFonts w:hint="eastAsia" w:ascii="黑体" w:hAnsi="Times New Roman" w:eastAsia="黑体" w:cs="Times New Roman"/>
          <w:kern w:val="21"/>
          <w:sz w:val="21"/>
          <w:lang w:val="en-US" w:eastAsia="zh-CN" w:bidi="ar-SA"/>
        </w:rPr>
      </w:pPr>
    </w:p>
    <w:p w14:paraId="1B295DB0">
      <w:pPr>
        <w:jc w:val="center"/>
        <w:rPr>
          <w:rFonts w:hint="eastAsia" w:ascii="黑体" w:hAnsi="Times New Roman" w:eastAsia="黑体" w:cs="Times New Roman"/>
          <w:kern w:val="21"/>
          <w:sz w:val="21"/>
          <w:lang w:val="en-US" w:eastAsia="zh-CN" w:bidi="ar-SA"/>
        </w:rPr>
      </w:pPr>
    </w:p>
    <w:p w14:paraId="41075136">
      <w:pPr>
        <w:jc w:val="center"/>
        <w:rPr>
          <w:rFonts w:hint="eastAsia" w:ascii="黑体" w:hAnsi="Times New Roman" w:eastAsia="黑体" w:cs="Times New Roman"/>
          <w:kern w:val="21"/>
          <w:sz w:val="21"/>
          <w:lang w:val="en-US" w:eastAsia="zh-CN" w:bidi="ar-SA"/>
        </w:rPr>
      </w:pPr>
    </w:p>
    <w:p w14:paraId="15EED085">
      <w:pPr>
        <w:jc w:val="center"/>
        <w:rPr>
          <w:rFonts w:hint="eastAsia" w:ascii="黑体" w:hAnsi="Times New Roman" w:eastAsia="黑体" w:cs="Times New Roman"/>
          <w:kern w:val="21"/>
          <w:sz w:val="21"/>
          <w:lang w:val="en-US" w:eastAsia="zh-CN" w:bidi="ar-SA"/>
        </w:rPr>
      </w:pPr>
    </w:p>
    <w:p w14:paraId="63C42152">
      <w:pPr>
        <w:jc w:val="center"/>
        <w:rPr>
          <w:rFonts w:hint="eastAsia" w:ascii="黑体" w:hAnsi="Times New Roman" w:eastAsia="黑体" w:cs="Times New Roman"/>
          <w:kern w:val="21"/>
          <w:sz w:val="21"/>
          <w:lang w:val="en-US" w:eastAsia="zh-CN" w:bidi="ar-SA"/>
        </w:rPr>
      </w:pPr>
    </w:p>
    <w:p w14:paraId="70FA1779">
      <w:pPr>
        <w:jc w:val="center"/>
        <w:rPr>
          <w:rFonts w:hint="eastAsia" w:ascii="黑体" w:hAnsi="Times New Roman" w:eastAsia="黑体" w:cs="Times New Roman"/>
          <w:kern w:val="21"/>
          <w:sz w:val="21"/>
          <w:lang w:val="en-US" w:eastAsia="zh-CN" w:bidi="ar-SA"/>
        </w:rPr>
      </w:pPr>
    </w:p>
    <w:p w14:paraId="66DCA4F7">
      <w:pPr>
        <w:jc w:val="center"/>
        <w:rPr>
          <w:rFonts w:hint="eastAsia" w:ascii="黑体" w:hAnsi="Times New Roman" w:eastAsia="黑体" w:cs="Times New Roman"/>
          <w:kern w:val="21"/>
          <w:sz w:val="21"/>
          <w:lang w:val="en-US" w:eastAsia="zh-CN" w:bidi="ar-SA"/>
        </w:rPr>
      </w:pPr>
    </w:p>
    <w:p w14:paraId="56358834">
      <w:pPr>
        <w:jc w:val="center"/>
        <w:rPr>
          <w:rFonts w:hint="eastAsia" w:ascii="黑体" w:hAnsi="Times New Roman" w:eastAsia="黑体" w:cs="Times New Roman"/>
          <w:kern w:val="21"/>
          <w:sz w:val="21"/>
          <w:lang w:val="en-US" w:eastAsia="zh-CN" w:bidi="ar-SA"/>
        </w:rPr>
      </w:pPr>
    </w:p>
    <w:p w14:paraId="4975066F">
      <w:pPr>
        <w:jc w:val="center"/>
        <w:rPr>
          <w:rFonts w:hint="eastAsia" w:ascii="黑体" w:hAnsi="Times New Roman" w:eastAsia="黑体" w:cs="Times New Roman"/>
          <w:kern w:val="21"/>
          <w:sz w:val="21"/>
          <w:lang w:val="en-US" w:eastAsia="zh-CN" w:bidi="ar-SA"/>
        </w:rPr>
      </w:pPr>
    </w:p>
    <w:p w14:paraId="535B41AB">
      <w:pPr>
        <w:jc w:val="center"/>
        <w:rPr>
          <w:rFonts w:hint="eastAsia" w:ascii="黑体" w:hAnsi="Times New Roman" w:eastAsia="黑体" w:cs="Times New Roman"/>
          <w:kern w:val="21"/>
          <w:sz w:val="32"/>
          <w:szCs w:val="40"/>
          <w:lang w:val="en-US" w:eastAsia="zh-CN" w:bidi="ar-SA"/>
        </w:rPr>
      </w:pPr>
      <w:r>
        <w:rPr>
          <w:rFonts w:hint="eastAsia" w:ascii="黑体" w:hAnsi="Times New Roman" w:eastAsia="黑体" w:cs="Times New Roman"/>
          <w:kern w:val="21"/>
          <w:sz w:val="32"/>
          <w:szCs w:val="40"/>
          <w:lang w:val="en-US" w:eastAsia="zh-CN" w:bidi="ar-SA"/>
        </w:rPr>
        <w:t>编制单位：</w:t>
      </w:r>
      <w:r>
        <w:rPr>
          <w:rFonts w:hint="eastAsia" w:ascii="黑体" w:hAnsi="Times New Roman" w:eastAsia="黑体" w:cs="Times New Roman"/>
          <w:spacing w:val="32"/>
          <w:kern w:val="0"/>
          <w:sz w:val="32"/>
          <w:szCs w:val="40"/>
          <w:fitText w:val="4160" w:id="1679901664"/>
          <w:lang w:val="en-US" w:eastAsia="zh-CN" w:bidi="ar-SA"/>
        </w:rPr>
        <w:t>太原市疾病预防控制中</w:t>
      </w:r>
      <w:r>
        <w:rPr>
          <w:rFonts w:hint="eastAsia" w:ascii="黑体" w:hAnsi="Times New Roman" w:eastAsia="黑体" w:cs="Times New Roman"/>
          <w:spacing w:val="0"/>
          <w:kern w:val="0"/>
          <w:sz w:val="32"/>
          <w:szCs w:val="40"/>
          <w:fitText w:val="4160" w:id="1679901664"/>
          <w:lang w:val="en-US" w:eastAsia="zh-CN" w:bidi="ar-SA"/>
        </w:rPr>
        <w:t>心</w:t>
      </w:r>
    </w:p>
    <w:p w14:paraId="39E565BA">
      <w:pPr>
        <w:ind w:firstLine="1600" w:firstLineChars="500"/>
        <w:jc w:val="center"/>
        <w:rPr>
          <w:rFonts w:hint="default" w:ascii="黑体" w:hAnsi="Times New Roman" w:eastAsia="黑体" w:cs="Times New Roman"/>
          <w:kern w:val="21"/>
          <w:sz w:val="32"/>
          <w:szCs w:val="40"/>
          <w:lang w:val="en-US" w:eastAsia="zh-CN" w:bidi="ar-SA"/>
        </w:rPr>
      </w:pPr>
      <w:r>
        <w:rPr>
          <w:rFonts w:hint="eastAsia" w:ascii="黑体" w:hAnsi="Times New Roman" w:eastAsia="黑体" w:cs="Times New Roman"/>
          <w:kern w:val="21"/>
          <w:sz w:val="32"/>
          <w:szCs w:val="40"/>
          <w:lang w:val="en-US" w:eastAsia="zh-CN" w:bidi="ar-SA"/>
        </w:rPr>
        <w:t>太原市中小学学生卫生保健所</w:t>
      </w:r>
    </w:p>
    <w:p w14:paraId="30CF3652">
      <w:pPr>
        <w:rPr>
          <w:rFonts w:ascii="黑体" w:hAnsi="Times New Roman" w:eastAsia="黑体" w:cs="Times New Roman"/>
          <w:kern w:val="21"/>
          <w:sz w:val="21"/>
          <w:lang w:val="en-US" w:eastAsia="zh-CN" w:bidi="ar-SA"/>
        </w:rPr>
      </w:pPr>
    </w:p>
    <w:p w14:paraId="3B58CFB1">
      <w:pPr>
        <w:rPr>
          <w:rFonts w:ascii="黑体" w:hAnsi="Times New Roman" w:eastAsia="黑体" w:cs="Times New Roman"/>
          <w:kern w:val="21"/>
          <w:sz w:val="21"/>
          <w:lang w:val="en-US" w:eastAsia="zh-CN" w:bidi="ar-SA"/>
        </w:rPr>
      </w:pPr>
    </w:p>
    <w:p w14:paraId="1F260D6E">
      <w:pPr>
        <w:rPr>
          <w:rFonts w:ascii="黑体" w:hAnsi="Times New Roman" w:eastAsia="黑体" w:cs="Times New Roman"/>
          <w:kern w:val="21"/>
          <w:sz w:val="21"/>
          <w:lang w:val="en-US" w:eastAsia="zh-CN" w:bidi="ar-SA"/>
        </w:rPr>
      </w:pPr>
    </w:p>
    <w:p w14:paraId="1DC81669">
      <w:pPr>
        <w:rPr>
          <w:rFonts w:ascii="黑体" w:hAnsi="Times New Roman" w:eastAsia="黑体" w:cs="Times New Roman"/>
          <w:kern w:val="21"/>
          <w:sz w:val="21"/>
          <w:lang w:val="en-US" w:eastAsia="zh-CN" w:bidi="ar-SA"/>
        </w:rPr>
      </w:pPr>
    </w:p>
    <w:p w14:paraId="6F7BC32C">
      <w:pPr>
        <w:rPr>
          <w:rFonts w:ascii="黑体" w:hAnsi="Times New Roman" w:eastAsia="黑体" w:cs="Times New Roman"/>
          <w:kern w:val="21"/>
          <w:sz w:val="21"/>
          <w:lang w:val="en-US" w:eastAsia="zh-CN" w:bidi="ar-SA"/>
        </w:rPr>
      </w:pPr>
    </w:p>
    <w:p w14:paraId="56287080">
      <w:pPr>
        <w:rPr>
          <w:rFonts w:ascii="黑体" w:hAnsi="Times New Roman" w:eastAsia="黑体" w:cs="Times New Roman"/>
          <w:kern w:val="21"/>
          <w:sz w:val="21"/>
          <w:lang w:val="en-US" w:eastAsia="zh-CN" w:bidi="ar-SA"/>
        </w:rPr>
      </w:pPr>
    </w:p>
    <w:p w14:paraId="06B00E15">
      <w:pPr>
        <w:jc w:val="center"/>
        <w:rPr>
          <w:rFonts w:ascii="黑体" w:hAnsi="Times New Roman" w:eastAsia="黑体" w:cs="Times New Roman"/>
          <w:kern w:val="21"/>
          <w:sz w:val="21"/>
          <w:lang w:val="en-US" w:eastAsia="zh-CN" w:bidi="ar-SA"/>
        </w:rPr>
      </w:pPr>
      <w:r>
        <w:rPr>
          <w:rFonts w:hint="eastAsia" w:ascii="黑体" w:hAnsi="Times New Roman" w:eastAsia="黑体" w:cs="Times New Roman"/>
          <w:kern w:val="21"/>
          <w:sz w:val="32"/>
          <w:szCs w:val="40"/>
          <w:lang w:val="en-US" w:eastAsia="zh-CN" w:bidi="ar-SA"/>
        </w:rPr>
        <w:t>编写时间：2024年7月18日</w:t>
      </w:r>
    </w:p>
    <w:p w14:paraId="68E1B093">
      <w:pPr>
        <w:rPr>
          <w:rFonts w:ascii="黑体" w:hAnsi="Times New Roman" w:eastAsia="黑体" w:cs="Times New Roman"/>
          <w:kern w:val="21"/>
          <w:sz w:val="21"/>
          <w:lang w:val="en-US" w:eastAsia="zh-CN" w:bidi="ar-SA"/>
        </w:rPr>
      </w:pPr>
    </w:p>
    <w:p w14:paraId="4BE50E7D">
      <w:pPr>
        <w:rPr>
          <w:rFonts w:ascii="黑体" w:hAnsi="Times New Roman" w:eastAsia="黑体" w:cs="Times New Roman"/>
          <w:kern w:val="21"/>
          <w:sz w:val="21"/>
          <w:lang w:val="en-US" w:eastAsia="zh-CN" w:bidi="ar-SA"/>
        </w:rPr>
      </w:pPr>
    </w:p>
    <w:p w14:paraId="781F4047">
      <w:pPr>
        <w:rPr>
          <w:rFonts w:ascii="黑体" w:hAnsi="Times New Roman" w:eastAsia="黑体" w:cs="Times New Roman"/>
          <w:kern w:val="21"/>
          <w:sz w:val="21"/>
          <w:lang w:val="en-US" w:eastAsia="zh-CN" w:bidi="ar-SA"/>
        </w:rPr>
      </w:pPr>
    </w:p>
    <w:p w14:paraId="0F29D5D0">
      <w:pPr>
        <w:rPr>
          <w:rFonts w:ascii="黑体" w:hAnsi="Times New Roman" w:eastAsia="黑体" w:cs="Times New Roman"/>
          <w:kern w:val="21"/>
          <w:sz w:val="21"/>
          <w:lang w:val="en-US" w:eastAsia="zh-CN" w:bidi="ar-SA"/>
        </w:rPr>
      </w:pPr>
    </w:p>
    <w:p w14:paraId="32B54393">
      <w:pPr>
        <w:rPr>
          <w:rFonts w:ascii="黑体" w:hAnsi="Times New Roman" w:eastAsia="黑体" w:cs="Times New Roman"/>
          <w:kern w:val="21"/>
          <w:sz w:val="21"/>
          <w:lang w:val="en-US" w:eastAsia="zh-CN" w:bidi="ar-SA"/>
        </w:rPr>
      </w:pPr>
      <w:r>
        <w:rPr>
          <w:rFonts w:ascii="黑体" w:hAnsi="Times New Roman" w:eastAsia="黑体" w:cs="Times New Roman"/>
          <w:kern w:val="21"/>
          <w:sz w:val="21"/>
          <w:lang w:val="en-US" w:eastAsia="zh-CN" w:bidi="ar-SA"/>
        </w:rPr>
        <w:br w:type="page"/>
      </w:r>
    </w:p>
    <w:p w14:paraId="62C8D9B2">
      <w:pPr>
        <w:widowControl w:val="0"/>
        <w:numPr>
          <w:ilvl w:val="0"/>
          <w:numId w:val="1"/>
        </w:numPr>
        <w:spacing w:before="156" w:beforeLines="50" w:after="156" w:afterLines="50"/>
        <w:ind w:left="425" w:leftChars="0" w:hanging="42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工作简况</w:t>
      </w:r>
    </w:p>
    <w:p w14:paraId="719E9171">
      <w:pPr>
        <w:autoSpaceDE w:val="0"/>
        <w:autoSpaceDN w:val="0"/>
        <w:ind w:firstLine="640" w:firstLineChars="200"/>
        <w:jc w:val="both"/>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根据《太原市市场监督管理局关于征集2024年度太原市地方标准制修订项目的通知》（并市监函﹝2024﹞92号），2024年3月，由太原市卫生健康委员会提出，太原市卫生健康标准化技术委员会归口，太原市疾病预防控制中心、太原市中小学学生卫生保健所共同申请制定《中小学生健康监测管理规范》地方标准。2024年5月16日，太原市市场监督管理局印发了《太原市市场监督管理局关于下达2024年度第二批太原市地方标准制定项目计划的通知》（并市监﹝2024﹞50号），批准立项。</w:t>
      </w:r>
    </w:p>
    <w:p w14:paraId="75DEE0C0">
      <w:pPr>
        <w:autoSpaceDE w:val="0"/>
        <w:autoSpaceDN w:val="0"/>
        <w:ind w:firstLine="640" w:firstLineChars="200"/>
        <w:jc w:val="both"/>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中小学生健康监测管理规范起草单位为太原市疾病预防控制中心，协作单位太原市中小学学生卫生保健所，主要起草人信息表述见表A.1。</w:t>
      </w:r>
    </w:p>
    <w:p w14:paraId="248A914A">
      <w:pPr>
        <w:numPr>
          <w:ilvl w:val="1"/>
          <w:numId w:val="2"/>
        </w:numPr>
        <w:adjustRightInd w:val="0"/>
        <w:snapToGrid w:val="0"/>
        <w:spacing w:before="156" w:beforeLines="50" w:after="156" w:afterLines="50"/>
        <w:ind w:firstLine="420"/>
        <w:jc w:val="center"/>
        <w:textAlignment w:val="baseline"/>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主要起草人信息</w:t>
      </w:r>
    </w:p>
    <w:tbl>
      <w:tblPr>
        <w:tblStyle w:val="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79"/>
        <w:gridCol w:w="1429"/>
        <w:gridCol w:w="1575"/>
        <w:gridCol w:w="2617"/>
        <w:gridCol w:w="1874"/>
      </w:tblGrid>
      <w:tr w14:paraId="4A28E5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79" w:type="dxa"/>
            <w:tcBorders>
              <w:top w:val="single" w:color="auto" w:sz="8" w:space="0"/>
              <w:bottom w:val="single" w:color="auto" w:sz="8" w:space="0"/>
            </w:tcBorders>
            <w:shd w:val="clear" w:color="auto" w:fill="auto"/>
          </w:tcPr>
          <w:p w14:paraId="78EF1E5C">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姓名</w:t>
            </w:r>
          </w:p>
        </w:tc>
        <w:tc>
          <w:tcPr>
            <w:tcW w:w="1429" w:type="dxa"/>
            <w:tcBorders>
              <w:top w:val="single" w:color="auto" w:sz="8" w:space="0"/>
              <w:bottom w:val="single" w:color="auto" w:sz="8" w:space="0"/>
            </w:tcBorders>
            <w:shd w:val="clear" w:color="auto" w:fill="auto"/>
          </w:tcPr>
          <w:p w14:paraId="4AA07AC9">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性别</w:t>
            </w:r>
          </w:p>
        </w:tc>
        <w:tc>
          <w:tcPr>
            <w:tcW w:w="1575" w:type="dxa"/>
            <w:tcBorders>
              <w:top w:val="single" w:color="auto" w:sz="8" w:space="0"/>
              <w:bottom w:val="single" w:color="auto" w:sz="8" w:space="0"/>
            </w:tcBorders>
            <w:shd w:val="clear" w:color="auto" w:fill="auto"/>
          </w:tcPr>
          <w:p w14:paraId="57F26F19">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职务/职称</w:t>
            </w:r>
          </w:p>
        </w:tc>
        <w:tc>
          <w:tcPr>
            <w:tcW w:w="2617" w:type="dxa"/>
            <w:tcBorders>
              <w:top w:val="single" w:color="auto" w:sz="8" w:space="0"/>
              <w:bottom w:val="single" w:color="auto" w:sz="8" w:space="0"/>
            </w:tcBorders>
            <w:shd w:val="clear" w:color="auto" w:fill="auto"/>
          </w:tcPr>
          <w:p w14:paraId="2A9C5763">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工作单位</w:t>
            </w:r>
          </w:p>
        </w:tc>
        <w:tc>
          <w:tcPr>
            <w:tcW w:w="1874" w:type="dxa"/>
            <w:tcBorders>
              <w:top w:val="single" w:color="auto" w:sz="8" w:space="0"/>
              <w:bottom w:val="single" w:color="auto" w:sz="8" w:space="0"/>
            </w:tcBorders>
            <w:shd w:val="clear" w:color="auto" w:fill="auto"/>
          </w:tcPr>
          <w:p w14:paraId="4AE26A73">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任务分工</w:t>
            </w:r>
          </w:p>
        </w:tc>
      </w:tr>
      <w:tr w14:paraId="657F37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9" w:type="dxa"/>
            <w:tcBorders>
              <w:top w:val="single" w:color="auto" w:sz="8" w:space="0"/>
            </w:tcBorders>
            <w:shd w:val="clear" w:color="auto" w:fill="auto"/>
            <w:vAlign w:val="center"/>
          </w:tcPr>
          <w:p w14:paraId="7EC92AE6">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苏兵</w:t>
            </w:r>
          </w:p>
        </w:tc>
        <w:tc>
          <w:tcPr>
            <w:tcW w:w="1429" w:type="dxa"/>
            <w:tcBorders>
              <w:top w:val="single" w:color="auto" w:sz="8" w:space="0"/>
            </w:tcBorders>
            <w:shd w:val="clear" w:color="auto" w:fill="auto"/>
            <w:vAlign w:val="center"/>
          </w:tcPr>
          <w:p w14:paraId="41783F65">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男</w:t>
            </w:r>
          </w:p>
        </w:tc>
        <w:tc>
          <w:tcPr>
            <w:tcW w:w="1575" w:type="dxa"/>
            <w:tcBorders>
              <w:top w:val="single" w:color="auto" w:sz="8" w:space="0"/>
            </w:tcBorders>
            <w:shd w:val="clear" w:color="auto" w:fill="auto"/>
            <w:vAlign w:val="center"/>
          </w:tcPr>
          <w:p w14:paraId="617CBE0C">
            <w:pPr>
              <w:autoSpaceDE w:val="0"/>
              <w:autoSpaceDN w:val="0"/>
              <w:ind w:firstLine="0" w:firstLineChars="0"/>
              <w:jc w:val="center"/>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副主任技师</w:t>
            </w:r>
          </w:p>
        </w:tc>
        <w:tc>
          <w:tcPr>
            <w:tcW w:w="2617" w:type="dxa"/>
            <w:tcBorders>
              <w:top w:val="single" w:color="auto" w:sz="8" w:space="0"/>
            </w:tcBorders>
            <w:shd w:val="clear" w:color="auto" w:fill="auto"/>
            <w:vAlign w:val="center"/>
          </w:tcPr>
          <w:p w14:paraId="7D2E8E0B">
            <w:pPr>
              <w:autoSpaceDE w:val="0"/>
              <w:autoSpaceDN w:val="0"/>
              <w:ind w:firstLine="0" w:firstLineChars="0"/>
              <w:jc w:val="center"/>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太原市疾病预防控制中心</w:t>
            </w:r>
          </w:p>
        </w:tc>
        <w:tc>
          <w:tcPr>
            <w:tcW w:w="1874" w:type="dxa"/>
            <w:tcBorders>
              <w:top w:val="single" w:color="auto" w:sz="8" w:space="0"/>
            </w:tcBorders>
            <w:shd w:val="clear" w:color="auto" w:fill="auto"/>
            <w:vAlign w:val="center"/>
          </w:tcPr>
          <w:p w14:paraId="69354622">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第一起草人</w:t>
            </w:r>
          </w:p>
        </w:tc>
      </w:tr>
      <w:tr w14:paraId="76123C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9" w:type="dxa"/>
            <w:shd w:val="clear" w:color="auto" w:fill="auto"/>
            <w:vAlign w:val="center"/>
          </w:tcPr>
          <w:p w14:paraId="6E847012">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王晓琴</w:t>
            </w:r>
          </w:p>
        </w:tc>
        <w:tc>
          <w:tcPr>
            <w:tcW w:w="1429" w:type="dxa"/>
            <w:shd w:val="clear" w:color="auto" w:fill="auto"/>
            <w:vAlign w:val="center"/>
          </w:tcPr>
          <w:p w14:paraId="799F8E63">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女</w:t>
            </w:r>
          </w:p>
        </w:tc>
        <w:tc>
          <w:tcPr>
            <w:tcW w:w="1575" w:type="dxa"/>
            <w:shd w:val="clear" w:color="auto" w:fill="auto"/>
            <w:vAlign w:val="center"/>
          </w:tcPr>
          <w:p w14:paraId="501AAD32">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副主任医师</w:t>
            </w:r>
          </w:p>
        </w:tc>
        <w:tc>
          <w:tcPr>
            <w:tcW w:w="2617" w:type="dxa"/>
            <w:shd w:val="clear" w:color="auto" w:fill="auto"/>
            <w:vAlign w:val="center"/>
          </w:tcPr>
          <w:p w14:paraId="4C246769">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太原市中小学学生卫生保健所</w:t>
            </w:r>
          </w:p>
        </w:tc>
        <w:tc>
          <w:tcPr>
            <w:tcW w:w="1874" w:type="dxa"/>
            <w:shd w:val="clear" w:color="auto" w:fill="auto"/>
            <w:vAlign w:val="center"/>
          </w:tcPr>
          <w:p w14:paraId="363AE504">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参与研讨、提出建议</w:t>
            </w:r>
          </w:p>
        </w:tc>
      </w:tr>
      <w:tr w14:paraId="69EA73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9" w:type="dxa"/>
            <w:shd w:val="clear" w:color="auto" w:fill="auto"/>
            <w:vAlign w:val="center"/>
          </w:tcPr>
          <w:p w14:paraId="028ED9C4">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徐计宏</w:t>
            </w:r>
          </w:p>
        </w:tc>
        <w:tc>
          <w:tcPr>
            <w:tcW w:w="1429" w:type="dxa"/>
            <w:shd w:val="clear" w:color="auto" w:fill="auto"/>
            <w:vAlign w:val="center"/>
          </w:tcPr>
          <w:p w14:paraId="009C1368">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男</w:t>
            </w:r>
          </w:p>
        </w:tc>
        <w:tc>
          <w:tcPr>
            <w:tcW w:w="1575" w:type="dxa"/>
            <w:shd w:val="clear" w:color="auto" w:fill="auto"/>
            <w:vAlign w:val="center"/>
          </w:tcPr>
          <w:p w14:paraId="7CDC13FA">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主任医师</w:t>
            </w:r>
          </w:p>
        </w:tc>
        <w:tc>
          <w:tcPr>
            <w:tcW w:w="2617" w:type="dxa"/>
            <w:shd w:val="clear" w:color="auto" w:fill="auto"/>
            <w:vAlign w:val="center"/>
          </w:tcPr>
          <w:p w14:paraId="7A2DD8B3">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太原市疾病预防控制中心</w:t>
            </w:r>
          </w:p>
        </w:tc>
        <w:tc>
          <w:tcPr>
            <w:tcW w:w="1874" w:type="dxa"/>
            <w:shd w:val="clear" w:color="auto" w:fill="auto"/>
            <w:vAlign w:val="center"/>
          </w:tcPr>
          <w:p w14:paraId="02DE6203">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参与研讨、提出建议</w:t>
            </w:r>
          </w:p>
        </w:tc>
      </w:tr>
      <w:tr w14:paraId="239CB1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9" w:type="dxa"/>
            <w:shd w:val="clear" w:color="auto" w:fill="auto"/>
            <w:vAlign w:val="center"/>
          </w:tcPr>
          <w:p w14:paraId="16861093">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陈晋</w:t>
            </w:r>
          </w:p>
        </w:tc>
        <w:tc>
          <w:tcPr>
            <w:tcW w:w="1429" w:type="dxa"/>
            <w:shd w:val="clear" w:color="auto" w:fill="auto"/>
            <w:vAlign w:val="center"/>
          </w:tcPr>
          <w:p w14:paraId="55095FE8">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男</w:t>
            </w:r>
          </w:p>
        </w:tc>
        <w:tc>
          <w:tcPr>
            <w:tcW w:w="1575" w:type="dxa"/>
            <w:shd w:val="clear" w:color="auto" w:fill="auto"/>
            <w:vAlign w:val="center"/>
          </w:tcPr>
          <w:p w14:paraId="6A8D93F1">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副所长</w:t>
            </w:r>
          </w:p>
        </w:tc>
        <w:tc>
          <w:tcPr>
            <w:tcW w:w="2617" w:type="dxa"/>
            <w:shd w:val="clear" w:color="auto" w:fill="auto"/>
            <w:vAlign w:val="center"/>
          </w:tcPr>
          <w:p w14:paraId="76A3D081">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太原市中小学学生卫生保健所</w:t>
            </w:r>
          </w:p>
        </w:tc>
        <w:tc>
          <w:tcPr>
            <w:tcW w:w="1874" w:type="dxa"/>
            <w:shd w:val="clear" w:color="auto" w:fill="auto"/>
            <w:vAlign w:val="center"/>
          </w:tcPr>
          <w:p w14:paraId="415F3E19">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参与研讨、提出建议</w:t>
            </w:r>
          </w:p>
        </w:tc>
      </w:tr>
      <w:tr w14:paraId="302720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9" w:type="dxa"/>
            <w:shd w:val="clear" w:color="auto" w:fill="auto"/>
            <w:vAlign w:val="center"/>
          </w:tcPr>
          <w:p w14:paraId="3C93B60D">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郝瑞岗</w:t>
            </w:r>
          </w:p>
        </w:tc>
        <w:tc>
          <w:tcPr>
            <w:tcW w:w="1429" w:type="dxa"/>
            <w:shd w:val="clear" w:color="auto" w:fill="auto"/>
            <w:vAlign w:val="center"/>
          </w:tcPr>
          <w:p w14:paraId="125CDAFC">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男</w:t>
            </w:r>
          </w:p>
        </w:tc>
        <w:tc>
          <w:tcPr>
            <w:tcW w:w="1575" w:type="dxa"/>
            <w:shd w:val="clear" w:color="auto" w:fill="auto"/>
            <w:vAlign w:val="center"/>
          </w:tcPr>
          <w:p w14:paraId="745E7B19">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副主任医师</w:t>
            </w:r>
          </w:p>
        </w:tc>
        <w:tc>
          <w:tcPr>
            <w:tcW w:w="2617" w:type="dxa"/>
            <w:shd w:val="clear" w:color="auto" w:fill="auto"/>
            <w:vAlign w:val="center"/>
          </w:tcPr>
          <w:p w14:paraId="41C42777">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太原市疾病预防控制中心</w:t>
            </w:r>
          </w:p>
        </w:tc>
        <w:tc>
          <w:tcPr>
            <w:tcW w:w="1874" w:type="dxa"/>
            <w:shd w:val="clear" w:color="auto" w:fill="auto"/>
            <w:vAlign w:val="center"/>
          </w:tcPr>
          <w:p w14:paraId="6AE662CE">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参与研讨、提出建议</w:t>
            </w:r>
          </w:p>
        </w:tc>
      </w:tr>
      <w:tr w14:paraId="528CEC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9" w:type="dxa"/>
            <w:shd w:val="clear" w:color="auto" w:fill="auto"/>
            <w:vAlign w:val="center"/>
          </w:tcPr>
          <w:p w14:paraId="5C81118B">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房兆骅</w:t>
            </w:r>
          </w:p>
        </w:tc>
        <w:tc>
          <w:tcPr>
            <w:tcW w:w="1429" w:type="dxa"/>
            <w:shd w:val="clear" w:color="auto" w:fill="auto"/>
            <w:vAlign w:val="center"/>
          </w:tcPr>
          <w:p w14:paraId="04C89E32">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男</w:t>
            </w:r>
          </w:p>
        </w:tc>
        <w:tc>
          <w:tcPr>
            <w:tcW w:w="1575" w:type="dxa"/>
            <w:shd w:val="clear" w:color="auto" w:fill="auto"/>
            <w:vAlign w:val="center"/>
          </w:tcPr>
          <w:p w14:paraId="068C9DC3">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科员</w:t>
            </w:r>
          </w:p>
        </w:tc>
        <w:tc>
          <w:tcPr>
            <w:tcW w:w="2617" w:type="dxa"/>
            <w:shd w:val="clear" w:color="auto" w:fill="auto"/>
            <w:vAlign w:val="center"/>
          </w:tcPr>
          <w:p w14:paraId="35D04917">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太原市疾病预防控制中心</w:t>
            </w:r>
          </w:p>
        </w:tc>
        <w:tc>
          <w:tcPr>
            <w:tcW w:w="1874" w:type="dxa"/>
            <w:shd w:val="clear" w:color="auto" w:fill="auto"/>
            <w:vAlign w:val="center"/>
          </w:tcPr>
          <w:p w14:paraId="3B98C5B8">
            <w:pPr>
              <w:autoSpaceDE w:val="0"/>
              <w:autoSpaceDN w:val="0"/>
              <w:ind w:firstLine="0" w:firstLineChars="0"/>
              <w:jc w:val="center"/>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参与研讨、起草文本、编写修改</w:t>
            </w:r>
          </w:p>
        </w:tc>
      </w:tr>
      <w:tr w14:paraId="31A77B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9" w:type="dxa"/>
            <w:shd w:val="clear" w:color="auto" w:fill="auto"/>
            <w:vAlign w:val="center"/>
          </w:tcPr>
          <w:p w14:paraId="29F46358">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张志琴</w:t>
            </w:r>
          </w:p>
        </w:tc>
        <w:tc>
          <w:tcPr>
            <w:tcW w:w="1429" w:type="dxa"/>
            <w:shd w:val="clear" w:color="auto" w:fill="auto"/>
            <w:vAlign w:val="center"/>
          </w:tcPr>
          <w:p w14:paraId="5DB4756F">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女</w:t>
            </w:r>
          </w:p>
        </w:tc>
        <w:tc>
          <w:tcPr>
            <w:tcW w:w="1575" w:type="dxa"/>
            <w:shd w:val="clear" w:color="auto" w:fill="auto"/>
            <w:vAlign w:val="center"/>
          </w:tcPr>
          <w:p w14:paraId="11BD0530">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副主任医师</w:t>
            </w:r>
          </w:p>
        </w:tc>
        <w:tc>
          <w:tcPr>
            <w:tcW w:w="2617" w:type="dxa"/>
            <w:shd w:val="clear" w:color="auto" w:fill="auto"/>
            <w:vAlign w:val="center"/>
          </w:tcPr>
          <w:p w14:paraId="5BA03A1D">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太原市疾病预防控制中心</w:t>
            </w:r>
          </w:p>
        </w:tc>
        <w:tc>
          <w:tcPr>
            <w:tcW w:w="1874" w:type="dxa"/>
            <w:shd w:val="clear" w:color="auto" w:fill="auto"/>
            <w:vAlign w:val="center"/>
          </w:tcPr>
          <w:p w14:paraId="27AB4DE0">
            <w:pPr>
              <w:autoSpaceDE w:val="0"/>
              <w:autoSpaceDN w:val="0"/>
              <w:ind w:firstLine="0" w:firstLineChars="0"/>
              <w:jc w:val="center"/>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参与研讨、提出建议</w:t>
            </w:r>
          </w:p>
        </w:tc>
      </w:tr>
      <w:tr w14:paraId="5FBD8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9" w:type="dxa"/>
            <w:shd w:val="clear" w:color="auto" w:fill="auto"/>
            <w:vAlign w:val="center"/>
          </w:tcPr>
          <w:p w14:paraId="32C7E11A">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薛小平</w:t>
            </w:r>
          </w:p>
        </w:tc>
        <w:tc>
          <w:tcPr>
            <w:tcW w:w="1429" w:type="dxa"/>
            <w:shd w:val="clear" w:color="auto" w:fill="auto"/>
            <w:vAlign w:val="center"/>
          </w:tcPr>
          <w:p w14:paraId="4339F852">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女</w:t>
            </w:r>
          </w:p>
        </w:tc>
        <w:tc>
          <w:tcPr>
            <w:tcW w:w="1575" w:type="dxa"/>
            <w:shd w:val="clear" w:color="auto" w:fill="auto"/>
            <w:vAlign w:val="center"/>
          </w:tcPr>
          <w:p w14:paraId="1C35B1A8">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副主任医师</w:t>
            </w:r>
          </w:p>
        </w:tc>
        <w:tc>
          <w:tcPr>
            <w:tcW w:w="2617" w:type="dxa"/>
            <w:shd w:val="clear" w:color="auto" w:fill="auto"/>
            <w:vAlign w:val="center"/>
          </w:tcPr>
          <w:p w14:paraId="4F7D025D">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太原市疾病预防控制中心</w:t>
            </w:r>
          </w:p>
        </w:tc>
        <w:tc>
          <w:tcPr>
            <w:tcW w:w="1874" w:type="dxa"/>
            <w:shd w:val="clear" w:color="auto" w:fill="auto"/>
            <w:vAlign w:val="center"/>
          </w:tcPr>
          <w:p w14:paraId="7F9A8EDF">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参与研讨、提出建议</w:t>
            </w:r>
          </w:p>
        </w:tc>
      </w:tr>
      <w:tr w14:paraId="74E365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79" w:type="dxa"/>
            <w:shd w:val="clear" w:color="auto" w:fill="auto"/>
            <w:vAlign w:val="center"/>
          </w:tcPr>
          <w:p w14:paraId="01619FEE">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马利刚</w:t>
            </w:r>
          </w:p>
        </w:tc>
        <w:tc>
          <w:tcPr>
            <w:tcW w:w="1429" w:type="dxa"/>
            <w:shd w:val="clear" w:color="auto" w:fill="auto"/>
            <w:vAlign w:val="center"/>
          </w:tcPr>
          <w:p w14:paraId="59205F71">
            <w:pPr>
              <w:autoSpaceDE w:val="0"/>
              <w:autoSpaceDN w:val="0"/>
              <w:ind w:firstLine="0" w:firstLineChars="0"/>
              <w:jc w:val="center"/>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男</w:t>
            </w:r>
          </w:p>
        </w:tc>
        <w:tc>
          <w:tcPr>
            <w:tcW w:w="1575" w:type="dxa"/>
            <w:shd w:val="clear" w:color="auto" w:fill="auto"/>
            <w:vAlign w:val="center"/>
          </w:tcPr>
          <w:p w14:paraId="4B1C41B3">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中级医师</w:t>
            </w:r>
          </w:p>
        </w:tc>
        <w:tc>
          <w:tcPr>
            <w:tcW w:w="2617" w:type="dxa"/>
            <w:shd w:val="clear" w:color="auto" w:fill="auto"/>
            <w:vAlign w:val="center"/>
          </w:tcPr>
          <w:p w14:paraId="261F5ECF">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太原市疾病预防控制中心</w:t>
            </w:r>
          </w:p>
        </w:tc>
        <w:tc>
          <w:tcPr>
            <w:tcW w:w="1874" w:type="dxa"/>
            <w:shd w:val="clear" w:color="auto" w:fill="auto"/>
            <w:vAlign w:val="center"/>
          </w:tcPr>
          <w:p w14:paraId="6E59B0F6">
            <w:pPr>
              <w:autoSpaceDE w:val="0"/>
              <w:autoSpaceDN w:val="0"/>
              <w:ind w:firstLine="0" w:firstLineChars="0"/>
              <w:jc w:val="center"/>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参与研讨、提出建议</w:t>
            </w:r>
          </w:p>
        </w:tc>
      </w:tr>
    </w:tbl>
    <w:p w14:paraId="04BF8E51">
      <w:pPr>
        <w:widowControl w:val="0"/>
        <w:numPr>
          <w:ilvl w:val="0"/>
          <w:numId w:val="3"/>
        </w:numPr>
        <w:spacing w:before="156" w:beforeLines="50" w:after="156" w:afterLines="50"/>
        <w:ind w:left="425" w:leftChars="0" w:hanging="42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制（修）订标准的必要性和意义</w:t>
      </w:r>
    </w:p>
    <w:p w14:paraId="4FCEC858">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学校是传染病易感人群聚集的场所，如不采取积极有效的防控措施，极易发生传染病疫情，特别是呼吸道和肠道传染病的暴发流行。</w:t>
      </w:r>
    </w:p>
    <w:p w14:paraId="231DB38C">
      <w:pPr>
        <w:autoSpaceDE w:val="0"/>
        <w:autoSpaceDN w:val="0"/>
        <w:ind w:firstLine="640" w:firstLineChars="200"/>
        <w:jc w:val="both"/>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传染病疫情监测是传染病预防控制的重要前提，只有准确、及时、有效地进行报告，才能为控制传染病疫情争取时间。传统的疾病监测建立在医院诊断和实验室检查的基础上，在症状报告（或样品采集）和疾病的最后诊断之间通常存在一段时间的滞后期；而症状监测就是不依赖特定诊断，对指定人群中特定临床症候群（如发热、腹泻、呼吸系统症状等）的发生频率进行监测，旨在确定出现早期症状病例数的阈值，从而为早期预警突发公共卫生事件提供依据，提醒人们及时采取有效措施，降低患病率和死亡率，减少经济损失。</w:t>
      </w:r>
    </w:p>
    <w:p w14:paraId="4BB0F582">
      <w:pPr>
        <w:widowControl w:val="0"/>
        <w:numPr>
          <w:ilvl w:val="0"/>
          <w:numId w:val="4"/>
        </w:numPr>
        <w:spacing w:before="156" w:beforeLines="50" w:after="156" w:afterLines="50"/>
        <w:ind w:left="425" w:leftChars="0" w:hanging="42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主要起草工作过程</w:t>
      </w:r>
    </w:p>
    <w:p w14:paraId="58BF0D92">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（一）成立项目组</w:t>
      </w:r>
    </w:p>
    <w:p w14:paraId="33CCDE69">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规范批准立项后，起草单位主要编制人员进行工作安排、人员分工，及时总结汇报工作完成情况。</w:t>
      </w:r>
    </w:p>
    <w:p w14:paraId="4B26F5C7">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（二）收集资料</w:t>
      </w:r>
    </w:p>
    <w:p w14:paraId="347B2B69">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本规范学习了《标准化工作导则—第1部分：标准化文件的结构和起草规则》（GB/T 1.1-2020）规定了起草格式和要求，并查阅了《中华人民共和国传染病防治法》、《中小学校传染病预防控制工作管理规范》（GB28932—2012）、《学校传染病症状监测预警技术指南》（WS/T 772—2020）、《太原市卫生局、太原市教育局关于印发&lt;太原市学生健康监测信息系统管理工作方案&gt;的通知》（并卫发﹝2009﹞146号）、《太原市卫生局、太原市教育局关于印发&lt;太原市学生健康监测信息系统管理规范&gt;的通知》（并卫发﹝2010﹞60号）等法律条文、规范、文件，提取适用于本规范的部分。</w:t>
      </w:r>
    </w:p>
    <w:p w14:paraId="34BB3BFE">
      <w:pPr>
        <w:autoSpaceDE w:val="0"/>
        <w:autoSpaceDN w:val="0"/>
        <w:ind w:firstLine="640" w:firstLineChars="200"/>
        <w:jc w:val="both"/>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（三）起草规范</w:t>
      </w:r>
    </w:p>
    <w:p w14:paraId="6C40D6EA">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起草小组查阅资料并对现场验证、调查，整理统计分析数据，汇总各起草人意见和文本，最终形成征求意见稿。</w:t>
      </w:r>
    </w:p>
    <w:p w14:paraId="23DDEFC4">
      <w:pPr>
        <w:autoSpaceDE w:val="0"/>
        <w:autoSpaceDN w:val="0"/>
        <w:ind w:firstLine="640" w:firstLineChars="200"/>
        <w:jc w:val="both"/>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（四）征求意见</w:t>
      </w:r>
    </w:p>
    <w:p w14:paraId="0438849B">
      <w:pPr>
        <w:autoSpaceDE w:val="0"/>
        <w:autoSpaceDN w:val="0"/>
        <w:ind w:firstLine="640" w:firstLineChars="200"/>
        <w:jc w:val="both"/>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起草小组向太原市第二实验小学、太原市第六十四中学校、太原市第六十五中学校、太原市第二中学校、太原市第四十八中学校共五家单位发出征求意见稿征求意见，五家单位全回复征求意见稿，一家单位有1条意见，其余四家单位无意见；共采纳1条意见。</w:t>
      </w:r>
    </w:p>
    <w:p w14:paraId="33468D78">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（五）形成送审稿</w:t>
      </w:r>
    </w:p>
    <w:p w14:paraId="73D6ADD2">
      <w:pPr>
        <w:autoSpaceDE w:val="0"/>
        <w:autoSpaceDN w:val="0"/>
        <w:ind w:firstLine="640" w:firstLineChars="200"/>
        <w:jc w:val="both"/>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2024年7月23日，太原市卫生健康标准化技术委员会组织有关专家对本规范进行第一次审查，审查结束后，起草小组根据专家组意见对本标准进行修改完善，形成征求意见稿。太原市卫生健康标准化技术委员会组织有关专家对本规范进行第二次审查，起草小组再根据专家组意见进行修改完善，形成送审稿。</w:t>
      </w:r>
    </w:p>
    <w:p w14:paraId="6107074C">
      <w:pPr>
        <w:widowControl w:val="0"/>
        <w:numPr>
          <w:ilvl w:val="0"/>
          <w:numId w:val="5"/>
        </w:numPr>
        <w:spacing w:before="156" w:beforeLines="50" w:after="156" w:afterLines="50"/>
        <w:ind w:left="425" w:leftChars="0" w:hanging="42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制（修）订标准的原则和依据，与现行法律、法规、标准的关系；强制性标准须写明法律、法规依据。</w:t>
      </w:r>
    </w:p>
    <w:p w14:paraId="595BE5C9">
      <w:pPr>
        <w:autoSpaceDE w:val="0"/>
        <w:autoSpaceDN w:val="0"/>
        <w:ind w:firstLine="640" w:firstLineChars="200"/>
        <w:jc w:val="both"/>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（一）本标准的原则</w:t>
      </w:r>
    </w:p>
    <w:p w14:paraId="431EAEF1">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（1）合规性原则</w:t>
      </w:r>
    </w:p>
    <w:p w14:paraId="3725FB16">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本标准围绕《中华人民共和国传染病防治法》、《中小学校传染病预防控制工作管理规范》（GB28932—2012）、《学校传染病症状监测预警技术指南》（WS/T 772—2020）、《太原市卫生局、太原市教育局关于印发&lt;太原市学生健康监测信息系统管理工作方案&gt;的通知》（并卫发﹝2009﹞146号）、《太原市卫生局、太原市教育局关于印发&lt;太原市学生健康监测信息系统管理规范&gt;的通知》（并卫发﹝2010﹞60号）文件要求以及深入贯彻习近平总书记关于传染病防治工作中提出的始终坚持人民至上、生命至上”等重要指示精神，具体落实国家传染病防治项目中关于加强学生健康监测的要求。</w:t>
      </w:r>
    </w:p>
    <w:p w14:paraId="20CB0769">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（2）适用性原则</w:t>
      </w:r>
    </w:p>
    <w:p w14:paraId="3549FDCD">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default" w:ascii="宋体" w:hAnsi="Times New Roman" w:eastAsia="宋体" w:cs="Times New Roman"/>
          <w:sz w:val="32"/>
          <w:szCs w:val="32"/>
          <w:lang w:val="en-US" w:eastAsia="zh-CN" w:bidi="ar-SA"/>
        </w:rPr>
        <w:t>本标准适用于各级各类中小学校，托幼机构可参照执行，学校教职员工症状监测可参照执行。</w:t>
      </w:r>
      <w:r>
        <w:rPr>
          <w:rFonts w:hint="eastAsia" w:ascii="宋体" w:hAnsi="Times New Roman" w:eastAsia="宋体" w:cs="Times New Roman"/>
          <w:sz w:val="32"/>
          <w:szCs w:val="32"/>
          <w:lang w:val="en-US" w:eastAsia="zh-CN" w:bidi="ar-SA"/>
        </w:rPr>
        <w:t>附录A覆盖了学生在校期间绝大多数疾病种类、症状、意外伤害，便于实际填写。</w:t>
      </w:r>
    </w:p>
    <w:p w14:paraId="21922491">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（3）先进性原则</w:t>
      </w:r>
    </w:p>
    <w:p w14:paraId="776BFF11">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本规范起草过程中始终坚持先进性的原则，结合目前已在做的中小学生健康监测工作，广泛征求了各级各类学校、托幼机构、管理机构等意见，完善本规范的完整性、先进性、实用性。</w:t>
      </w:r>
    </w:p>
    <w:p w14:paraId="5E76E8C3">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（二）编制的依据</w:t>
      </w:r>
    </w:p>
    <w:p w14:paraId="493EF2A5">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（1）《中华人民共和国标准化法》、《山西省标准化条例》</w:t>
      </w:r>
    </w:p>
    <w:p w14:paraId="50F86627">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（2）《中华人民共和国传染病防治法》、《中小学校传染病预防控制工作管理规范》（GB28932—2012）、《学校传染病症状监测预警技术指南》（WS/T 772—2020）、《太原市卫生局、太原市教育局关于印发&lt;太原市学生健康监测信息系统管理工作方案&gt;的通知》（并卫发﹝2009﹞146号）、《太原市卫生局、太原市教育局关于印发&lt;太原市学生健康监测信息系统管理规范&gt;的通知》（并卫发﹝2010﹞60号）</w:t>
      </w:r>
    </w:p>
    <w:p w14:paraId="726E2BAE">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（3）《标准化工作导则—第1部分：标准化文件的结构和起草规则》（GB/T 1.1-2020）</w:t>
      </w:r>
    </w:p>
    <w:p w14:paraId="170274E0">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（三）与现行法律、法规、标准的关系</w:t>
      </w:r>
    </w:p>
    <w:p w14:paraId="15982F04">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本标准符合《中华人民共和国标准化法》、《中华人民共和国传染病防治法》相关法律规定，与现行法规协调一致，引用了《中小学校传染病预防控制工作管理规范》（GB28932—2012）、《学校传染病症状监测预警技术指南》（WS/T 772—2020）等相关标准，无冲突。</w:t>
      </w:r>
    </w:p>
    <w:p w14:paraId="6BB140F9">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（四）强制性标准须写明法律、法规依据</w:t>
      </w:r>
    </w:p>
    <w:p w14:paraId="21101716">
      <w:pPr>
        <w:autoSpaceDE w:val="0"/>
        <w:autoSpaceDN w:val="0"/>
        <w:ind w:firstLine="640" w:firstLineChars="200"/>
        <w:jc w:val="both"/>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本标准作为推荐性标准，无此项内容。</w:t>
      </w:r>
    </w:p>
    <w:p w14:paraId="123A6478">
      <w:pPr>
        <w:widowControl w:val="0"/>
        <w:numPr>
          <w:ilvl w:val="0"/>
          <w:numId w:val="6"/>
        </w:numPr>
        <w:spacing w:before="156" w:beforeLines="50" w:after="156" w:afterLines="50"/>
        <w:ind w:left="425" w:leftChars="0" w:hanging="42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主要条款的说明，主要技术指标、参数、试验验证的分析、综合论述。</w:t>
      </w:r>
    </w:p>
    <w:p w14:paraId="20B6B122">
      <w:pPr>
        <w:autoSpaceDE w:val="0"/>
        <w:autoSpaceDN w:val="0"/>
        <w:ind w:firstLine="640" w:firstLineChars="200"/>
        <w:jc w:val="both"/>
        <w:rPr>
          <w:rFonts w:hint="eastAsia" w:ascii="宋体" w:hAnsi="Times New Roman" w:eastAsia="宋体" w:cs="Times New Roman"/>
          <w:sz w:val="32"/>
          <w:szCs w:val="32"/>
          <w:highlight w:val="none"/>
          <w:lang w:val="en-US" w:eastAsia="zh-CN" w:bidi="ar-SA"/>
        </w:rPr>
      </w:pPr>
      <w:r>
        <w:rPr>
          <w:rFonts w:hint="eastAsia" w:ascii="宋体" w:hAnsi="Times New Roman" w:eastAsia="宋体" w:cs="Times New Roman"/>
          <w:sz w:val="32"/>
          <w:szCs w:val="32"/>
          <w:highlight w:val="none"/>
          <w:lang w:val="en-US" w:eastAsia="zh-CN" w:bidi="ar-SA"/>
        </w:rPr>
        <w:t>本规范共分七条，包括范围、规范性引用文件、术语和定义、总体要求、监测内容和方法、信息上报、数据管理，监测内容和方法为本规范的核心条款。</w:t>
      </w:r>
    </w:p>
    <w:p w14:paraId="57164815">
      <w:pPr>
        <w:autoSpaceDE w:val="0"/>
        <w:autoSpaceDN w:val="0"/>
        <w:ind w:firstLine="640" w:firstLineChars="200"/>
        <w:jc w:val="both"/>
        <w:rPr>
          <w:rFonts w:hint="eastAsia" w:ascii="宋体" w:hAnsi="Times New Roman" w:eastAsia="宋体" w:cs="Times New Roman"/>
          <w:sz w:val="32"/>
          <w:szCs w:val="32"/>
          <w:highlight w:val="none"/>
          <w:lang w:val="en-US" w:eastAsia="zh-CN" w:bidi="ar-SA"/>
        </w:rPr>
      </w:pPr>
      <w:r>
        <w:rPr>
          <w:rFonts w:hint="eastAsia" w:ascii="宋体" w:hAnsi="Times New Roman" w:eastAsia="宋体" w:cs="Times New Roman"/>
          <w:sz w:val="32"/>
          <w:szCs w:val="32"/>
          <w:highlight w:val="none"/>
          <w:lang w:val="en-US" w:eastAsia="zh-CN" w:bidi="ar-SA"/>
        </w:rPr>
        <w:t>本规范按照《中华人民共和国传染病防治法》、《学校卫生工作条例》、《学校和托幼机构传染病疫情报告工作规范（试行）》等相关法律法规、规范确定监测指标。</w:t>
      </w:r>
    </w:p>
    <w:p w14:paraId="143BCC30">
      <w:pPr>
        <w:autoSpaceDE w:val="0"/>
        <w:autoSpaceDN w:val="0"/>
        <w:ind w:firstLine="640" w:firstLineChars="200"/>
        <w:jc w:val="both"/>
        <w:rPr>
          <w:rFonts w:hint="default" w:ascii="宋体" w:hAnsi="Times New Roman" w:eastAsia="宋体" w:cs="Times New Roman"/>
          <w:sz w:val="32"/>
          <w:szCs w:val="32"/>
          <w:highlight w:val="none"/>
          <w:lang w:val="en-US" w:eastAsia="zh-CN" w:bidi="ar-SA"/>
        </w:rPr>
      </w:pPr>
      <w:r>
        <w:rPr>
          <w:rFonts w:hint="default" w:ascii="宋体" w:hAnsi="Times New Roman" w:eastAsia="宋体" w:cs="Times New Roman"/>
          <w:sz w:val="32"/>
          <w:szCs w:val="32"/>
          <w:highlight w:val="none"/>
          <w:lang w:val="en-US" w:eastAsia="zh-CN" w:bidi="ar-SA"/>
        </w:rPr>
        <w:t>学生健康监测包括监测学生在学校的疾病类型、症状及意外伤害以及分析上述数据，是技术性很强的工作，因此，客观、准确、严瑾、规范地开展此工作对保护学生在校健康具有重要意义。</w:t>
      </w:r>
    </w:p>
    <w:p w14:paraId="70AA05B2">
      <w:pPr>
        <w:widowControl w:val="0"/>
        <w:numPr>
          <w:ilvl w:val="0"/>
          <w:numId w:val="7"/>
        </w:numPr>
        <w:spacing w:before="156" w:beforeLines="50" w:after="156" w:afterLines="50"/>
        <w:ind w:left="425" w:leftChars="0" w:hanging="42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重大意见分歧的处理依据和结果。</w:t>
      </w:r>
    </w:p>
    <w:p w14:paraId="4ADB6101">
      <w:pPr>
        <w:autoSpaceDE w:val="0"/>
        <w:autoSpaceDN w:val="0"/>
        <w:ind w:firstLine="640" w:firstLineChars="200"/>
        <w:jc w:val="both"/>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无重大分歧意见。</w:t>
      </w:r>
    </w:p>
    <w:p w14:paraId="1F848305">
      <w:pPr>
        <w:widowControl w:val="0"/>
        <w:numPr>
          <w:ilvl w:val="0"/>
          <w:numId w:val="8"/>
        </w:numPr>
        <w:tabs>
          <w:tab w:val="left" w:pos="0"/>
          <w:tab w:val="clear" w:pos="420"/>
        </w:tabs>
        <w:spacing w:before="156" w:beforeLines="50" w:after="156" w:afterLines="50"/>
        <w:ind w:left="5" w:leftChars="0" w:hanging="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采标情况，是否合规引用或采用国际标准和国外先进标准，以及与国内外同类标准水平的对比情况。</w:t>
      </w:r>
    </w:p>
    <w:p w14:paraId="0A423250">
      <w:pPr>
        <w:autoSpaceDE w:val="0"/>
        <w:autoSpaceDN w:val="0"/>
        <w:ind w:firstLine="640" w:firstLineChars="200"/>
        <w:jc w:val="both"/>
        <w:rPr>
          <w:rFonts w:hint="default"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本规范未引用或采用国际标准和国外先进标准。本规范通过症状监测就是不依赖特定诊断，对指定人群中特定临床症候群（如发热、腹泻、呼吸系统症状等）的发生频率进行监测，旨在确定出现早期症状病例数的阈值，从而为早期预警突发公共卫生事件提供依据。</w:t>
      </w:r>
    </w:p>
    <w:p w14:paraId="5EF05BA6">
      <w:pPr>
        <w:widowControl w:val="0"/>
        <w:numPr>
          <w:ilvl w:val="0"/>
          <w:numId w:val="9"/>
        </w:numPr>
        <w:spacing w:before="156" w:beforeLines="50" w:after="156" w:afterLines="50"/>
        <w:ind w:left="425" w:leftChars="0" w:hanging="42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作为推荐性标准或者强制性标准的建议及其理由。</w:t>
      </w:r>
    </w:p>
    <w:p w14:paraId="4863E960">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建议本规范作为推荐性标准。</w:t>
      </w:r>
    </w:p>
    <w:p w14:paraId="7A913C20">
      <w:pPr>
        <w:autoSpaceDE w:val="0"/>
        <w:autoSpaceDN w:val="0"/>
        <w:ind w:firstLine="640" w:firstLineChars="200"/>
        <w:jc w:val="both"/>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目前太原市有1096家学校在进行太原市学生健康监测工作，但各学校上报的中小学生健康监测信息格式不统一、内容不全面、数据不一致，不能真正反映在校中小学生健康状况。因此制订《中小学生健康监测管理规范》非常必要。本标准研制可为在校中小学生健康监测提供技术指导，为太原市青少年人群健康数据等提供科学技术依据，为健康中国建设奠定基础。</w:t>
      </w:r>
    </w:p>
    <w:p w14:paraId="78BA10C6">
      <w:pPr>
        <w:widowControl w:val="0"/>
        <w:numPr>
          <w:ilvl w:val="0"/>
          <w:numId w:val="10"/>
        </w:numPr>
        <w:spacing w:before="156" w:beforeLines="50" w:after="156" w:afterLines="50"/>
        <w:ind w:left="425" w:leftChars="0" w:hanging="42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强制性标准实施的风险点、风险程度、风险防控措施和预案。</w:t>
      </w:r>
    </w:p>
    <w:p w14:paraId="24AFA462">
      <w:pPr>
        <w:autoSpaceDE w:val="0"/>
        <w:autoSpaceDN w:val="0"/>
        <w:ind w:firstLine="640" w:firstLineChars="200"/>
        <w:jc w:val="both"/>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无。</w:t>
      </w:r>
    </w:p>
    <w:p w14:paraId="2B160985">
      <w:pPr>
        <w:widowControl w:val="0"/>
        <w:numPr>
          <w:ilvl w:val="0"/>
          <w:numId w:val="11"/>
        </w:numPr>
        <w:spacing w:before="156" w:beforeLines="50" w:after="156" w:afterLines="50"/>
        <w:ind w:left="425" w:leftChars="0" w:hanging="42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实施标准的措施建议</w:t>
      </w:r>
    </w:p>
    <w:p w14:paraId="2A40FBCE">
      <w:pPr>
        <w:autoSpaceDE w:val="0"/>
        <w:autoSpaceDN w:val="0"/>
        <w:ind w:firstLine="640" w:firstLineChars="200"/>
        <w:jc w:val="both"/>
        <w:rPr>
          <w:rFonts w:hint="eastAsia"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（1）通过对各填报学校负责人进行标准宣贯、培训，掌握本标准的相关要求。</w:t>
      </w:r>
      <w:bookmarkStart w:id="0" w:name="_GoBack"/>
      <w:bookmarkEnd w:id="0"/>
    </w:p>
    <w:p w14:paraId="63E95945">
      <w:pPr>
        <w:autoSpaceDE w:val="0"/>
        <w:autoSpaceDN w:val="0"/>
        <w:ind w:firstLine="640" w:firstLineChars="200"/>
        <w:jc w:val="both"/>
        <w:rPr>
          <w:rFonts w:ascii="宋体" w:hAnsi="Times New Roman" w:eastAsia="宋体" w:cs="Times New Roman"/>
          <w:sz w:val="32"/>
          <w:szCs w:val="32"/>
          <w:lang w:val="en-US" w:eastAsia="zh-CN" w:bidi="ar-SA"/>
        </w:rPr>
      </w:pPr>
      <w:r>
        <w:rPr>
          <w:rFonts w:hint="eastAsia" w:ascii="宋体" w:hAnsi="Times New Roman" w:eastAsia="宋体" w:cs="Times New Roman"/>
          <w:sz w:val="32"/>
          <w:szCs w:val="32"/>
          <w:lang w:val="en-US" w:eastAsia="zh-CN" w:bidi="ar-SA"/>
        </w:rPr>
        <w:t>（2）各级卫生健康业务管理部门按照该标准相关要求，在学生健康监测日常管理中开展指导管理工作。</w:t>
      </w:r>
    </w:p>
    <w:p w14:paraId="630A0549">
      <w:pPr>
        <w:widowControl w:val="0"/>
        <w:numPr>
          <w:ilvl w:val="0"/>
          <w:numId w:val="12"/>
        </w:numPr>
        <w:spacing w:before="156" w:beforeLines="50" w:after="156" w:afterLines="50"/>
        <w:ind w:left="425" w:leftChars="0" w:hanging="425" w:firstLineChars="0"/>
        <w:jc w:val="both"/>
        <w:outlineLvl w:val="2"/>
        <w:rPr>
          <w:rFonts w:ascii="黑体" w:hAnsi="Times New Roman" w:eastAsia="黑体" w:cs="Times New Roman"/>
          <w:kern w:val="21"/>
          <w:sz w:val="32"/>
          <w:szCs w:val="32"/>
          <w:lang w:val="en-US" w:eastAsia="zh-CN" w:bidi="ar-SA"/>
        </w:rPr>
      </w:pPr>
      <w:r>
        <w:rPr>
          <w:rFonts w:hint="eastAsia" w:ascii="黑体" w:hAnsi="Times New Roman" w:eastAsia="黑体" w:cs="Times New Roman"/>
          <w:kern w:val="21"/>
          <w:sz w:val="32"/>
          <w:szCs w:val="32"/>
          <w:lang w:val="en-US" w:eastAsia="zh-CN" w:bidi="ar-SA"/>
        </w:rPr>
        <w:t>其他应说明的事项</w:t>
      </w:r>
    </w:p>
    <w:p w14:paraId="79E73FF4">
      <w:pPr>
        <w:autoSpaceDE w:val="0"/>
        <w:autoSpaceDN w:val="0"/>
        <w:ind w:firstLine="640" w:firstLineChars="200"/>
        <w:jc w:val="both"/>
      </w:pPr>
      <w:r>
        <w:rPr>
          <w:rFonts w:hint="eastAsia" w:ascii="宋体" w:hAnsi="Times New Roman" w:eastAsia="宋体" w:cs="Times New Roman"/>
          <w:sz w:val="32"/>
          <w:szCs w:val="32"/>
          <w:lang w:val="en-US" w:eastAsia="zh-CN" w:bidi="ar-SA"/>
        </w:rPr>
        <w:t>无。</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B96BE">
    <w:pPr>
      <w:ind w:right="227"/>
      <w:jc w:val="right"/>
      <w:rPr>
        <w:rFonts w:ascii="宋体" w:hAnsi="Times New Roman" w:eastAsia="宋体" w:cs="Times New Roman"/>
        <w:sz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4BC179">
                          <w:pPr>
                            <w:ind w:right="227"/>
                            <w:jc w:val="right"/>
                          </w:pPr>
                          <w:r>
                            <w:rPr>
                              <w:rFonts w:hint="eastAsia" w:ascii="宋体" w:hAnsi="Times New Roman" w:eastAsia="宋体" w:cs="Times New Roman"/>
                              <w:sz w:val="18"/>
                              <w:lang w:val="en-US" w:eastAsia="zh-CN" w:bidi="ar-SA"/>
                            </w:rPr>
                            <w:t>3</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24BC179">
                    <w:pPr>
                      <w:ind w:right="227"/>
                      <w:jc w:val="right"/>
                    </w:pPr>
                    <w:r>
                      <w:rPr>
                        <w:rFonts w:hint="eastAsia" w:ascii="宋体" w:hAnsi="Times New Roman" w:eastAsia="宋体" w:cs="Times New Roman"/>
                        <w:sz w:val="18"/>
                        <w:lang w:val="en-US" w:eastAsia="zh-CN" w:bidi="ar-SA"/>
                      </w:rPr>
                      <w:t>3</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B6567"/>
    <w:multiLevelType w:val="singleLevel"/>
    <w:tmpl w:val="A26B6567"/>
    <w:lvl w:ilvl="0" w:tentative="0">
      <w:start w:val="1"/>
      <w:numFmt w:val="decimal"/>
      <w:lvlText w:val="%1."/>
      <w:lvlJc w:val="left"/>
      <w:pPr>
        <w:ind w:left="425" w:hanging="425"/>
      </w:pPr>
      <w:rPr>
        <w:rFonts w:hint="default"/>
      </w:rPr>
    </w:lvl>
  </w:abstractNum>
  <w:abstractNum w:abstractNumId="1">
    <w:nsid w:val="B7136974"/>
    <w:multiLevelType w:val="singleLevel"/>
    <w:tmpl w:val="B7136974"/>
    <w:lvl w:ilvl="0" w:tentative="0">
      <w:start w:val="9"/>
      <w:numFmt w:val="decimal"/>
      <w:lvlText w:val="%1."/>
      <w:lvlJc w:val="left"/>
      <w:pPr>
        <w:tabs>
          <w:tab w:val="left" w:pos="420"/>
        </w:tabs>
        <w:ind w:left="425" w:leftChars="0" w:hanging="425" w:firstLineChars="0"/>
      </w:pPr>
      <w:rPr>
        <w:rFonts w:hint="default"/>
      </w:rPr>
    </w:lvl>
  </w:abstractNum>
  <w:abstractNum w:abstractNumId="2">
    <w:nsid w:val="BA440932"/>
    <w:multiLevelType w:val="singleLevel"/>
    <w:tmpl w:val="BA440932"/>
    <w:lvl w:ilvl="0" w:tentative="0">
      <w:start w:val="4"/>
      <w:numFmt w:val="decimal"/>
      <w:lvlText w:val="%1."/>
      <w:lvlJc w:val="left"/>
      <w:pPr>
        <w:tabs>
          <w:tab w:val="left" w:pos="420"/>
        </w:tabs>
        <w:ind w:left="425" w:leftChars="0" w:hanging="425" w:firstLineChars="0"/>
      </w:pPr>
      <w:rPr>
        <w:rFonts w:hint="default"/>
      </w:rPr>
    </w:lvl>
  </w:abstractNum>
  <w:abstractNum w:abstractNumId="3">
    <w:nsid w:val="C1A2C04D"/>
    <w:multiLevelType w:val="singleLevel"/>
    <w:tmpl w:val="C1A2C04D"/>
    <w:lvl w:ilvl="0" w:tentative="0">
      <w:start w:val="2"/>
      <w:numFmt w:val="decimal"/>
      <w:lvlText w:val="%1."/>
      <w:lvlJc w:val="left"/>
      <w:pPr>
        <w:tabs>
          <w:tab w:val="left" w:pos="420"/>
        </w:tabs>
        <w:ind w:left="425" w:leftChars="0" w:hanging="425" w:firstLineChars="0"/>
      </w:pPr>
      <w:rPr>
        <w:rFonts w:hint="default"/>
      </w:rPr>
    </w:lvl>
  </w:abstractNum>
  <w:abstractNum w:abstractNumId="4">
    <w:nsid w:val="DC70FAD4"/>
    <w:multiLevelType w:val="singleLevel"/>
    <w:tmpl w:val="DC70FAD4"/>
    <w:lvl w:ilvl="0" w:tentative="0">
      <w:start w:val="3"/>
      <w:numFmt w:val="decimal"/>
      <w:lvlText w:val="%1."/>
      <w:lvlJc w:val="left"/>
      <w:pPr>
        <w:tabs>
          <w:tab w:val="left" w:pos="420"/>
        </w:tabs>
        <w:ind w:left="425" w:leftChars="0" w:hanging="425" w:firstLineChars="0"/>
      </w:pPr>
      <w:rPr>
        <w:rFonts w:hint="default"/>
      </w:rPr>
    </w:lvl>
  </w:abstractNum>
  <w:abstractNum w:abstractNumId="5">
    <w:nsid w:val="DED3FA06"/>
    <w:multiLevelType w:val="singleLevel"/>
    <w:tmpl w:val="DED3FA06"/>
    <w:lvl w:ilvl="0" w:tentative="0">
      <w:start w:val="8"/>
      <w:numFmt w:val="decimal"/>
      <w:lvlText w:val="%1."/>
      <w:lvlJc w:val="left"/>
      <w:pPr>
        <w:tabs>
          <w:tab w:val="left" w:pos="420"/>
        </w:tabs>
        <w:ind w:left="425" w:leftChars="0" w:hanging="425" w:firstLineChars="0"/>
      </w:pPr>
      <w:rPr>
        <w:rFonts w:hint="default"/>
      </w:rPr>
    </w:lvl>
  </w:abstractNum>
  <w:abstractNum w:abstractNumId="6">
    <w:nsid w:val="E0B0D994"/>
    <w:multiLevelType w:val="singleLevel"/>
    <w:tmpl w:val="E0B0D994"/>
    <w:lvl w:ilvl="0" w:tentative="0">
      <w:start w:val="7"/>
      <w:numFmt w:val="decimal"/>
      <w:lvlText w:val="%1."/>
      <w:lvlJc w:val="left"/>
      <w:pPr>
        <w:tabs>
          <w:tab w:val="left" w:pos="420"/>
        </w:tabs>
        <w:ind w:left="425" w:leftChars="0" w:hanging="425" w:firstLineChars="0"/>
      </w:pPr>
      <w:rPr>
        <w:rFonts w:hint="default"/>
      </w:rPr>
    </w:lvl>
  </w:abstractNum>
  <w:abstractNum w:abstractNumId="7">
    <w:nsid w:val="E296AA70"/>
    <w:multiLevelType w:val="singleLevel"/>
    <w:tmpl w:val="E296AA70"/>
    <w:lvl w:ilvl="0" w:tentative="0">
      <w:start w:val="10"/>
      <w:numFmt w:val="decimal"/>
      <w:lvlText w:val="%1."/>
      <w:lvlJc w:val="left"/>
      <w:pPr>
        <w:tabs>
          <w:tab w:val="left" w:pos="420"/>
        </w:tabs>
        <w:ind w:left="425" w:leftChars="0" w:hanging="425" w:firstLineChars="0"/>
      </w:pPr>
      <w:rPr>
        <w:rFonts w:hint="default"/>
      </w:rPr>
    </w:lvl>
  </w:abstractNum>
  <w:abstractNum w:abstractNumId="8">
    <w:nsid w:val="04884CF6"/>
    <w:multiLevelType w:val="singleLevel"/>
    <w:tmpl w:val="04884CF6"/>
    <w:lvl w:ilvl="0" w:tentative="0">
      <w:start w:val="11"/>
      <w:numFmt w:val="decimal"/>
      <w:lvlText w:val="%1."/>
      <w:lvlJc w:val="left"/>
      <w:pPr>
        <w:tabs>
          <w:tab w:val="left" w:pos="420"/>
        </w:tabs>
        <w:ind w:left="425" w:leftChars="0" w:hanging="425" w:firstLineChars="0"/>
      </w:pPr>
      <w:rPr>
        <w:rFonts w:hint="default"/>
      </w:rPr>
    </w:lvl>
  </w:abstractNum>
  <w:abstractNum w:abstractNumId="9">
    <w:nsid w:val="28193C5C"/>
    <w:multiLevelType w:val="singleLevel"/>
    <w:tmpl w:val="28193C5C"/>
    <w:lvl w:ilvl="0" w:tentative="0">
      <w:start w:val="5"/>
      <w:numFmt w:val="decimal"/>
      <w:lvlText w:val="%1."/>
      <w:lvlJc w:val="left"/>
      <w:pPr>
        <w:tabs>
          <w:tab w:val="left" w:pos="420"/>
        </w:tabs>
        <w:ind w:left="425" w:leftChars="0" w:hanging="425" w:firstLineChars="0"/>
      </w:pPr>
      <w:rPr>
        <w:rFonts w:hint="default"/>
      </w:rPr>
    </w:lvl>
  </w:abstractNum>
  <w:abstractNum w:abstractNumId="10">
    <w:nsid w:val="28DE0E7D"/>
    <w:multiLevelType w:val="singleLevel"/>
    <w:tmpl w:val="28DE0E7D"/>
    <w:lvl w:ilvl="0" w:tentative="0">
      <w:start w:val="6"/>
      <w:numFmt w:val="decimal"/>
      <w:lvlText w:val="%1."/>
      <w:lvlJc w:val="left"/>
      <w:pPr>
        <w:tabs>
          <w:tab w:val="left" w:pos="420"/>
        </w:tabs>
        <w:ind w:left="425" w:leftChars="0" w:hanging="425" w:firstLineChars="0"/>
      </w:pPr>
      <w:rPr>
        <w:rFonts w:hint="default"/>
      </w:rPr>
    </w:lvl>
  </w:abstractNum>
  <w:abstractNum w:abstractNumId="11">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suff w:val="space"/>
      <w:lvlText w:val="表%1.%2"/>
      <w:lvlJc w:val="center"/>
      <w:pPr>
        <w:ind w:left="0" w:firstLine="0"/>
      </w:pPr>
      <w:rPr>
        <w:rFonts w:hint="default" w:ascii="黑体" w:eastAsia="黑体"/>
        <w:sz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 w:numId="2">
    <w:abstractNumId w:val="11"/>
  </w:num>
  <w:num w:numId="3">
    <w:abstractNumId w:val="3"/>
  </w:num>
  <w:num w:numId="4">
    <w:abstractNumId w:val="4"/>
  </w:num>
  <w:num w:numId="5">
    <w:abstractNumId w:val="2"/>
  </w:num>
  <w:num w:numId="6">
    <w:abstractNumId w:val="9"/>
  </w:num>
  <w:num w:numId="7">
    <w:abstractNumId w:val="10"/>
  </w:num>
  <w:num w:numId="8">
    <w:abstractNumId w:val="6"/>
  </w:num>
  <w:num w:numId="9">
    <w:abstractNumId w:val="5"/>
  </w:num>
  <w:num w:numId="10">
    <w:abstractNumId w:val="1"/>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zMjg5MTBjNGJlODNmYTBhZDNiYmY3OTlhOGRjMzkifQ=="/>
  </w:docVars>
  <w:rsids>
    <w:rsidRoot w:val="00000000"/>
    <w:rsid w:val="000D4990"/>
    <w:rsid w:val="025B1AED"/>
    <w:rsid w:val="02C1591C"/>
    <w:rsid w:val="03551128"/>
    <w:rsid w:val="04A32834"/>
    <w:rsid w:val="05E32F1F"/>
    <w:rsid w:val="09A45698"/>
    <w:rsid w:val="0CF86DFD"/>
    <w:rsid w:val="13C42DEB"/>
    <w:rsid w:val="18EB0279"/>
    <w:rsid w:val="190527E6"/>
    <w:rsid w:val="1D2779A1"/>
    <w:rsid w:val="1E9D2DB2"/>
    <w:rsid w:val="21337890"/>
    <w:rsid w:val="23050FA7"/>
    <w:rsid w:val="247638DD"/>
    <w:rsid w:val="25A67803"/>
    <w:rsid w:val="27165747"/>
    <w:rsid w:val="27C6574C"/>
    <w:rsid w:val="2A854D61"/>
    <w:rsid w:val="2CDC7DAB"/>
    <w:rsid w:val="323F14C8"/>
    <w:rsid w:val="34D80AEA"/>
    <w:rsid w:val="36916DF3"/>
    <w:rsid w:val="3AF46352"/>
    <w:rsid w:val="3EC05EAD"/>
    <w:rsid w:val="3FBD632E"/>
    <w:rsid w:val="4AF00055"/>
    <w:rsid w:val="4C57339A"/>
    <w:rsid w:val="54D5780A"/>
    <w:rsid w:val="54F62CA4"/>
    <w:rsid w:val="5A513A05"/>
    <w:rsid w:val="5ECC4C67"/>
    <w:rsid w:val="5FA369F5"/>
    <w:rsid w:val="6299419B"/>
    <w:rsid w:val="638E7582"/>
    <w:rsid w:val="649B4ACE"/>
    <w:rsid w:val="66DE03AB"/>
    <w:rsid w:val="676D3602"/>
    <w:rsid w:val="67A1421E"/>
    <w:rsid w:val="6DFC5505"/>
    <w:rsid w:val="75C37E0B"/>
    <w:rsid w:val="76BB2EBC"/>
    <w:rsid w:val="76CA4A03"/>
    <w:rsid w:val="7D6E2D00"/>
    <w:rsid w:val="7EC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2360</Words>
  <Characters>2452</Characters>
  <Lines>0</Lines>
  <Paragraphs>0</Paragraphs>
  <TotalTime>2</TotalTime>
  <ScaleCrop>false</ScaleCrop>
  <LinksUpToDate>false</LinksUpToDate>
  <CharactersWithSpaces>2455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2024-07-18T08:01:00Z</dcterms:created>
  <dc:creator>jbjczx04</dc:creator>
  <cp:lastModifiedBy>房兆骅</cp:lastModifiedBy>
  <cp:lastPrinted>2024-07-19T03:13:00Z</cp:lastPrinted>
  <dcterms:modified xsi:type="dcterms:W3CDTF">2024-08-16T07:44:40Z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735126FD303B40D09CFEEB5C8658523C_12</vt:lpwstr>
  </property>
</Properties>
</file>