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92" w:lineRule="exact"/>
        <w:jc w:val="both"/>
        <w:rPr>
          <w:rFonts w:hint="default" w:ascii="Times New Roman" w:hAnsi="Times New Roman" w:eastAsia="Times New Roman"/>
          <w:color w:val="000000"/>
          <w:spacing w:val="0"/>
          <w:sz w:val="32"/>
        </w:rPr>
      </w:pPr>
      <w:r>
        <w:rPr>
          <w:rFonts w:ascii="Times New Roman" w:hAnsi="Times New Roman" w:eastAsia="黑体"/>
          <w:color w:val="000000"/>
          <w:spacing w:val="0"/>
          <w:sz w:val="32"/>
        </w:rPr>
        <w:t>附件2</w:t>
      </w:r>
    </w:p>
    <w:p>
      <w:pPr>
        <w:pStyle w:val="9"/>
        <w:spacing w:afterLines="50" w:line="592" w:lineRule="exact"/>
        <w:jc w:val="center"/>
        <w:rPr>
          <w:rFonts w:hint="default" w:ascii="Times New Roman" w:hAnsi="Times New Roman" w:eastAsia="Times New Roman"/>
          <w:spacing w:val="0"/>
          <w:kern w:val="0"/>
          <w:sz w:val="50"/>
        </w:rPr>
      </w:pPr>
      <w:bookmarkStart w:id="0" w:name="_GoBack"/>
      <w:r>
        <w:rPr>
          <w:rFonts w:hint="eastAsia" w:ascii="Times New Roman" w:hAnsi="Times New Roman" w:eastAsia="方正小标宋简体"/>
          <w:spacing w:val="0"/>
          <w:kern w:val="0"/>
          <w:sz w:val="44"/>
          <w:lang w:eastAsia="zh-CN"/>
        </w:rPr>
        <w:t>河南</w:t>
      </w:r>
      <w:r>
        <w:rPr>
          <w:rFonts w:ascii="Times New Roman" w:hAnsi="Times New Roman" w:eastAsia="方正小标宋简体"/>
          <w:spacing w:val="0"/>
          <w:kern w:val="0"/>
          <w:sz w:val="44"/>
        </w:rPr>
        <w:t>省公立医疗机构开展特需医疗服务</w:t>
      </w:r>
      <w:r>
        <w:rPr>
          <w:rFonts w:hint="eastAsia" w:ascii="Times New Roman" w:hAnsi="Times New Roman" w:eastAsia="方正小标宋简体"/>
          <w:spacing w:val="0"/>
          <w:kern w:val="0"/>
          <w:sz w:val="44"/>
          <w:lang w:eastAsia="zh-CN"/>
        </w:rPr>
        <w:t>价格</w:t>
      </w:r>
      <w:r>
        <w:rPr>
          <w:rFonts w:ascii="Times New Roman" w:hAnsi="Times New Roman" w:eastAsia="方正小标宋简体"/>
          <w:spacing w:val="0"/>
          <w:kern w:val="0"/>
          <w:sz w:val="44"/>
        </w:rPr>
        <w:t>项目年度统计表</w:t>
      </w:r>
    </w:p>
    <w:bookmarkEnd w:id="0"/>
    <w:tbl>
      <w:tblPr>
        <w:tblStyle w:val="5"/>
        <w:tblpPr w:leftFromText="180" w:rightFromText="180" w:vertAnchor="text" w:horzAnchor="page" w:tblpX="889" w:tblpY="146"/>
        <w:tblOverlap w:val="never"/>
        <w:tblW w:w="15017" w:type="dxa"/>
        <w:tblInd w:w="0" w:type="dxa"/>
        <w:tblLayout w:type="fixed"/>
        <w:tblCellMar>
          <w:top w:w="0" w:type="dxa"/>
          <w:left w:w="0" w:type="dxa"/>
          <w:bottom w:w="0" w:type="dxa"/>
          <w:right w:w="0" w:type="dxa"/>
        </w:tblCellMar>
      </w:tblPr>
      <w:tblGrid>
        <w:gridCol w:w="903"/>
        <w:gridCol w:w="5788"/>
        <w:gridCol w:w="2045"/>
        <w:gridCol w:w="2099"/>
        <w:gridCol w:w="1717"/>
        <w:gridCol w:w="2465"/>
      </w:tblGrid>
      <w:tr>
        <w:tblPrEx>
          <w:tblCellMar>
            <w:top w:w="0" w:type="dxa"/>
            <w:left w:w="0" w:type="dxa"/>
            <w:bottom w:w="0" w:type="dxa"/>
            <w:right w:w="0" w:type="dxa"/>
          </w:tblCellMar>
        </w:tblPrEx>
        <w:trPr>
          <w:trHeight w:val="818" w:hRule="atLeast"/>
        </w:trPr>
        <w:tc>
          <w:tcPr>
            <w:tcW w:w="90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Fonts w:ascii="Times New Roman" w:hAnsi="Times New Roman" w:eastAsia="Times New Roman"/>
                <w:color w:val="333333"/>
                <w:sz w:val="24"/>
              </w:rPr>
            </w:pPr>
            <w:r>
              <w:rPr>
                <w:rStyle w:val="11"/>
                <w:rFonts w:ascii="Times New Roman" w:hAnsi="Times New Roman"/>
              </w:rPr>
              <w:t>序号</w:t>
            </w:r>
          </w:p>
        </w:tc>
        <w:tc>
          <w:tcPr>
            <w:tcW w:w="578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Fonts w:ascii="Times New Roman" w:hAnsi="Times New Roman" w:eastAsia="Times New Roman"/>
                <w:color w:val="000000"/>
                <w:sz w:val="24"/>
              </w:rPr>
            </w:pPr>
            <w:r>
              <w:rPr>
                <w:rStyle w:val="10"/>
                <w:rFonts w:ascii="Times New Roman" w:hAnsi="Times New Roman"/>
                <w:sz w:val="24"/>
              </w:rPr>
              <w:t>项目名称及编码</w:t>
            </w:r>
          </w:p>
        </w:tc>
        <w:tc>
          <w:tcPr>
            <w:tcW w:w="204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Style w:val="10"/>
                <w:rFonts w:hint="default" w:ascii="Times New Roman" w:hAnsi="Times New Roman" w:eastAsia="Times New Roman"/>
                <w:sz w:val="24"/>
              </w:rPr>
            </w:pPr>
            <w:r>
              <w:rPr>
                <w:rStyle w:val="10"/>
                <w:rFonts w:ascii="Times New Roman" w:hAnsi="Times New Roman"/>
                <w:sz w:val="24"/>
              </w:rPr>
              <w:t>计价</w:t>
            </w:r>
          </w:p>
          <w:p>
            <w:pPr>
              <w:widowControl/>
              <w:spacing w:line="360" w:lineRule="exact"/>
              <w:jc w:val="center"/>
              <w:textAlignment w:val="center"/>
              <w:rPr>
                <w:rFonts w:ascii="Times New Roman" w:hAnsi="Times New Roman" w:eastAsia="Times New Roman"/>
                <w:color w:val="000000"/>
                <w:sz w:val="24"/>
              </w:rPr>
            </w:pPr>
            <w:r>
              <w:rPr>
                <w:rStyle w:val="10"/>
                <w:rFonts w:ascii="Times New Roman" w:hAnsi="Times New Roman"/>
                <w:sz w:val="24"/>
              </w:rPr>
              <w:t>单位</w:t>
            </w:r>
          </w:p>
        </w:tc>
        <w:tc>
          <w:tcPr>
            <w:tcW w:w="20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Style w:val="11"/>
                <w:rFonts w:hint="default" w:ascii="Times New Roman" w:hAnsi="Times New Roman" w:eastAsia="Times New Roman"/>
              </w:rPr>
            </w:pPr>
            <w:r>
              <w:rPr>
                <w:rStyle w:val="11"/>
                <w:rFonts w:ascii="Times New Roman" w:hAnsi="Times New Roman"/>
              </w:rPr>
              <w:t>自主定价</w:t>
            </w:r>
          </w:p>
          <w:p>
            <w:pPr>
              <w:widowControl/>
              <w:spacing w:line="360" w:lineRule="exact"/>
              <w:jc w:val="center"/>
              <w:textAlignment w:val="center"/>
              <w:rPr>
                <w:rFonts w:ascii="Times New Roman" w:hAnsi="Times New Roman" w:eastAsia="Times New Roman"/>
                <w:color w:val="333333"/>
                <w:sz w:val="24"/>
              </w:rPr>
            </w:pPr>
            <w:r>
              <w:rPr>
                <w:rStyle w:val="11"/>
                <w:rFonts w:ascii="Times New Roman" w:hAnsi="Times New Roman"/>
              </w:rPr>
              <w:t>（元）</w:t>
            </w:r>
          </w:p>
        </w:tc>
        <w:tc>
          <w:tcPr>
            <w:tcW w:w="17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Fonts w:ascii="Times New Roman" w:hAnsi="Times New Roman" w:eastAsia="Times New Roman"/>
                <w:color w:val="333333"/>
                <w:sz w:val="24"/>
              </w:rPr>
            </w:pPr>
            <w:r>
              <w:rPr>
                <w:rStyle w:val="11"/>
                <w:rFonts w:ascii="Times New Roman" w:hAnsi="Times New Roman"/>
              </w:rPr>
              <w:t>例数</w:t>
            </w:r>
          </w:p>
        </w:tc>
        <w:tc>
          <w:tcPr>
            <w:tcW w:w="246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Fonts w:ascii="Times New Roman" w:hAnsi="Times New Roman" w:eastAsia="Times New Roman"/>
                <w:color w:val="333333"/>
                <w:sz w:val="24"/>
              </w:rPr>
            </w:pPr>
            <w:r>
              <w:rPr>
                <w:rStyle w:val="11"/>
                <w:rFonts w:ascii="Times New Roman" w:hAnsi="Times New Roman"/>
              </w:rPr>
              <w:t>收入（元）</w:t>
            </w:r>
          </w:p>
        </w:tc>
      </w:tr>
      <w:tr>
        <w:tblPrEx>
          <w:tblCellMar>
            <w:top w:w="0" w:type="dxa"/>
            <w:left w:w="0" w:type="dxa"/>
            <w:bottom w:w="0" w:type="dxa"/>
            <w:right w:w="0" w:type="dxa"/>
          </w:tblCellMar>
        </w:tblPrEx>
        <w:trPr>
          <w:trHeight w:val="431" w:hRule="atLeast"/>
        </w:trPr>
        <w:tc>
          <w:tcPr>
            <w:tcW w:w="90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Fonts w:ascii="Times New Roman" w:hAnsi="Times New Roman" w:eastAsia="Times New Roman"/>
                <w:color w:val="333333"/>
                <w:sz w:val="24"/>
              </w:rPr>
            </w:pPr>
            <w:r>
              <w:rPr>
                <w:rFonts w:hint="eastAsia" w:ascii="Times New Roman" w:hAnsi="Times New Roman" w:eastAsia="Times New Roman"/>
                <w:color w:val="333333"/>
                <w:kern w:val="0"/>
                <w:sz w:val="24"/>
              </w:rPr>
              <w:t>1</w:t>
            </w:r>
          </w:p>
        </w:tc>
        <w:tc>
          <w:tcPr>
            <w:tcW w:w="578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4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17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46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r>
      <w:tr>
        <w:tblPrEx>
          <w:tblCellMar>
            <w:top w:w="0" w:type="dxa"/>
            <w:left w:w="0" w:type="dxa"/>
            <w:bottom w:w="0" w:type="dxa"/>
            <w:right w:w="0" w:type="dxa"/>
          </w:tblCellMar>
        </w:tblPrEx>
        <w:trPr>
          <w:trHeight w:val="431" w:hRule="atLeast"/>
        </w:trPr>
        <w:tc>
          <w:tcPr>
            <w:tcW w:w="90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Fonts w:ascii="Times New Roman" w:hAnsi="Times New Roman" w:eastAsia="Times New Roman"/>
                <w:color w:val="333333"/>
                <w:sz w:val="24"/>
              </w:rPr>
            </w:pPr>
            <w:r>
              <w:rPr>
                <w:rFonts w:hint="eastAsia" w:ascii="Times New Roman" w:hAnsi="Times New Roman" w:eastAsia="Times New Roman"/>
                <w:color w:val="333333"/>
                <w:kern w:val="0"/>
                <w:sz w:val="24"/>
              </w:rPr>
              <w:t>2</w:t>
            </w:r>
          </w:p>
        </w:tc>
        <w:tc>
          <w:tcPr>
            <w:tcW w:w="578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4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17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46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r>
      <w:tr>
        <w:tblPrEx>
          <w:tblCellMar>
            <w:top w:w="0" w:type="dxa"/>
            <w:left w:w="0" w:type="dxa"/>
            <w:bottom w:w="0" w:type="dxa"/>
            <w:right w:w="0" w:type="dxa"/>
          </w:tblCellMar>
        </w:tblPrEx>
        <w:trPr>
          <w:trHeight w:val="431" w:hRule="atLeast"/>
        </w:trPr>
        <w:tc>
          <w:tcPr>
            <w:tcW w:w="90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Fonts w:ascii="Times New Roman" w:hAnsi="Times New Roman" w:eastAsia="Times New Roman"/>
                <w:color w:val="333333"/>
                <w:sz w:val="24"/>
              </w:rPr>
            </w:pPr>
            <w:r>
              <w:rPr>
                <w:rFonts w:hint="eastAsia" w:ascii="Times New Roman" w:hAnsi="Times New Roman" w:eastAsia="Times New Roman"/>
                <w:color w:val="333333"/>
                <w:kern w:val="0"/>
                <w:sz w:val="24"/>
              </w:rPr>
              <w:t>3</w:t>
            </w:r>
          </w:p>
        </w:tc>
        <w:tc>
          <w:tcPr>
            <w:tcW w:w="578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4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17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46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r>
      <w:tr>
        <w:tblPrEx>
          <w:tblCellMar>
            <w:top w:w="0" w:type="dxa"/>
            <w:left w:w="0" w:type="dxa"/>
            <w:bottom w:w="0" w:type="dxa"/>
            <w:right w:w="0" w:type="dxa"/>
          </w:tblCellMar>
        </w:tblPrEx>
        <w:trPr>
          <w:trHeight w:val="431" w:hRule="atLeast"/>
        </w:trPr>
        <w:tc>
          <w:tcPr>
            <w:tcW w:w="90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Fonts w:ascii="Times New Roman" w:hAnsi="Times New Roman" w:eastAsia="Times New Roman"/>
                <w:color w:val="333333"/>
                <w:sz w:val="24"/>
              </w:rPr>
            </w:pPr>
            <w:r>
              <w:rPr>
                <w:rFonts w:hint="eastAsia" w:ascii="Times New Roman" w:hAnsi="Times New Roman" w:eastAsia="Times New Roman"/>
                <w:color w:val="333333"/>
                <w:kern w:val="0"/>
                <w:sz w:val="24"/>
              </w:rPr>
              <w:t>4</w:t>
            </w:r>
          </w:p>
        </w:tc>
        <w:tc>
          <w:tcPr>
            <w:tcW w:w="578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4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17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46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r>
      <w:tr>
        <w:tblPrEx>
          <w:tblCellMar>
            <w:top w:w="0" w:type="dxa"/>
            <w:left w:w="0" w:type="dxa"/>
            <w:bottom w:w="0" w:type="dxa"/>
            <w:right w:w="0" w:type="dxa"/>
          </w:tblCellMar>
        </w:tblPrEx>
        <w:trPr>
          <w:trHeight w:val="431" w:hRule="atLeast"/>
        </w:trPr>
        <w:tc>
          <w:tcPr>
            <w:tcW w:w="90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Fonts w:ascii="Times New Roman" w:hAnsi="Times New Roman" w:eastAsia="Times New Roman"/>
                <w:color w:val="333333"/>
                <w:sz w:val="24"/>
              </w:rPr>
            </w:pPr>
            <w:r>
              <w:rPr>
                <w:rFonts w:hint="eastAsia" w:ascii="Times New Roman" w:hAnsi="Times New Roman" w:eastAsia="Times New Roman"/>
                <w:color w:val="333333"/>
                <w:kern w:val="0"/>
                <w:sz w:val="24"/>
              </w:rPr>
              <w:t>5</w:t>
            </w:r>
          </w:p>
        </w:tc>
        <w:tc>
          <w:tcPr>
            <w:tcW w:w="578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4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17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46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r>
      <w:tr>
        <w:tblPrEx>
          <w:tblCellMar>
            <w:top w:w="0" w:type="dxa"/>
            <w:left w:w="0" w:type="dxa"/>
            <w:bottom w:w="0" w:type="dxa"/>
            <w:right w:w="0" w:type="dxa"/>
          </w:tblCellMar>
        </w:tblPrEx>
        <w:trPr>
          <w:trHeight w:val="431" w:hRule="atLeast"/>
        </w:trPr>
        <w:tc>
          <w:tcPr>
            <w:tcW w:w="90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Fonts w:ascii="Times New Roman" w:hAnsi="Times New Roman" w:eastAsia="Times New Roman"/>
                <w:color w:val="333333"/>
                <w:sz w:val="24"/>
              </w:rPr>
            </w:pPr>
            <w:r>
              <w:rPr>
                <w:rFonts w:hint="eastAsia" w:ascii="Times New Roman" w:hAnsi="Times New Roman" w:eastAsia="Times New Roman"/>
                <w:color w:val="333333"/>
                <w:kern w:val="0"/>
                <w:sz w:val="24"/>
              </w:rPr>
              <w:t>6</w:t>
            </w:r>
          </w:p>
        </w:tc>
        <w:tc>
          <w:tcPr>
            <w:tcW w:w="578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4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17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46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rPr>
                <w:rFonts w:ascii="Times New Roman" w:hAnsi="Times New Roman" w:eastAsia="Times New Roman"/>
                <w:color w:val="000000"/>
                <w:sz w:val="20"/>
              </w:rPr>
            </w:pPr>
          </w:p>
        </w:tc>
      </w:tr>
      <w:tr>
        <w:tblPrEx>
          <w:tblCellMar>
            <w:top w:w="0" w:type="dxa"/>
            <w:left w:w="0" w:type="dxa"/>
            <w:bottom w:w="0" w:type="dxa"/>
            <w:right w:w="0" w:type="dxa"/>
          </w:tblCellMar>
        </w:tblPrEx>
        <w:trPr>
          <w:trHeight w:val="431" w:hRule="atLeast"/>
        </w:trPr>
        <w:tc>
          <w:tcPr>
            <w:tcW w:w="90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Fonts w:ascii="Times New Roman" w:hAnsi="Times New Roman" w:eastAsia="Times New Roman"/>
                <w:color w:val="333333"/>
                <w:sz w:val="24"/>
              </w:rPr>
            </w:pPr>
            <w:r>
              <w:rPr>
                <w:rFonts w:hint="eastAsia" w:ascii="Times New Roman" w:hAnsi="Times New Roman" w:eastAsia="Times New Roman"/>
                <w:color w:val="333333"/>
                <w:kern w:val="0"/>
                <w:sz w:val="24"/>
              </w:rPr>
              <w:t>7</w:t>
            </w:r>
          </w:p>
        </w:tc>
        <w:tc>
          <w:tcPr>
            <w:tcW w:w="578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4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17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46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r>
      <w:tr>
        <w:tblPrEx>
          <w:tblCellMar>
            <w:top w:w="0" w:type="dxa"/>
            <w:left w:w="0" w:type="dxa"/>
            <w:bottom w:w="0" w:type="dxa"/>
            <w:right w:w="0" w:type="dxa"/>
          </w:tblCellMar>
        </w:tblPrEx>
        <w:trPr>
          <w:trHeight w:val="431" w:hRule="atLeast"/>
        </w:trPr>
        <w:tc>
          <w:tcPr>
            <w:tcW w:w="90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Fonts w:ascii="Times New Roman" w:hAnsi="Times New Roman" w:eastAsia="Times New Roman"/>
                <w:color w:val="333333"/>
                <w:sz w:val="24"/>
              </w:rPr>
            </w:pPr>
            <w:r>
              <w:rPr>
                <w:rFonts w:hint="eastAsia" w:ascii="Times New Roman" w:hAnsi="Times New Roman" w:eastAsia="Times New Roman"/>
                <w:color w:val="333333"/>
                <w:kern w:val="0"/>
                <w:sz w:val="24"/>
              </w:rPr>
              <w:t>8</w:t>
            </w:r>
          </w:p>
        </w:tc>
        <w:tc>
          <w:tcPr>
            <w:tcW w:w="578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4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17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46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rPr>
                <w:rFonts w:ascii="Times New Roman" w:hAnsi="Times New Roman" w:eastAsia="Times New Roman"/>
                <w:color w:val="000000"/>
                <w:sz w:val="20"/>
              </w:rPr>
            </w:pPr>
          </w:p>
        </w:tc>
      </w:tr>
      <w:tr>
        <w:tblPrEx>
          <w:tblCellMar>
            <w:top w:w="0" w:type="dxa"/>
            <w:left w:w="0" w:type="dxa"/>
            <w:bottom w:w="0" w:type="dxa"/>
            <w:right w:w="0" w:type="dxa"/>
          </w:tblCellMar>
        </w:tblPrEx>
        <w:trPr>
          <w:trHeight w:val="431" w:hRule="atLeast"/>
        </w:trPr>
        <w:tc>
          <w:tcPr>
            <w:tcW w:w="90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Fonts w:ascii="Times New Roman" w:hAnsi="Times New Roman" w:eastAsia="Times New Roman"/>
                <w:color w:val="333333"/>
                <w:kern w:val="0"/>
                <w:sz w:val="24"/>
              </w:rPr>
            </w:pPr>
            <w:r>
              <w:rPr>
                <w:rFonts w:hint="eastAsia" w:ascii="Times New Roman" w:hAnsi="Times New Roman" w:eastAsia="Times New Roman"/>
                <w:color w:val="333333"/>
                <w:kern w:val="0"/>
                <w:sz w:val="24"/>
              </w:rPr>
              <w:t>9</w:t>
            </w:r>
          </w:p>
        </w:tc>
        <w:tc>
          <w:tcPr>
            <w:tcW w:w="578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4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17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46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r>
      <w:tr>
        <w:tblPrEx>
          <w:tblCellMar>
            <w:top w:w="0" w:type="dxa"/>
            <w:left w:w="0" w:type="dxa"/>
            <w:bottom w:w="0" w:type="dxa"/>
            <w:right w:w="0" w:type="dxa"/>
          </w:tblCellMar>
        </w:tblPrEx>
        <w:trPr>
          <w:trHeight w:val="431" w:hRule="atLeast"/>
        </w:trPr>
        <w:tc>
          <w:tcPr>
            <w:tcW w:w="903"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spacing w:line="360" w:lineRule="exact"/>
              <w:jc w:val="center"/>
              <w:textAlignment w:val="center"/>
              <w:rPr>
                <w:rFonts w:ascii="Times New Roman" w:hAnsi="Times New Roman" w:eastAsia="Times New Roman"/>
                <w:color w:val="333333"/>
                <w:sz w:val="24"/>
              </w:rPr>
            </w:pPr>
            <w:r>
              <w:rPr>
                <w:rFonts w:hint="eastAsia" w:ascii="Times New Roman" w:hAnsi="Times New Roman" w:eastAsia="Times New Roman"/>
                <w:color w:val="333333"/>
                <w:sz w:val="24"/>
              </w:rPr>
              <w:t>10</w:t>
            </w:r>
          </w:p>
        </w:tc>
        <w:tc>
          <w:tcPr>
            <w:tcW w:w="578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4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09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17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46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r>
      <w:tr>
        <w:tblPrEx>
          <w:tblCellMar>
            <w:top w:w="0" w:type="dxa"/>
            <w:left w:w="0" w:type="dxa"/>
            <w:bottom w:w="0" w:type="dxa"/>
            <w:right w:w="0" w:type="dxa"/>
          </w:tblCellMar>
        </w:tblPrEx>
        <w:trPr>
          <w:trHeight w:val="431" w:hRule="atLeast"/>
        </w:trPr>
        <w:tc>
          <w:tcPr>
            <w:tcW w:w="10835"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4"/>
              </w:rPr>
            </w:pPr>
            <w:r>
              <w:rPr>
                <w:rFonts w:hint="eastAsia" w:ascii="Times New Roman" w:hAnsi="Times New Roman" w:eastAsia="黑体"/>
                <w:color w:val="333333"/>
                <w:sz w:val="24"/>
                <w:lang w:eastAsia="zh-CN"/>
              </w:rPr>
              <w:t>特需医疗服务价格项目</w:t>
            </w:r>
            <w:r>
              <w:rPr>
                <w:rFonts w:hint="eastAsia" w:ascii="Times New Roman" w:hAnsi="Times New Roman" w:eastAsia="黑体"/>
                <w:color w:val="333333"/>
                <w:sz w:val="24"/>
              </w:rPr>
              <w:t>合计</w:t>
            </w:r>
          </w:p>
        </w:tc>
        <w:tc>
          <w:tcPr>
            <w:tcW w:w="17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46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r>
      <w:tr>
        <w:tblPrEx>
          <w:tblCellMar>
            <w:top w:w="0" w:type="dxa"/>
            <w:left w:w="0" w:type="dxa"/>
            <w:bottom w:w="0" w:type="dxa"/>
            <w:right w:w="0" w:type="dxa"/>
          </w:tblCellMar>
        </w:tblPrEx>
        <w:trPr>
          <w:trHeight w:val="431" w:hRule="atLeast"/>
        </w:trPr>
        <w:tc>
          <w:tcPr>
            <w:tcW w:w="10835"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hint="eastAsia" w:ascii="Times New Roman" w:hAnsi="Times New Roman" w:eastAsia="黑体"/>
                <w:color w:val="333333"/>
                <w:sz w:val="24"/>
                <w:lang w:eastAsia="zh-CN"/>
              </w:rPr>
            </w:pPr>
            <w:r>
              <w:rPr>
                <w:rFonts w:hint="eastAsia" w:ascii="Times New Roman" w:hAnsi="Times New Roman" w:eastAsia="黑体"/>
                <w:color w:val="333333"/>
                <w:sz w:val="24"/>
                <w:lang w:eastAsia="zh-CN"/>
              </w:rPr>
              <w:t>医疗服务价格项目总体情况</w:t>
            </w:r>
          </w:p>
        </w:tc>
        <w:tc>
          <w:tcPr>
            <w:tcW w:w="17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46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r>
      <w:tr>
        <w:tblPrEx>
          <w:tblCellMar>
            <w:top w:w="0" w:type="dxa"/>
            <w:left w:w="0" w:type="dxa"/>
            <w:bottom w:w="0" w:type="dxa"/>
            <w:right w:w="0" w:type="dxa"/>
          </w:tblCellMar>
        </w:tblPrEx>
        <w:trPr>
          <w:trHeight w:val="450" w:hRule="atLeast"/>
        </w:trPr>
        <w:tc>
          <w:tcPr>
            <w:tcW w:w="10835"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hint="eastAsia" w:ascii="Times New Roman" w:hAnsi="Times New Roman" w:eastAsia="黑体"/>
                <w:color w:val="333333"/>
                <w:sz w:val="24"/>
                <w:lang w:eastAsia="zh-CN"/>
              </w:rPr>
            </w:pPr>
            <w:r>
              <w:rPr>
                <w:rFonts w:hint="eastAsia" w:ascii="Times New Roman" w:hAnsi="Times New Roman" w:eastAsia="黑体"/>
                <w:color w:val="333333"/>
                <w:sz w:val="24"/>
                <w:lang w:eastAsia="zh-CN"/>
              </w:rPr>
              <w:t>特需医疗服务价格项目占比情况</w:t>
            </w:r>
          </w:p>
        </w:tc>
        <w:tc>
          <w:tcPr>
            <w:tcW w:w="171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c>
          <w:tcPr>
            <w:tcW w:w="246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spacing w:line="360" w:lineRule="exact"/>
              <w:jc w:val="center"/>
              <w:rPr>
                <w:rFonts w:ascii="Times New Roman" w:hAnsi="Times New Roman" w:eastAsia="Times New Roman"/>
                <w:color w:val="333333"/>
                <w:sz w:val="20"/>
              </w:rPr>
            </w:pPr>
          </w:p>
        </w:tc>
      </w:tr>
    </w:tbl>
    <w:p>
      <w:pPr>
        <w:bidi w:val="0"/>
        <w:jc w:val="left"/>
      </w:pPr>
      <w:r>
        <w:rPr>
          <w:rFonts w:hint="eastAsia"/>
          <w:sz w:val="18"/>
          <w:szCs w:val="18"/>
          <w:lang w:eastAsia="zh-CN"/>
        </w:rPr>
        <w:t>说明：</w:t>
      </w:r>
      <w:r>
        <w:rPr>
          <w:rFonts w:hint="eastAsia"/>
          <w:sz w:val="18"/>
          <w:szCs w:val="18"/>
          <w:lang w:val="en-US" w:eastAsia="zh-CN"/>
        </w:rPr>
        <w:t>1.</w:t>
      </w:r>
      <w:r>
        <w:rPr>
          <w:rFonts w:hint="eastAsia"/>
          <w:sz w:val="18"/>
          <w:szCs w:val="18"/>
          <w:lang w:eastAsia="zh-CN"/>
        </w:rPr>
        <w:t>“</w:t>
      </w:r>
      <w:r>
        <w:rPr>
          <w:rFonts w:hint="eastAsia" w:ascii="Times New Roman" w:hAnsi="Times New Roman" w:eastAsia="黑体"/>
          <w:color w:val="333333"/>
          <w:sz w:val="18"/>
          <w:szCs w:val="18"/>
          <w:lang w:eastAsia="zh-CN"/>
        </w:rPr>
        <w:t>医疗服务价格项目总体情况</w:t>
      </w:r>
      <w:r>
        <w:rPr>
          <w:rFonts w:hint="eastAsia"/>
          <w:sz w:val="18"/>
          <w:szCs w:val="18"/>
          <w:lang w:eastAsia="zh-CN"/>
        </w:rPr>
        <w:t>”一栏应填写本医疗机构年度开展的所有医疗服务价格项目的例数和收入情况（含政府指导价项目和特需医疗服务项目）；</w:t>
      </w:r>
      <w:r>
        <w:rPr>
          <w:rFonts w:hint="eastAsia"/>
          <w:sz w:val="18"/>
          <w:szCs w:val="18"/>
          <w:lang w:val="en-US" w:eastAsia="zh-CN"/>
        </w:rPr>
        <w:t>2.“</w:t>
      </w:r>
      <w:r>
        <w:rPr>
          <w:rFonts w:hint="eastAsia" w:ascii="Times New Roman" w:hAnsi="Times New Roman" w:eastAsia="黑体"/>
          <w:color w:val="333333"/>
          <w:sz w:val="18"/>
          <w:szCs w:val="18"/>
          <w:lang w:eastAsia="zh-CN"/>
        </w:rPr>
        <w:t>特需医疗服务价格项目占比情况</w:t>
      </w:r>
      <w:r>
        <w:rPr>
          <w:rFonts w:hint="eastAsia"/>
          <w:sz w:val="18"/>
          <w:szCs w:val="18"/>
          <w:lang w:val="en-US" w:eastAsia="zh-CN"/>
        </w:rPr>
        <w:t>”计算方法为：</w:t>
      </w:r>
      <w:r>
        <w:rPr>
          <w:rFonts w:hint="eastAsia" w:ascii="Times New Roman" w:hAnsi="Times New Roman" w:eastAsia="黑体"/>
          <w:color w:val="333333"/>
          <w:sz w:val="18"/>
          <w:szCs w:val="18"/>
          <w:lang w:eastAsia="zh-CN"/>
        </w:rPr>
        <w:t>特需医疗服务价格项目</w:t>
      </w:r>
      <w:r>
        <w:rPr>
          <w:rFonts w:hint="eastAsia" w:ascii="Times New Roman" w:hAnsi="Times New Roman" w:eastAsia="黑体"/>
          <w:color w:val="333333"/>
          <w:sz w:val="18"/>
          <w:szCs w:val="18"/>
        </w:rPr>
        <w:t>合计</w:t>
      </w:r>
      <w:r>
        <w:rPr>
          <w:rFonts w:hint="eastAsia" w:ascii="Times New Roman" w:hAnsi="Times New Roman" w:eastAsia="黑体"/>
          <w:color w:val="333333"/>
          <w:sz w:val="18"/>
          <w:szCs w:val="18"/>
          <w:lang w:eastAsia="zh-CN"/>
        </w:rPr>
        <w:t>（例数</w:t>
      </w:r>
      <w:r>
        <w:rPr>
          <w:rFonts w:hint="eastAsia" w:ascii="Times New Roman" w:hAnsi="Times New Roman" w:eastAsia="黑体"/>
          <w:color w:val="333333"/>
          <w:sz w:val="18"/>
          <w:szCs w:val="18"/>
          <w:lang w:val="en-US" w:eastAsia="zh-CN"/>
        </w:rPr>
        <w:t>/收入</w:t>
      </w:r>
      <w:r>
        <w:rPr>
          <w:rFonts w:hint="eastAsia" w:ascii="Times New Roman" w:hAnsi="Times New Roman" w:eastAsia="黑体"/>
          <w:color w:val="333333"/>
          <w:sz w:val="18"/>
          <w:szCs w:val="18"/>
          <w:lang w:eastAsia="zh-CN"/>
        </w:rPr>
        <w:t>）</w:t>
      </w:r>
      <w:r>
        <w:rPr>
          <w:rFonts w:hint="eastAsia" w:ascii="汉仪细圆B5" w:hAnsi="汉仪细圆B5" w:eastAsia="汉仪细圆B5" w:cs="汉仪细圆B5"/>
          <w:color w:val="333333"/>
          <w:sz w:val="18"/>
          <w:szCs w:val="18"/>
          <w:lang w:eastAsia="zh-CN"/>
        </w:rPr>
        <w:t>÷</w:t>
      </w:r>
      <w:r>
        <w:rPr>
          <w:rFonts w:hint="eastAsia" w:ascii="Times New Roman" w:hAnsi="Times New Roman" w:eastAsia="黑体"/>
          <w:color w:val="333333"/>
          <w:sz w:val="18"/>
          <w:szCs w:val="18"/>
          <w:lang w:eastAsia="zh-CN"/>
        </w:rPr>
        <w:t>医疗服务价格项目总体情况（例数</w:t>
      </w:r>
      <w:r>
        <w:rPr>
          <w:rFonts w:hint="eastAsia" w:ascii="Times New Roman" w:hAnsi="Times New Roman" w:eastAsia="黑体"/>
          <w:color w:val="333333"/>
          <w:sz w:val="18"/>
          <w:szCs w:val="18"/>
          <w:lang w:val="en-US" w:eastAsia="zh-CN"/>
        </w:rPr>
        <w:t>/收入</w:t>
      </w:r>
      <w:r>
        <w:rPr>
          <w:rFonts w:hint="eastAsia" w:ascii="Times New Roman" w:hAnsi="Times New Roman" w:eastAsia="黑体"/>
          <w:color w:val="333333"/>
          <w:sz w:val="18"/>
          <w:szCs w:val="18"/>
          <w:lang w:eastAsia="zh-CN"/>
        </w:rPr>
        <w:t>）。</w:t>
      </w:r>
    </w:p>
    <w:sectPr>
      <w:footerReference r:id="rId3" w:type="default"/>
      <w:pgSz w:w="16838" w:h="11906" w:orient="landscape"/>
      <w:pgMar w:top="1247" w:right="1440" w:bottom="124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20500000000000000"/>
    <w:charset w:val="88"/>
    <w:family w:val="roman"/>
    <w:pitch w:val="default"/>
    <w:sig w:usb0="00000000" w:usb1="00000000"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汉仪细圆B5">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楷体_GB2312" w:eastAsia="楷体_GB2312"/>
        <w:sz w:val="28"/>
      </w:rPr>
    </w:pPr>
    <w:r>
      <w:rPr>
        <w:rFonts w:ascii="Calibri" w:eastAsia="宋体"/>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jc w:val="right"/>
                          </w:pPr>
                          <w:r>
                            <w:rPr>
                              <w:rFonts w:hint="eastAsia" w:ascii="楷体_GB2312" w:eastAsia="楷体_GB2312"/>
                              <w:sz w:val="28"/>
                            </w:rPr>
                            <w:fldChar w:fldCharType="begin"/>
                          </w:r>
                          <w:r>
                            <w:rPr>
                              <w:rFonts w:hint="eastAsia" w:ascii="楷体_GB2312" w:hAnsi="Calibri" w:eastAsia="楷体_GB2312"/>
                              <w:sz w:val="28"/>
                            </w:rPr>
                            <w:instrText xml:space="preserve"> PAGE   \* MERGEFORMAT </w:instrText>
                          </w:r>
                          <w:r>
                            <w:rPr>
                              <w:rFonts w:hint="eastAsia" w:ascii="楷体_GB2312" w:eastAsia="楷体_GB2312"/>
                              <w:sz w:val="28"/>
                            </w:rPr>
                            <w:fldChar w:fldCharType="separate"/>
                          </w:r>
                          <w:r>
                            <w:rPr>
                              <w:rFonts w:ascii="楷体_GB2312" w:eastAsia="楷体_GB2312"/>
                              <w:sz w:val="28"/>
                              <w:lang w:val="zh-CN"/>
                            </w:rPr>
                            <w:t>2</w:t>
                          </w:r>
                          <w:r>
                            <w:rPr>
                              <w:rFonts w:hint="eastAsia" w:ascii="楷体_GB2312" w:eastAsia="楷体_GB2312"/>
                              <w:sz w:val="28"/>
                            </w:rPr>
                            <w:fldChar w:fldCharType="end"/>
                          </w:r>
                        </w:p>
                      </w:txbxContent>
                    </wps:txbx>
                    <wps:bodyPr wrap="none" lIns="0" tIns="0" rIns="0" bIns="0" upright="true">
                      <a:spAutoFit/>
                    </wps:bodyPr>
                  </wps:wsp>
                </a:graphicData>
              </a:graphic>
            </wp:anchor>
          </w:drawing>
        </mc:Choice>
        <mc:Fallback>
          <w:pict>
            <v:shape id="文本框 1029"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GFC5wuQEAAGIDAAAOAAAAAAAAAAEAIAAAADQBAABkcnMv&#10;ZTJvRG9jLnhtbFBLBQYAAAAABgAGAFkBAABfBQAAAAA=&#10;">
              <v:fill on="f" focussize="0,0"/>
              <v:stroke on="f"/>
              <v:imagedata o:title=""/>
              <o:lock v:ext="edit" aspectratio="f"/>
              <v:textbox inset="0mm,0mm,0mm,0mm" style="mso-fit-shape-to-text:t;">
                <w:txbxContent>
                  <w:p>
                    <w:pPr>
                      <w:pStyle w:val="3"/>
                      <w:jc w:val="right"/>
                    </w:pPr>
                    <w:r>
                      <w:rPr>
                        <w:rFonts w:hint="eastAsia" w:ascii="楷体_GB2312" w:eastAsia="楷体_GB2312"/>
                        <w:sz w:val="28"/>
                      </w:rPr>
                      <w:fldChar w:fldCharType="begin"/>
                    </w:r>
                    <w:r>
                      <w:rPr>
                        <w:rFonts w:hint="eastAsia" w:ascii="楷体_GB2312" w:hAnsi="Calibri" w:eastAsia="楷体_GB2312"/>
                        <w:sz w:val="28"/>
                      </w:rPr>
                      <w:instrText xml:space="preserve"> PAGE   \* MERGEFORMAT </w:instrText>
                    </w:r>
                    <w:r>
                      <w:rPr>
                        <w:rFonts w:hint="eastAsia" w:ascii="楷体_GB2312" w:eastAsia="楷体_GB2312"/>
                        <w:sz w:val="28"/>
                      </w:rPr>
                      <w:fldChar w:fldCharType="separate"/>
                    </w:r>
                    <w:r>
                      <w:rPr>
                        <w:rFonts w:ascii="楷体_GB2312" w:eastAsia="楷体_GB2312"/>
                        <w:sz w:val="28"/>
                        <w:lang w:val="zh-CN"/>
                      </w:rPr>
                      <w:t>2</w:t>
                    </w:r>
                    <w:r>
                      <w:rPr>
                        <w:rFonts w:hint="eastAsia" w:ascii="楷体_GB2312" w:eastAsia="楷体_GB2312"/>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51"/>
    <w:rsid w:val="00057758"/>
    <w:rsid w:val="001F0B7D"/>
    <w:rsid w:val="00321F44"/>
    <w:rsid w:val="00615A51"/>
    <w:rsid w:val="00D8592C"/>
    <w:rsid w:val="67FEE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rPr>
      <w:rFonts w:ascii="Calibri" w:hAnsi="Calibri" w:eastAsia="宋体" w:cs="Times New Roman"/>
      <w:szCs w:val="22"/>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Body text|2"/>
    <w:basedOn w:val="1"/>
    <w:unhideWhenUsed/>
    <w:qFormat/>
    <w:uiPriority w:val="0"/>
    <w:pPr>
      <w:shd w:val="clear" w:color="auto" w:fill="FFFFFF"/>
      <w:spacing w:line="583" w:lineRule="exact"/>
      <w:jc w:val="distribute"/>
    </w:pPr>
    <w:rPr>
      <w:rFonts w:hint="eastAsia" w:ascii="PMingLiU" w:hAnsi="PMingLiU" w:eastAsia="PMingLiU" w:cs="Times New Roman"/>
      <w:spacing w:val="50"/>
      <w:sz w:val="30"/>
      <w:szCs w:val="22"/>
    </w:rPr>
  </w:style>
  <w:style w:type="character" w:customStyle="1" w:styleId="10">
    <w:name w:val="font41"/>
    <w:basedOn w:val="6"/>
    <w:unhideWhenUsed/>
    <w:qFormat/>
    <w:uiPriority w:val="0"/>
    <w:rPr>
      <w:rFonts w:hint="eastAsia" w:ascii="黑体" w:hAnsi="宋体" w:eastAsia="黑体"/>
      <w:color w:val="000000"/>
      <w:sz w:val="20"/>
    </w:rPr>
  </w:style>
  <w:style w:type="character" w:customStyle="1" w:styleId="11">
    <w:name w:val="font51"/>
    <w:basedOn w:val="6"/>
    <w:unhideWhenUsed/>
    <w:qFormat/>
    <w:uiPriority w:val="0"/>
    <w:rPr>
      <w:rFonts w:hint="eastAsia" w:ascii="宋体" w:hAnsi="宋体" w:eastAsia="宋体"/>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86</Words>
  <Characters>88</Characters>
  <Lines>88</Lines>
  <Paragraphs>28</Paragraphs>
  <TotalTime>1</TotalTime>
  <ScaleCrop>false</ScaleCrop>
  <LinksUpToDate>false</LinksUpToDate>
  <CharactersWithSpaces>146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2021-02-05T11:21:00Z</dcterms:created>
  <dc:creator>官网官微维护员</dc:creator>
  <cp:lastModifiedBy>huanghe</cp:lastModifiedBy>
  <dcterms:modified xsi:type="dcterms:W3CDTF">2024-08-02T16:25:41Z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