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33D70">
      <w:pPr>
        <w:spacing w:before="175" w:line="224" w:lineRule="auto"/>
        <w:ind w:left="50"/>
        <w:rPr>
          <w:rFonts w:ascii="黑体" w:hAnsi="黑体" w:eastAsia="黑体" w:cs="黑体"/>
          <w:sz w:val="36"/>
          <w:szCs w:val="36"/>
        </w:rPr>
      </w:pPr>
      <w:r>
        <w:rPr>
          <w:rFonts w:ascii="黑体" w:hAnsi="黑体" w:eastAsia="黑体" w:cs="黑体"/>
          <w:b/>
          <w:bCs/>
          <w:sz w:val="36"/>
          <w:szCs w:val="36"/>
        </w:rPr>
        <w:t>附件</w:t>
      </w:r>
      <w:bookmarkStart w:id="0" w:name="_GoBack"/>
      <w:bookmarkEnd w:id="0"/>
    </w:p>
    <w:p w14:paraId="52BDB853">
      <w:pPr>
        <w:spacing w:before="151" w:line="219" w:lineRule="auto"/>
        <w:ind w:left="3551"/>
        <w:rPr>
          <w:rFonts w:ascii="宋体" w:hAnsi="宋体" w:eastAsia="宋体" w:cs="宋体"/>
          <w:sz w:val="45"/>
          <w:szCs w:val="45"/>
        </w:rPr>
      </w:pPr>
      <w:r>
        <w:rPr>
          <w:rFonts w:ascii="宋体" w:hAnsi="宋体" w:eastAsia="宋体" w:cs="宋体"/>
          <w:b/>
          <w:bCs/>
          <w:spacing w:val="-11"/>
          <w:sz w:val="45"/>
          <w:szCs w:val="45"/>
        </w:rPr>
        <w:t>医保部门全省公共服务清单调整意见表</w:t>
      </w:r>
    </w:p>
    <w:p w14:paraId="5AB87ECA">
      <w:pPr>
        <w:spacing w:line="178" w:lineRule="exact"/>
      </w:pP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4"/>
        <w:gridCol w:w="1651"/>
        <w:gridCol w:w="4443"/>
        <w:gridCol w:w="1080"/>
        <w:gridCol w:w="1139"/>
        <w:gridCol w:w="4384"/>
        <w:gridCol w:w="1124"/>
      </w:tblGrid>
      <w:tr w14:paraId="4FB73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275" w:type="pct"/>
            <w:vAlign w:val="top"/>
          </w:tcPr>
          <w:p w14:paraId="5CA71E06">
            <w:pPr>
              <w:spacing w:line="347" w:lineRule="auto"/>
              <w:rPr>
                <w:rFonts w:ascii="宋体" w:hAnsi="宋体" w:eastAsia="宋体" w:cs="宋体"/>
                <w:b/>
                <w:bCs/>
                <w:snapToGrid w:val="0"/>
                <w:color w:val="000000"/>
                <w:kern w:val="0"/>
                <w:sz w:val="20"/>
                <w:szCs w:val="20"/>
                <w:lang w:val="en-US" w:eastAsia="en-US" w:bidi="ar-SA"/>
              </w:rPr>
            </w:pPr>
          </w:p>
          <w:p w14:paraId="02EE445D">
            <w:pPr>
              <w:pStyle w:val="6"/>
              <w:spacing w:before="65" w:line="221" w:lineRule="auto"/>
              <w:ind w:left="194"/>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序号</w:t>
            </w:r>
          </w:p>
        </w:tc>
        <w:tc>
          <w:tcPr>
            <w:tcW w:w="564" w:type="pct"/>
            <w:vAlign w:val="top"/>
          </w:tcPr>
          <w:p w14:paraId="669391FD">
            <w:pPr>
              <w:spacing w:line="346" w:lineRule="auto"/>
              <w:rPr>
                <w:rFonts w:ascii="宋体" w:hAnsi="宋体" w:eastAsia="宋体" w:cs="宋体"/>
                <w:b/>
                <w:bCs/>
                <w:snapToGrid w:val="0"/>
                <w:color w:val="000000"/>
                <w:kern w:val="0"/>
                <w:sz w:val="20"/>
                <w:szCs w:val="20"/>
                <w:lang w:val="en-US" w:eastAsia="en-US" w:bidi="ar-SA"/>
              </w:rPr>
            </w:pPr>
          </w:p>
          <w:p w14:paraId="6EE2B11E">
            <w:pPr>
              <w:pStyle w:val="6"/>
              <w:spacing w:before="65" w:line="220" w:lineRule="auto"/>
              <w:ind w:left="409"/>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事项名称</w:t>
            </w:r>
          </w:p>
        </w:tc>
        <w:tc>
          <w:tcPr>
            <w:tcW w:w="1518" w:type="pct"/>
            <w:vAlign w:val="top"/>
          </w:tcPr>
          <w:p w14:paraId="29D1BD5E">
            <w:pPr>
              <w:spacing w:line="344" w:lineRule="auto"/>
              <w:rPr>
                <w:rFonts w:ascii="宋体" w:hAnsi="宋体" w:eastAsia="宋体" w:cs="宋体"/>
                <w:b/>
                <w:bCs/>
                <w:snapToGrid w:val="0"/>
                <w:color w:val="000000"/>
                <w:kern w:val="0"/>
                <w:sz w:val="20"/>
                <w:szCs w:val="20"/>
                <w:lang w:val="en-US" w:eastAsia="en-US" w:bidi="ar-SA"/>
              </w:rPr>
            </w:pPr>
          </w:p>
          <w:p w14:paraId="1C29C5AA">
            <w:pPr>
              <w:pStyle w:val="6"/>
              <w:spacing w:before="65" w:line="219" w:lineRule="auto"/>
              <w:ind w:left="1601"/>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办 理 依 据</w:t>
            </w:r>
          </w:p>
        </w:tc>
        <w:tc>
          <w:tcPr>
            <w:tcW w:w="369" w:type="pct"/>
            <w:vAlign w:val="top"/>
          </w:tcPr>
          <w:p w14:paraId="06F10DD6">
            <w:pPr>
              <w:pStyle w:val="6"/>
              <w:spacing w:before="244" w:line="235" w:lineRule="auto"/>
              <w:ind w:left="334" w:right="322"/>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实施 层级</w:t>
            </w:r>
          </w:p>
        </w:tc>
        <w:tc>
          <w:tcPr>
            <w:tcW w:w="389" w:type="pct"/>
            <w:vAlign w:val="top"/>
          </w:tcPr>
          <w:p w14:paraId="2D17C40D">
            <w:pPr>
              <w:spacing w:line="346" w:lineRule="auto"/>
              <w:rPr>
                <w:rFonts w:ascii="宋体" w:hAnsi="宋体" w:eastAsia="宋体" w:cs="宋体"/>
                <w:b/>
                <w:bCs/>
                <w:snapToGrid w:val="0"/>
                <w:color w:val="000000"/>
                <w:kern w:val="0"/>
                <w:sz w:val="20"/>
                <w:szCs w:val="20"/>
                <w:lang w:val="en-US" w:eastAsia="en-US" w:bidi="ar-SA"/>
              </w:rPr>
            </w:pPr>
          </w:p>
          <w:p w14:paraId="213EDC85">
            <w:pPr>
              <w:pStyle w:val="6"/>
              <w:spacing w:before="65" w:line="219" w:lineRule="auto"/>
              <w:ind w:left="164"/>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调整类型</w:t>
            </w:r>
          </w:p>
        </w:tc>
        <w:tc>
          <w:tcPr>
            <w:tcW w:w="1498" w:type="pct"/>
            <w:vAlign w:val="top"/>
          </w:tcPr>
          <w:p w14:paraId="1709D790">
            <w:pPr>
              <w:spacing w:line="346" w:lineRule="auto"/>
              <w:rPr>
                <w:rFonts w:ascii="宋体" w:hAnsi="宋体" w:eastAsia="宋体" w:cs="宋体"/>
                <w:b/>
                <w:bCs/>
                <w:snapToGrid w:val="0"/>
                <w:color w:val="000000"/>
                <w:kern w:val="0"/>
                <w:sz w:val="20"/>
                <w:szCs w:val="20"/>
                <w:lang w:val="en-US" w:eastAsia="en-US" w:bidi="ar-SA"/>
              </w:rPr>
            </w:pPr>
          </w:p>
          <w:p w14:paraId="1639138E">
            <w:pPr>
              <w:pStyle w:val="6"/>
              <w:spacing w:before="65" w:line="219" w:lineRule="auto"/>
              <w:ind w:left="1435"/>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调整意见及理由</w:t>
            </w:r>
          </w:p>
        </w:tc>
        <w:tc>
          <w:tcPr>
            <w:tcW w:w="384" w:type="pct"/>
            <w:vAlign w:val="top"/>
          </w:tcPr>
          <w:p w14:paraId="691E46A3">
            <w:pPr>
              <w:spacing w:line="347" w:lineRule="auto"/>
              <w:rPr>
                <w:rFonts w:ascii="宋体" w:hAnsi="宋体" w:eastAsia="宋体" w:cs="宋体"/>
                <w:b/>
                <w:bCs/>
                <w:snapToGrid w:val="0"/>
                <w:color w:val="000000"/>
                <w:kern w:val="0"/>
                <w:sz w:val="20"/>
                <w:szCs w:val="20"/>
                <w:lang w:val="en-US" w:eastAsia="en-US" w:bidi="ar-SA"/>
              </w:rPr>
            </w:pPr>
          </w:p>
          <w:p w14:paraId="328A5F77">
            <w:pPr>
              <w:pStyle w:val="6"/>
              <w:spacing w:before="65" w:line="221" w:lineRule="auto"/>
              <w:ind w:left="359"/>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备注</w:t>
            </w:r>
          </w:p>
        </w:tc>
      </w:tr>
      <w:tr w14:paraId="56185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6" w:hRule="atLeast"/>
        </w:trPr>
        <w:tc>
          <w:tcPr>
            <w:tcW w:w="275" w:type="pct"/>
            <w:vAlign w:val="top"/>
          </w:tcPr>
          <w:p w14:paraId="0EDC9031">
            <w:pPr>
              <w:spacing w:line="249" w:lineRule="auto"/>
              <w:rPr>
                <w:rFonts w:ascii="Arial"/>
                <w:sz w:val="21"/>
              </w:rPr>
            </w:pPr>
          </w:p>
          <w:p w14:paraId="57337143">
            <w:pPr>
              <w:spacing w:line="249" w:lineRule="auto"/>
              <w:rPr>
                <w:rFonts w:ascii="Arial"/>
                <w:sz w:val="21"/>
              </w:rPr>
            </w:pPr>
          </w:p>
          <w:p w14:paraId="2E042D39">
            <w:pPr>
              <w:spacing w:line="249" w:lineRule="auto"/>
              <w:rPr>
                <w:rFonts w:ascii="Arial"/>
                <w:sz w:val="21"/>
              </w:rPr>
            </w:pPr>
          </w:p>
          <w:p w14:paraId="516A5409">
            <w:pPr>
              <w:spacing w:line="250" w:lineRule="auto"/>
              <w:rPr>
                <w:rFonts w:ascii="Arial"/>
                <w:sz w:val="21"/>
              </w:rPr>
            </w:pPr>
          </w:p>
          <w:p w14:paraId="29E96153">
            <w:pPr>
              <w:spacing w:line="250" w:lineRule="auto"/>
              <w:rPr>
                <w:rFonts w:ascii="Arial"/>
                <w:sz w:val="21"/>
              </w:rPr>
            </w:pPr>
          </w:p>
          <w:p w14:paraId="104017A2">
            <w:pPr>
              <w:pStyle w:val="6"/>
              <w:spacing w:before="65" w:line="184" w:lineRule="auto"/>
              <w:ind w:left="345"/>
            </w:pPr>
            <w:r>
              <w:t>1</w:t>
            </w:r>
          </w:p>
        </w:tc>
        <w:tc>
          <w:tcPr>
            <w:tcW w:w="564" w:type="pct"/>
            <w:vAlign w:val="top"/>
          </w:tcPr>
          <w:p w14:paraId="3BDFE1F5">
            <w:pPr>
              <w:spacing w:line="269" w:lineRule="auto"/>
              <w:rPr>
                <w:rFonts w:ascii="Arial"/>
                <w:sz w:val="21"/>
              </w:rPr>
            </w:pPr>
          </w:p>
          <w:p w14:paraId="67442464">
            <w:pPr>
              <w:spacing w:line="270" w:lineRule="auto"/>
              <w:rPr>
                <w:rFonts w:ascii="Arial"/>
                <w:sz w:val="21"/>
              </w:rPr>
            </w:pPr>
          </w:p>
          <w:p w14:paraId="6AA0C7D9">
            <w:pPr>
              <w:spacing w:line="270" w:lineRule="auto"/>
              <w:rPr>
                <w:rFonts w:ascii="Arial"/>
                <w:sz w:val="21"/>
              </w:rPr>
            </w:pPr>
          </w:p>
          <w:p w14:paraId="2960B71F">
            <w:pPr>
              <w:spacing w:line="270" w:lineRule="auto"/>
              <w:rPr>
                <w:rFonts w:ascii="Arial"/>
                <w:sz w:val="21"/>
              </w:rPr>
            </w:pPr>
          </w:p>
          <w:p w14:paraId="734B74D7">
            <w:pPr>
              <w:pStyle w:val="6"/>
              <w:spacing w:before="65" w:line="220" w:lineRule="auto"/>
              <w:ind w:left="309" w:right="120" w:hanging="200"/>
            </w:pPr>
            <w:r>
              <w:rPr>
                <w:spacing w:val="1"/>
              </w:rPr>
              <w:t>医疗保险缴费基</w:t>
            </w:r>
            <w:r>
              <w:t xml:space="preserve"> </w:t>
            </w:r>
            <w:r>
              <w:rPr>
                <w:spacing w:val="2"/>
              </w:rPr>
              <w:t>数申报核定</w:t>
            </w:r>
          </w:p>
        </w:tc>
        <w:tc>
          <w:tcPr>
            <w:tcW w:w="1518" w:type="pct"/>
            <w:vAlign w:val="top"/>
          </w:tcPr>
          <w:p w14:paraId="5FB3910C">
            <w:pPr>
              <w:pStyle w:val="6"/>
              <w:spacing w:before="260" w:line="230" w:lineRule="auto"/>
              <w:ind w:left="21" w:right="213"/>
              <w:jc w:val="both"/>
              <w:rPr>
                <w:rFonts w:hint="eastAsia" w:eastAsia="宋体"/>
                <w:lang w:eastAsia="zh-CN"/>
              </w:rPr>
            </w:pPr>
            <w:r>
              <w:t>1.《中华人民共和国社会保险法》(主席令第</w:t>
            </w:r>
            <w:r>
              <w:rPr>
                <w:spacing w:val="-1"/>
              </w:rPr>
              <w:t>35</w:t>
            </w:r>
            <w:r>
              <w:t xml:space="preserve">  号)第六</w:t>
            </w:r>
            <w:r>
              <w:rPr>
                <w:rFonts w:hint="eastAsia"/>
                <w:lang w:val="en-US" w:eastAsia="zh-CN"/>
              </w:rPr>
              <w:t>十</w:t>
            </w:r>
            <w:r>
              <w:t>条：用人单位应当自行申报、按时足</w:t>
            </w:r>
            <w:r>
              <w:rPr>
                <w:spacing w:val="3"/>
              </w:rPr>
              <w:t xml:space="preserve">  </w:t>
            </w:r>
            <w:r>
              <w:rPr>
                <w:spacing w:val="-1"/>
              </w:rPr>
              <w:t>额缴纳社会保险费，非因不可抗力等法定事由不</w:t>
            </w:r>
            <w:r>
              <w:rPr>
                <w:spacing w:val="12"/>
              </w:rPr>
              <w:t xml:space="preserve"> </w:t>
            </w:r>
            <w:r>
              <w:rPr>
                <w:spacing w:val="-1"/>
              </w:rPr>
              <w:t>得缓缴、减免</w:t>
            </w:r>
            <w:r>
              <w:rPr>
                <w:rFonts w:hint="eastAsia"/>
                <w:spacing w:val="-1"/>
                <w:lang w:eastAsia="zh-CN"/>
              </w:rPr>
              <w:t>。</w:t>
            </w:r>
          </w:p>
          <w:p w14:paraId="563E5146">
            <w:pPr>
              <w:pStyle w:val="6"/>
              <w:spacing w:before="1" w:line="219" w:lineRule="auto"/>
              <w:ind w:left="21"/>
              <w:jc w:val="both"/>
            </w:pPr>
            <w:r>
              <w:t>2.《社会保险征缴暂行条例》(国务院令第2</w:t>
            </w:r>
            <w:r>
              <w:rPr>
                <w:spacing w:val="-1"/>
              </w:rPr>
              <w:t>59</w:t>
            </w:r>
          </w:p>
          <w:p w14:paraId="246D09F1">
            <w:pPr>
              <w:pStyle w:val="6"/>
              <w:spacing w:before="4" w:line="235" w:lineRule="auto"/>
              <w:ind w:left="21" w:right="212"/>
              <w:jc w:val="both"/>
            </w:pPr>
            <w:r>
              <w:t>号)第十条：缴费单位必须按月向社会保险经办</w:t>
            </w:r>
            <w:r>
              <w:rPr>
                <w:spacing w:val="5"/>
              </w:rPr>
              <w:t xml:space="preserve">  </w:t>
            </w:r>
            <w:r>
              <w:rPr>
                <w:spacing w:val="-1"/>
              </w:rPr>
              <w:t>机构申报应缴纳的社会保险费数额，经社会保险</w:t>
            </w:r>
            <w:r>
              <w:rPr>
                <w:spacing w:val="13"/>
              </w:rPr>
              <w:t xml:space="preserve"> </w:t>
            </w:r>
            <w:r>
              <w:rPr>
                <w:spacing w:val="-1"/>
              </w:rPr>
              <w:t>经办机构核定后，在规定的期限内缴纳社会保险</w:t>
            </w:r>
            <w:r>
              <w:rPr>
                <w:spacing w:val="10"/>
              </w:rPr>
              <w:t xml:space="preserve"> </w:t>
            </w:r>
            <w:r>
              <w:rPr>
                <w:spacing w:val="-10"/>
              </w:rPr>
              <w:t>费</w:t>
            </w:r>
            <w:r>
              <w:rPr>
                <w:spacing w:val="-53"/>
              </w:rPr>
              <w:t xml:space="preserve"> </w:t>
            </w:r>
            <w:r>
              <w:rPr>
                <w:spacing w:val="-10"/>
              </w:rPr>
              <w:t>。</w:t>
            </w:r>
          </w:p>
        </w:tc>
        <w:tc>
          <w:tcPr>
            <w:tcW w:w="369" w:type="pct"/>
            <w:vAlign w:val="top"/>
          </w:tcPr>
          <w:p w14:paraId="4E9A9661">
            <w:pPr>
              <w:spacing w:line="299" w:lineRule="auto"/>
              <w:rPr>
                <w:rFonts w:ascii="Arial"/>
                <w:sz w:val="21"/>
              </w:rPr>
            </w:pPr>
          </w:p>
          <w:p w14:paraId="333759D9">
            <w:pPr>
              <w:spacing w:line="299" w:lineRule="auto"/>
              <w:rPr>
                <w:rFonts w:ascii="Arial"/>
                <w:sz w:val="21"/>
              </w:rPr>
            </w:pPr>
          </w:p>
          <w:p w14:paraId="3905760C">
            <w:pPr>
              <w:spacing w:line="299" w:lineRule="auto"/>
              <w:rPr>
                <w:rFonts w:ascii="Arial"/>
                <w:sz w:val="21"/>
              </w:rPr>
            </w:pPr>
          </w:p>
          <w:p w14:paraId="45C576DD">
            <w:pPr>
              <w:spacing w:line="300" w:lineRule="auto"/>
              <w:rPr>
                <w:rFonts w:ascii="Arial"/>
                <w:sz w:val="21"/>
              </w:rPr>
            </w:pPr>
          </w:p>
          <w:p w14:paraId="407C9D8A">
            <w:pPr>
              <w:pStyle w:val="6"/>
              <w:spacing w:before="65" w:line="219" w:lineRule="auto"/>
              <w:ind w:left="34"/>
            </w:pPr>
            <w:r>
              <w:rPr>
                <w:spacing w:val="1"/>
              </w:rPr>
              <w:t>省、市、县</w:t>
            </w:r>
          </w:p>
        </w:tc>
        <w:tc>
          <w:tcPr>
            <w:tcW w:w="389" w:type="pct"/>
            <w:vAlign w:val="top"/>
          </w:tcPr>
          <w:p w14:paraId="3F4DD33B">
            <w:pPr>
              <w:spacing w:line="299" w:lineRule="auto"/>
              <w:rPr>
                <w:rFonts w:ascii="Arial"/>
                <w:sz w:val="21"/>
              </w:rPr>
            </w:pPr>
          </w:p>
          <w:p w14:paraId="0B0C8EEF">
            <w:pPr>
              <w:spacing w:line="299" w:lineRule="auto"/>
              <w:rPr>
                <w:rFonts w:ascii="Arial"/>
                <w:sz w:val="21"/>
              </w:rPr>
            </w:pPr>
          </w:p>
          <w:p w14:paraId="2BD09AF7">
            <w:pPr>
              <w:spacing w:line="300" w:lineRule="auto"/>
              <w:rPr>
                <w:rFonts w:ascii="Arial"/>
                <w:sz w:val="21"/>
              </w:rPr>
            </w:pPr>
          </w:p>
          <w:p w14:paraId="6E9FA702">
            <w:pPr>
              <w:spacing w:line="300" w:lineRule="auto"/>
              <w:rPr>
                <w:rFonts w:ascii="Arial"/>
                <w:sz w:val="21"/>
              </w:rPr>
            </w:pPr>
          </w:p>
          <w:p w14:paraId="6ADD12A6">
            <w:pPr>
              <w:pStyle w:val="6"/>
              <w:spacing w:before="65" w:line="220" w:lineRule="auto"/>
              <w:ind w:left="364"/>
            </w:pPr>
            <w:r>
              <w:rPr>
                <w:spacing w:val="-2"/>
              </w:rPr>
              <w:t>划转</w:t>
            </w:r>
          </w:p>
        </w:tc>
        <w:tc>
          <w:tcPr>
            <w:tcW w:w="1498" w:type="pct"/>
            <w:vAlign w:val="top"/>
          </w:tcPr>
          <w:p w14:paraId="483487E8">
            <w:pPr>
              <w:pStyle w:val="6"/>
              <w:spacing w:before="30" w:line="219" w:lineRule="auto"/>
              <w:ind w:left="25"/>
              <w:jc w:val="both"/>
            </w:pPr>
            <w:r>
              <w:t>划转至税务部门。</w:t>
            </w:r>
          </w:p>
          <w:p w14:paraId="73AFF100">
            <w:pPr>
              <w:pStyle w:val="6"/>
              <w:spacing w:before="2" w:line="228" w:lineRule="auto"/>
              <w:ind w:left="25" w:right="252"/>
              <w:jc w:val="both"/>
            </w:pPr>
            <w:r>
              <w:rPr>
                <w:spacing w:val="-1"/>
              </w:rPr>
              <w:t>理由：国家税务总局</w:t>
            </w:r>
            <w:r>
              <w:rPr>
                <w:rFonts w:hint="eastAsia"/>
                <w:spacing w:val="-1"/>
                <w:lang w:val="en-US" w:eastAsia="zh-CN"/>
              </w:rPr>
              <w:t xml:space="preserve"> </w:t>
            </w:r>
            <w:r>
              <w:rPr>
                <w:spacing w:val="-1"/>
              </w:rPr>
              <w:t>财政部</w:t>
            </w:r>
            <w:r>
              <w:rPr>
                <w:rFonts w:hint="eastAsia"/>
                <w:spacing w:val="-1"/>
                <w:lang w:val="en-US" w:eastAsia="zh-CN"/>
              </w:rPr>
              <w:t xml:space="preserve"> </w:t>
            </w:r>
            <w:r>
              <w:rPr>
                <w:spacing w:val="-1"/>
              </w:rPr>
              <w:t>人力资源社会保障部</w:t>
            </w:r>
            <w:r>
              <w:rPr>
                <w:rFonts w:hint="eastAsia"/>
                <w:spacing w:val="-1"/>
                <w:lang w:val="en-US" w:eastAsia="zh-CN"/>
              </w:rPr>
              <w:t xml:space="preserve"> </w:t>
            </w:r>
            <w:r>
              <w:rPr>
                <w:spacing w:val="-1"/>
              </w:rPr>
              <w:t>中国人民银行</w:t>
            </w:r>
            <w:r>
              <w:rPr>
                <w:rFonts w:hint="eastAsia"/>
                <w:spacing w:val="-1"/>
                <w:lang w:val="en-US" w:eastAsia="zh-CN"/>
              </w:rPr>
              <w:t xml:space="preserve"> </w:t>
            </w:r>
            <w:r>
              <w:rPr>
                <w:spacing w:val="-1"/>
              </w:rPr>
              <w:t>国家医疗保障局关于印发《统一社会保险费用征收模式实施方案》的通知(税</w:t>
            </w:r>
            <w:r>
              <w:t>总社保发(2022)56号)税务部门职责主要包</w:t>
            </w:r>
            <w:r>
              <w:rPr>
                <w:spacing w:val="-1"/>
              </w:rPr>
              <w:t>括：负责社会保险费申报受理、费款征收、会统</w:t>
            </w:r>
            <w:r>
              <w:t>核算、缴费检查、欠费追缴及违法处罚等工作。我省自2023年12月1日起，将此前实行的缴费人先向人力资源社会保障、医疗保障部门申报缴费工资，优化调整为缴费人直接自行向税务部门申报缴费。</w:t>
            </w:r>
          </w:p>
        </w:tc>
        <w:tc>
          <w:tcPr>
            <w:tcW w:w="384" w:type="pct"/>
            <w:vAlign w:val="top"/>
          </w:tcPr>
          <w:p w14:paraId="2CBB451C">
            <w:pPr>
              <w:rPr>
                <w:rFonts w:ascii="Arial"/>
                <w:sz w:val="21"/>
              </w:rPr>
            </w:pPr>
          </w:p>
        </w:tc>
      </w:tr>
      <w:tr w14:paraId="003A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0" w:hRule="atLeast"/>
        </w:trPr>
        <w:tc>
          <w:tcPr>
            <w:tcW w:w="275" w:type="pct"/>
            <w:vAlign w:val="top"/>
          </w:tcPr>
          <w:p w14:paraId="3D0BE186">
            <w:pPr>
              <w:spacing w:line="245" w:lineRule="auto"/>
              <w:rPr>
                <w:rFonts w:ascii="Arial"/>
                <w:sz w:val="21"/>
              </w:rPr>
            </w:pPr>
          </w:p>
          <w:p w14:paraId="2361A8B1">
            <w:pPr>
              <w:spacing w:line="245" w:lineRule="auto"/>
              <w:rPr>
                <w:rFonts w:ascii="Arial"/>
                <w:sz w:val="21"/>
              </w:rPr>
            </w:pPr>
          </w:p>
          <w:p w14:paraId="5C557541">
            <w:pPr>
              <w:spacing w:line="245" w:lineRule="auto"/>
              <w:rPr>
                <w:rFonts w:ascii="Arial"/>
                <w:sz w:val="21"/>
              </w:rPr>
            </w:pPr>
          </w:p>
          <w:p w14:paraId="13371593">
            <w:pPr>
              <w:spacing w:line="245" w:lineRule="auto"/>
              <w:rPr>
                <w:rFonts w:ascii="Arial"/>
                <w:sz w:val="21"/>
              </w:rPr>
            </w:pPr>
          </w:p>
          <w:p w14:paraId="73118DEE">
            <w:pPr>
              <w:spacing w:line="245" w:lineRule="auto"/>
              <w:rPr>
                <w:rFonts w:ascii="Arial"/>
                <w:sz w:val="21"/>
              </w:rPr>
            </w:pPr>
          </w:p>
          <w:p w14:paraId="52BFEA83">
            <w:pPr>
              <w:spacing w:line="246" w:lineRule="auto"/>
              <w:rPr>
                <w:rFonts w:ascii="Arial"/>
                <w:sz w:val="21"/>
              </w:rPr>
            </w:pPr>
          </w:p>
          <w:p w14:paraId="2D96473B">
            <w:pPr>
              <w:pStyle w:val="6"/>
              <w:spacing w:before="65" w:line="183" w:lineRule="auto"/>
              <w:ind w:left="345"/>
            </w:pPr>
            <w:r>
              <w:t>2</w:t>
            </w:r>
          </w:p>
        </w:tc>
        <w:tc>
          <w:tcPr>
            <w:tcW w:w="564" w:type="pct"/>
            <w:vAlign w:val="top"/>
          </w:tcPr>
          <w:p w14:paraId="3C618683">
            <w:pPr>
              <w:spacing w:line="262" w:lineRule="auto"/>
              <w:rPr>
                <w:rFonts w:ascii="Arial"/>
                <w:sz w:val="21"/>
              </w:rPr>
            </w:pPr>
          </w:p>
          <w:p w14:paraId="46A4C636">
            <w:pPr>
              <w:spacing w:line="262" w:lineRule="auto"/>
              <w:rPr>
                <w:rFonts w:ascii="Arial"/>
                <w:sz w:val="21"/>
              </w:rPr>
            </w:pPr>
          </w:p>
          <w:p w14:paraId="3DA48490">
            <w:pPr>
              <w:spacing w:line="262" w:lineRule="auto"/>
              <w:rPr>
                <w:rFonts w:ascii="Arial"/>
                <w:sz w:val="21"/>
              </w:rPr>
            </w:pPr>
          </w:p>
          <w:p w14:paraId="6E91DD5A">
            <w:pPr>
              <w:spacing w:line="262" w:lineRule="auto"/>
              <w:rPr>
                <w:rFonts w:ascii="Arial"/>
                <w:sz w:val="21"/>
              </w:rPr>
            </w:pPr>
          </w:p>
          <w:p w14:paraId="56706F06">
            <w:pPr>
              <w:spacing w:line="262" w:lineRule="auto"/>
              <w:rPr>
                <w:rFonts w:ascii="Arial"/>
                <w:sz w:val="21"/>
              </w:rPr>
            </w:pPr>
          </w:p>
          <w:p w14:paraId="5BB69BB9">
            <w:pPr>
              <w:pStyle w:val="6"/>
              <w:spacing w:before="65" w:line="229" w:lineRule="auto"/>
              <w:ind w:left="109" w:right="116"/>
            </w:pPr>
            <w:r>
              <w:rPr>
                <w:spacing w:val="1"/>
              </w:rPr>
              <w:t>重点救助对象医</w:t>
            </w:r>
            <w:r>
              <w:rPr>
                <w:spacing w:val="4"/>
              </w:rPr>
              <w:t xml:space="preserve"> </w:t>
            </w:r>
            <w:r>
              <w:rPr>
                <w:spacing w:val="-1"/>
              </w:rPr>
              <w:t>疗救助标准公布</w:t>
            </w:r>
          </w:p>
        </w:tc>
        <w:tc>
          <w:tcPr>
            <w:tcW w:w="1518" w:type="pct"/>
            <w:vAlign w:val="top"/>
          </w:tcPr>
          <w:p w14:paraId="42EE899A">
            <w:pPr>
              <w:pStyle w:val="6"/>
              <w:spacing w:before="65" w:line="230" w:lineRule="auto"/>
              <w:ind w:right="122"/>
              <w:jc w:val="both"/>
              <w:rPr>
                <w:spacing w:val="-1"/>
              </w:rPr>
            </w:pPr>
            <w:r>
              <w:rPr>
                <w:spacing w:val="-1"/>
              </w:rPr>
              <w:t>1.《国务院办公厅转发民政部等部门关于进一步完善医疗救助制度全面开展重特大疾病医疗救助工作意见的通知》(国办发(2015)30号):重点救助对象在定点医疗机构发生的政策范围内住院费用中，对经基本医疗保险、城乡居民大病保险及各类补充医疗保险、商业保险报销后的个人负担费用，在年度救助限额内按不低于70%的比例给予救助。</w:t>
            </w:r>
          </w:p>
          <w:p w14:paraId="5220FE92">
            <w:pPr>
              <w:pStyle w:val="6"/>
              <w:spacing w:before="65" w:line="230" w:lineRule="auto"/>
              <w:ind w:left="25" w:right="122"/>
              <w:jc w:val="both"/>
            </w:pPr>
            <w:r>
              <w:rPr>
                <w:spacing w:val="-1"/>
              </w:rPr>
              <w:t>2.《国务院办公厅关于健全重特大疾病医疗保险和救助制度的意见》(国办发(2021)42号):聚焦减轻困难群众重特大疾病医疗费用负担，建立健全防范和化解因病致贫返贫长效机制，强化基本医保、大病保险、医疗救助综合保障，实事求是确定困难群众医疗保障待遇标准，确保困难群众基本医疗有保障，不因罹患重特大疾病影响基本生活，同时避免过度保障。</w:t>
            </w:r>
          </w:p>
        </w:tc>
        <w:tc>
          <w:tcPr>
            <w:tcW w:w="369" w:type="pct"/>
            <w:vAlign w:val="top"/>
          </w:tcPr>
          <w:p w14:paraId="50157837">
            <w:pPr>
              <w:spacing w:line="284" w:lineRule="auto"/>
              <w:rPr>
                <w:rFonts w:ascii="Arial"/>
                <w:sz w:val="21"/>
              </w:rPr>
            </w:pPr>
          </w:p>
          <w:p w14:paraId="7164B4DD">
            <w:pPr>
              <w:spacing w:line="284" w:lineRule="auto"/>
              <w:rPr>
                <w:rFonts w:ascii="Arial"/>
                <w:sz w:val="21"/>
              </w:rPr>
            </w:pPr>
          </w:p>
          <w:p w14:paraId="3784E015">
            <w:pPr>
              <w:spacing w:line="284" w:lineRule="auto"/>
              <w:rPr>
                <w:rFonts w:ascii="Arial"/>
                <w:sz w:val="21"/>
              </w:rPr>
            </w:pPr>
          </w:p>
          <w:p w14:paraId="7CB1BACD">
            <w:pPr>
              <w:spacing w:line="284" w:lineRule="auto"/>
              <w:rPr>
                <w:rFonts w:ascii="Arial"/>
                <w:sz w:val="21"/>
              </w:rPr>
            </w:pPr>
          </w:p>
          <w:p w14:paraId="24F3445D">
            <w:pPr>
              <w:spacing w:line="284" w:lineRule="auto"/>
              <w:rPr>
                <w:rFonts w:ascii="Arial"/>
                <w:sz w:val="21"/>
              </w:rPr>
            </w:pPr>
          </w:p>
          <w:p w14:paraId="69158157">
            <w:pPr>
              <w:pStyle w:val="6"/>
              <w:spacing w:before="65" w:line="219" w:lineRule="auto"/>
              <w:ind w:left="34"/>
            </w:pPr>
            <w:r>
              <w:rPr>
                <w:spacing w:val="5"/>
              </w:rPr>
              <w:t>市、县、乡</w:t>
            </w:r>
          </w:p>
        </w:tc>
        <w:tc>
          <w:tcPr>
            <w:tcW w:w="389" w:type="pct"/>
            <w:vAlign w:val="top"/>
          </w:tcPr>
          <w:p w14:paraId="2A228591">
            <w:pPr>
              <w:spacing w:line="284" w:lineRule="auto"/>
              <w:rPr>
                <w:rFonts w:ascii="Arial"/>
                <w:sz w:val="21"/>
              </w:rPr>
            </w:pPr>
          </w:p>
          <w:p w14:paraId="501D36B8">
            <w:pPr>
              <w:spacing w:line="284" w:lineRule="auto"/>
              <w:rPr>
                <w:rFonts w:ascii="Arial"/>
                <w:sz w:val="21"/>
              </w:rPr>
            </w:pPr>
          </w:p>
          <w:p w14:paraId="5C097B1D">
            <w:pPr>
              <w:spacing w:line="285" w:lineRule="auto"/>
              <w:rPr>
                <w:rFonts w:ascii="Arial"/>
                <w:sz w:val="21"/>
              </w:rPr>
            </w:pPr>
          </w:p>
          <w:p w14:paraId="3F457A19">
            <w:pPr>
              <w:spacing w:line="285" w:lineRule="auto"/>
              <w:rPr>
                <w:rFonts w:ascii="Arial"/>
                <w:sz w:val="21"/>
              </w:rPr>
            </w:pPr>
          </w:p>
          <w:p w14:paraId="7034482F">
            <w:pPr>
              <w:spacing w:line="285" w:lineRule="auto"/>
              <w:rPr>
                <w:rFonts w:ascii="Arial"/>
                <w:sz w:val="21"/>
              </w:rPr>
            </w:pPr>
          </w:p>
          <w:p w14:paraId="482C7CB4">
            <w:pPr>
              <w:pStyle w:val="6"/>
              <w:spacing w:before="65" w:line="221" w:lineRule="auto"/>
              <w:ind w:left="364"/>
            </w:pPr>
            <w:r>
              <w:rPr>
                <w:spacing w:val="5"/>
              </w:rPr>
              <w:t>规范</w:t>
            </w:r>
          </w:p>
        </w:tc>
        <w:tc>
          <w:tcPr>
            <w:tcW w:w="1498" w:type="pct"/>
            <w:vAlign w:val="top"/>
          </w:tcPr>
          <w:p w14:paraId="2BD44420">
            <w:pPr>
              <w:spacing w:line="305" w:lineRule="auto"/>
              <w:jc w:val="both"/>
              <w:rPr>
                <w:rFonts w:ascii="Arial"/>
                <w:sz w:val="21"/>
              </w:rPr>
            </w:pPr>
          </w:p>
          <w:p w14:paraId="303B71B1">
            <w:pPr>
              <w:pStyle w:val="6"/>
              <w:spacing w:before="65" w:line="230" w:lineRule="auto"/>
              <w:ind w:left="25" w:right="122"/>
              <w:jc w:val="both"/>
            </w:pPr>
            <w:r>
              <w:t>增加办理依据：《安徽省人民政府办公厅关于印</w:t>
            </w:r>
            <w:r>
              <w:rPr>
                <w:spacing w:val="17"/>
              </w:rPr>
              <w:t xml:space="preserve"> </w:t>
            </w:r>
            <w:r>
              <w:t>发安徽省健全重特大疾病医疗保险和救助制度若</w:t>
            </w:r>
            <w:r>
              <w:rPr>
                <w:spacing w:val="9"/>
              </w:rPr>
              <w:t xml:space="preserve"> </w:t>
            </w:r>
            <w:r>
              <w:rPr>
                <w:spacing w:val="-1"/>
              </w:rPr>
              <w:t>于举措的通知》(皖政办(2022)6号):特困人</w:t>
            </w:r>
            <w:r>
              <w:t>员救助比例不低于80%,低保对象救助比例不低于</w:t>
            </w:r>
            <w:r>
              <w:rPr>
                <w:spacing w:val="11"/>
              </w:rPr>
              <w:t xml:space="preserve"> </w:t>
            </w:r>
            <w:r>
              <w:t>75%;在起付标准以上，低保边缘家庭成员救助比</w:t>
            </w:r>
            <w:r>
              <w:rPr>
                <w:spacing w:val="11"/>
              </w:rPr>
              <w:t xml:space="preserve"> </w:t>
            </w:r>
            <w:r>
              <w:rPr>
                <w:spacing w:val="-1"/>
              </w:rPr>
              <w:t>例不低于60%,因病致贫重病患者救助比例不低于</w:t>
            </w:r>
            <w:r>
              <w:rPr>
                <w:spacing w:val="14"/>
              </w:rPr>
              <w:t xml:space="preserve"> </w:t>
            </w:r>
            <w:r>
              <w:rPr>
                <w:spacing w:val="-1"/>
              </w:rPr>
              <w:t>50%;年度救助限额最高5万元左右。具体起付标</w:t>
            </w:r>
            <w:r>
              <w:rPr>
                <w:spacing w:val="5"/>
              </w:rPr>
              <w:t xml:space="preserve">  </w:t>
            </w:r>
            <w:r>
              <w:rPr>
                <w:spacing w:val="-1"/>
              </w:rPr>
              <w:t>准、救助比例和年度最高救助限额，由各统筹地</w:t>
            </w:r>
            <w:r>
              <w:rPr>
                <w:spacing w:val="10"/>
              </w:rPr>
              <w:t xml:space="preserve"> </w:t>
            </w:r>
            <w:r>
              <w:t>区根据医疗救助基金运行情况适宜适度确定，防</w:t>
            </w:r>
            <w:r>
              <w:rPr>
                <w:spacing w:val="9"/>
              </w:rPr>
              <w:t xml:space="preserve"> </w:t>
            </w:r>
            <w:r>
              <w:t>止泛福利化倾向。</w:t>
            </w:r>
          </w:p>
        </w:tc>
        <w:tc>
          <w:tcPr>
            <w:tcW w:w="384" w:type="pct"/>
            <w:vAlign w:val="top"/>
          </w:tcPr>
          <w:p w14:paraId="0F20A341">
            <w:pPr>
              <w:rPr>
                <w:rFonts w:ascii="Arial"/>
                <w:sz w:val="21"/>
              </w:rPr>
            </w:pPr>
          </w:p>
        </w:tc>
      </w:tr>
    </w:tbl>
    <w:p w14:paraId="41398EB9">
      <w:pPr>
        <w:rPr>
          <w:rFonts w:ascii="Arial"/>
          <w:sz w:val="21"/>
        </w:rPr>
      </w:pPr>
    </w:p>
    <w:p w14:paraId="768775AB">
      <w:pPr>
        <w:rPr>
          <w:rFonts w:ascii="Arial" w:hAnsi="Arial" w:eastAsia="Arial" w:cs="Arial"/>
          <w:sz w:val="21"/>
          <w:szCs w:val="21"/>
        </w:rPr>
        <w:sectPr>
          <w:footerReference r:id="rId5" w:type="default"/>
          <w:pgSz w:w="16960" w:h="12100"/>
          <w:pgMar w:top="1028" w:right="1274" w:bottom="400" w:left="1065" w:header="0" w:footer="0" w:gutter="0"/>
          <w:cols w:space="720" w:num="1"/>
        </w:sectPr>
      </w:pPr>
    </w:p>
    <w:p w14:paraId="30B837B8">
      <w:pPr>
        <w:spacing w:line="50" w:lineRule="auto"/>
        <w:rPr>
          <w:rFonts w:ascii="Arial"/>
          <w:sz w:val="2"/>
        </w:rPr>
      </w:pPr>
    </w:p>
    <w:tbl>
      <w:tblPr>
        <w:tblStyle w:val="5"/>
        <w:tblW w:w="14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649"/>
        <w:gridCol w:w="4437"/>
        <w:gridCol w:w="1089"/>
        <w:gridCol w:w="1139"/>
        <w:gridCol w:w="4377"/>
        <w:gridCol w:w="1114"/>
      </w:tblGrid>
      <w:tr w14:paraId="74B9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804" w:type="dxa"/>
            <w:vAlign w:val="top"/>
          </w:tcPr>
          <w:p w14:paraId="420C3534">
            <w:pPr>
              <w:spacing w:line="337" w:lineRule="auto"/>
              <w:rPr>
                <w:rFonts w:ascii="宋体" w:hAnsi="宋体" w:eastAsia="宋体" w:cs="宋体"/>
                <w:b/>
                <w:bCs/>
                <w:snapToGrid w:val="0"/>
                <w:color w:val="000000"/>
                <w:kern w:val="0"/>
                <w:sz w:val="20"/>
                <w:szCs w:val="20"/>
                <w:lang w:val="en-US" w:eastAsia="en-US" w:bidi="ar-SA"/>
              </w:rPr>
            </w:pPr>
          </w:p>
          <w:p w14:paraId="1D96E9F2">
            <w:pPr>
              <w:pStyle w:val="6"/>
              <w:spacing w:before="65" w:line="221" w:lineRule="auto"/>
              <w:ind w:left="195"/>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序号</w:t>
            </w:r>
          </w:p>
        </w:tc>
        <w:tc>
          <w:tcPr>
            <w:tcW w:w="1649" w:type="dxa"/>
            <w:vAlign w:val="top"/>
          </w:tcPr>
          <w:p w14:paraId="16FA5DB8">
            <w:pPr>
              <w:spacing w:line="336" w:lineRule="auto"/>
              <w:rPr>
                <w:rFonts w:ascii="宋体" w:hAnsi="宋体" w:eastAsia="宋体" w:cs="宋体"/>
                <w:b/>
                <w:bCs/>
                <w:snapToGrid w:val="0"/>
                <w:color w:val="000000"/>
                <w:kern w:val="0"/>
                <w:sz w:val="20"/>
                <w:szCs w:val="20"/>
                <w:lang w:val="en-US" w:eastAsia="en-US" w:bidi="ar-SA"/>
              </w:rPr>
            </w:pPr>
          </w:p>
          <w:p w14:paraId="27465B47">
            <w:pPr>
              <w:pStyle w:val="6"/>
              <w:spacing w:before="65" w:line="220" w:lineRule="auto"/>
              <w:ind w:left="410"/>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事项名称</w:t>
            </w:r>
          </w:p>
        </w:tc>
        <w:tc>
          <w:tcPr>
            <w:tcW w:w="4437" w:type="dxa"/>
            <w:vAlign w:val="top"/>
          </w:tcPr>
          <w:p w14:paraId="09A7CDC8">
            <w:pPr>
              <w:spacing w:line="332" w:lineRule="auto"/>
              <w:rPr>
                <w:rFonts w:ascii="宋体" w:hAnsi="宋体" w:eastAsia="宋体" w:cs="宋体"/>
                <w:b/>
                <w:bCs/>
                <w:snapToGrid w:val="0"/>
                <w:color w:val="000000"/>
                <w:kern w:val="0"/>
                <w:sz w:val="20"/>
                <w:szCs w:val="20"/>
                <w:lang w:val="en-US" w:eastAsia="en-US" w:bidi="ar-SA"/>
              </w:rPr>
            </w:pPr>
          </w:p>
          <w:p w14:paraId="20A7A607">
            <w:pPr>
              <w:pStyle w:val="6"/>
              <w:spacing w:before="65" w:line="219" w:lineRule="auto"/>
              <w:ind w:left="1624"/>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办 理 依 据</w:t>
            </w:r>
          </w:p>
        </w:tc>
        <w:tc>
          <w:tcPr>
            <w:tcW w:w="1089" w:type="dxa"/>
            <w:vAlign w:val="top"/>
          </w:tcPr>
          <w:p w14:paraId="7DE3A28A">
            <w:pPr>
              <w:pStyle w:val="6"/>
              <w:spacing w:before="253" w:line="225" w:lineRule="auto"/>
              <w:ind w:left="335" w:right="331"/>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实施 层级</w:t>
            </w:r>
          </w:p>
        </w:tc>
        <w:tc>
          <w:tcPr>
            <w:tcW w:w="1139" w:type="dxa"/>
            <w:vAlign w:val="top"/>
          </w:tcPr>
          <w:p w14:paraId="781BA3BA">
            <w:pPr>
              <w:spacing w:line="336" w:lineRule="auto"/>
              <w:rPr>
                <w:rFonts w:ascii="宋体" w:hAnsi="宋体" w:eastAsia="宋体" w:cs="宋体"/>
                <w:b/>
                <w:bCs/>
                <w:snapToGrid w:val="0"/>
                <w:color w:val="000000"/>
                <w:kern w:val="0"/>
                <w:sz w:val="20"/>
                <w:szCs w:val="20"/>
                <w:lang w:val="en-US" w:eastAsia="en-US" w:bidi="ar-SA"/>
              </w:rPr>
            </w:pPr>
          </w:p>
          <w:p w14:paraId="266CB710">
            <w:pPr>
              <w:pStyle w:val="6"/>
              <w:spacing w:before="65" w:line="219" w:lineRule="auto"/>
              <w:ind w:left="166"/>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调整类型</w:t>
            </w:r>
          </w:p>
        </w:tc>
        <w:tc>
          <w:tcPr>
            <w:tcW w:w="4377" w:type="dxa"/>
            <w:vAlign w:val="top"/>
          </w:tcPr>
          <w:p w14:paraId="40D1BECD">
            <w:pPr>
              <w:spacing w:line="333" w:lineRule="auto"/>
              <w:rPr>
                <w:rFonts w:ascii="宋体" w:hAnsi="宋体" w:eastAsia="宋体" w:cs="宋体"/>
                <w:b/>
                <w:bCs/>
                <w:snapToGrid w:val="0"/>
                <w:color w:val="000000"/>
                <w:kern w:val="0"/>
                <w:sz w:val="20"/>
                <w:szCs w:val="20"/>
                <w:lang w:val="en-US" w:eastAsia="en-US" w:bidi="ar-SA"/>
              </w:rPr>
            </w:pPr>
          </w:p>
          <w:p w14:paraId="6D257CE1">
            <w:pPr>
              <w:pStyle w:val="6"/>
              <w:spacing w:before="65" w:line="219" w:lineRule="auto"/>
              <w:ind w:left="1419"/>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调整意见及理由</w:t>
            </w:r>
          </w:p>
        </w:tc>
        <w:tc>
          <w:tcPr>
            <w:tcW w:w="1114" w:type="dxa"/>
            <w:vAlign w:val="top"/>
          </w:tcPr>
          <w:p w14:paraId="6197168A">
            <w:pPr>
              <w:spacing w:line="337" w:lineRule="auto"/>
              <w:rPr>
                <w:rFonts w:ascii="宋体" w:hAnsi="宋体" w:eastAsia="宋体" w:cs="宋体"/>
                <w:b/>
                <w:bCs/>
                <w:snapToGrid w:val="0"/>
                <w:color w:val="000000"/>
                <w:kern w:val="0"/>
                <w:sz w:val="20"/>
                <w:szCs w:val="20"/>
                <w:lang w:val="en-US" w:eastAsia="en-US" w:bidi="ar-SA"/>
              </w:rPr>
            </w:pPr>
          </w:p>
          <w:p w14:paraId="19217844">
            <w:pPr>
              <w:pStyle w:val="6"/>
              <w:spacing w:before="65" w:line="221" w:lineRule="auto"/>
              <w:ind w:left="370"/>
              <w:rPr>
                <w:rFonts w:ascii="宋体" w:hAnsi="宋体" w:eastAsia="宋体" w:cs="宋体"/>
                <w:b/>
                <w:bCs/>
                <w:snapToGrid w:val="0"/>
                <w:color w:val="000000"/>
                <w:kern w:val="0"/>
                <w:sz w:val="20"/>
                <w:szCs w:val="20"/>
                <w:lang w:val="en-US" w:eastAsia="en-US" w:bidi="ar-SA"/>
              </w:rPr>
            </w:pPr>
            <w:r>
              <w:rPr>
                <w:rFonts w:ascii="宋体" w:hAnsi="宋体" w:eastAsia="宋体" w:cs="宋体"/>
                <w:b/>
                <w:bCs/>
                <w:snapToGrid w:val="0"/>
                <w:color w:val="000000"/>
                <w:kern w:val="0"/>
                <w:sz w:val="20"/>
                <w:szCs w:val="20"/>
                <w:lang w:val="en-US" w:eastAsia="en-US" w:bidi="ar-SA"/>
              </w:rPr>
              <w:t>备注</w:t>
            </w:r>
          </w:p>
        </w:tc>
      </w:tr>
      <w:tr w14:paraId="2515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804" w:type="dxa"/>
            <w:vAlign w:val="top"/>
          </w:tcPr>
          <w:p w14:paraId="2D68001A">
            <w:pPr>
              <w:spacing w:line="251" w:lineRule="auto"/>
              <w:rPr>
                <w:rFonts w:ascii="Arial"/>
                <w:sz w:val="21"/>
              </w:rPr>
            </w:pPr>
          </w:p>
          <w:p w14:paraId="7721007F">
            <w:pPr>
              <w:spacing w:line="252" w:lineRule="auto"/>
              <w:rPr>
                <w:rFonts w:ascii="Arial"/>
                <w:sz w:val="21"/>
              </w:rPr>
            </w:pPr>
          </w:p>
          <w:p w14:paraId="4090E7F3">
            <w:pPr>
              <w:spacing w:line="252" w:lineRule="auto"/>
              <w:rPr>
                <w:rFonts w:ascii="Arial"/>
                <w:sz w:val="21"/>
              </w:rPr>
            </w:pPr>
          </w:p>
          <w:p w14:paraId="2ADF2FA1">
            <w:pPr>
              <w:spacing w:line="252" w:lineRule="auto"/>
              <w:rPr>
                <w:rFonts w:ascii="Arial"/>
                <w:sz w:val="21"/>
              </w:rPr>
            </w:pPr>
          </w:p>
          <w:p w14:paraId="19D6A153">
            <w:pPr>
              <w:spacing w:line="252" w:lineRule="auto"/>
              <w:rPr>
                <w:rFonts w:ascii="Arial"/>
                <w:sz w:val="21"/>
              </w:rPr>
            </w:pPr>
          </w:p>
          <w:p w14:paraId="6E309391">
            <w:pPr>
              <w:pStyle w:val="6"/>
              <w:spacing w:before="65" w:line="183" w:lineRule="auto"/>
              <w:ind w:left="345"/>
            </w:pPr>
            <w:r>
              <w:t>3</w:t>
            </w:r>
          </w:p>
        </w:tc>
        <w:tc>
          <w:tcPr>
            <w:tcW w:w="1649" w:type="dxa"/>
            <w:vAlign w:val="top"/>
          </w:tcPr>
          <w:p w14:paraId="33E969DB">
            <w:pPr>
              <w:spacing w:line="264" w:lineRule="auto"/>
              <w:rPr>
                <w:rFonts w:ascii="Arial"/>
                <w:sz w:val="21"/>
              </w:rPr>
            </w:pPr>
          </w:p>
          <w:p w14:paraId="39C29C01">
            <w:pPr>
              <w:spacing w:line="264" w:lineRule="auto"/>
              <w:rPr>
                <w:rFonts w:ascii="Arial"/>
                <w:sz w:val="21"/>
              </w:rPr>
            </w:pPr>
          </w:p>
          <w:p w14:paraId="13CC51A3">
            <w:pPr>
              <w:spacing w:line="264" w:lineRule="auto"/>
              <w:rPr>
                <w:rFonts w:ascii="Arial"/>
                <w:sz w:val="21"/>
              </w:rPr>
            </w:pPr>
          </w:p>
          <w:p w14:paraId="66E56D6E">
            <w:pPr>
              <w:spacing w:line="265" w:lineRule="auto"/>
              <w:rPr>
                <w:rFonts w:ascii="Arial"/>
                <w:sz w:val="21"/>
              </w:rPr>
            </w:pPr>
          </w:p>
          <w:p w14:paraId="7C5AE3B9">
            <w:pPr>
              <w:pStyle w:val="6"/>
              <w:spacing w:before="65" w:line="230" w:lineRule="auto"/>
              <w:ind w:left="710" w:right="120" w:hanging="599"/>
            </w:pPr>
            <w:r>
              <w:rPr>
                <w:spacing w:val="1"/>
              </w:rPr>
              <w:t>医疗救助资金给</w:t>
            </w:r>
            <w:r>
              <w:t xml:space="preserve"> 付</w:t>
            </w:r>
          </w:p>
        </w:tc>
        <w:tc>
          <w:tcPr>
            <w:tcW w:w="4437" w:type="dxa"/>
            <w:vAlign w:val="top"/>
          </w:tcPr>
          <w:p w14:paraId="46995F06">
            <w:pPr>
              <w:spacing w:line="285" w:lineRule="auto"/>
              <w:jc w:val="both"/>
              <w:rPr>
                <w:rFonts w:ascii="Arial"/>
                <w:sz w:val="21"/>
              </w:rPr>
            </w:pPr>
          </w:p>
          <w:p w14:paraId="37AE0B5E">
            <w:pPr>
              <w:spacing w:line="286" w:lineRule="auto"/>
              <w:jc w:val="both"/>
              <w:rPr>
                <w:rFonts w:ascii="Arial"/>
                <w:sz w:val="21"/>
              </w:rPr>
            </w:pPr>
          </w:p>
          <w:p w14:paraId="6F01A76B">
            <w:pPr>
              <w:pStyle w:val="6"/>
              <w:spacing w:before="65" w:line="225" w:lineRule="auto"/>
              <w:ind w:left="21" w:right="216"/>
              <w:jc w:val="both"/>
            </w:pPr>
            <w:r>
              <w:rPr>
                <w:spacing w:val="-4"/>
              </w:rPr>
              <w:t>1.安徽省人民政府办公厅转发省民政厅等部门《</w:t>
            </w:r>
            <w:r>
              <w:rPr>
                <w:spacing w:val="6"/>
              </w:rPr>
              <w:t xml:space="preserve"> </w:t>
            </w:r>
            <w:r>
              <w:rPr>
                <w:spacing w:val="-1"/>
              </w:rPr>
              <w:t>关于进一步完善医疗救助制度全面开展重特大疾</w:t>
            </w:r>
          </w:p>
          <w:p w14:paraId="2C0937DD">
            <w:pPr>
              <w:pStyle w:val="6"/>
              <w:spacing w:before="11" w:line="231" w:lineRule="auto"/>
              <w:ind w:left="21" w:right="612"/>
              <w:jc w:val="both"/>
            </w:pPr>
            <w:r>
              <w:rPr>
                <w:spacing w:val="-1"/>
              </w:rPr>
              <w:t>病医疗救助工作实施意见的通知》(皖政办(2015)65号)全文。</w:t>
            </w:r>
          </w:p>
          <w:p w14:paraId="2787A1C7">
            <w:pPr>
              <w:pStyle w:val="6"/>
              <w:spacing w:line="225" w:lineRule="auto"/>
              <w:ind w:left="21" w:right="222"/>
              <w:jc w:val="both"/>
            </w:pPr>
            <w:r>
              <w:rPr>
                <w:spacing w:val="-1"/>
              </w:rPr>
              <w:t>2.《困难人员救助暨困难职工帮扶工程实施办法</w:t>
            </w:r>
            <w:r>
              <w:rPr>
                <w:spacing w:val="3"/>
              </w:rPr>
              <w:t xml:space="preserve"> </w:t>
            </w:r>
            <w:r>
              <w:rPr>
                <w:spacing w:val="-1"/>
              </w:rPr>
              <w:t>之城乡医疗救助》(安徽省民生工程)全文。</w:t>
            </w:r>
          </w:p>
        </w:tc>
        <w:tc>
          <w:tcPr>
            <w:tcW w:w="1089" w:type="dxa"/>
            <w:vAlign w:val="top"/>
          </w:tcPr>
          <w:p w14:paraId="19C87663">
            <w:pPr>
              <w:spacing w:line="241" w:lineRule="auto"/>
              <w:rPr>
                <w:rFonts w:ascii="Arial"/>
                <w:sz w:val="21"/>
              </w:rPr>
            </w:pPr>
          </w:p>
          <w:p w14:paraId="39240282">
            <w:pPr>
              <w:spacing w:line="241" w:lineRule="auto"/>
              <w:rPr>
                <w:rFonts w:ascii="Arial"/>
                <w:sz w:val="21"/>
              </w:rPr>
            </w:pPr>
          </w:p>
          <w:p w14:paraId="28785169">
            <w:pPr>
              <w:spacing w:line="241" w:lineRule="auto"/>
              <w:rPr>
                <w:rFonts w:ascii="Arial"/>
                <w:sz w:val="21"/>
              </w:rPr>
            </w:pPr>
          </w:p>
          <w:p w14:paraId="319F896D">
            <w:pPr>
              <w:spacing w:line="242" w:lineRule="auto"/>
              <w:rPr>
                <w:rFonts w:ascii="Arial"/>
                <w:sz w:val="21"/>
              </w:rPr>
            </w:pPr>
          </w:p>
          <w:p w14:paraId="7F98F6D7">
            <w:pPr>
              <w:spacing w:line="242" w:lineRule="auto"/>
              <w:rPr>
                <w:rFonts w:ascii="Arial"/>
                <w:sz w:val="21"/>
              </w:rPr>
            </w:pPr>
          </w:p>
          <w:p w14:paraId="4B56A472">
            <w:pPr>
              <w:pStyle w:val="6"/>
              <w:spacing w:before="65" w:line="219" w:lineRule="auto"/>
              <w:ind w:left="235"/>
            </w:pPr>
            <w:r>
              <w:rPr>
                <w:spacing w:val="3"/>
              </w:rPr>
              <w:t>市、县</w:t>
            </w:r>
          </w:p>
        </w:tc>
        <w:tc>
          <w:tcPr>
            <w:tcW w:w="1139" w:type="dxa"/>
            <w:vAlign w:val="top"/>
          </w:tcPr>
          <w:p w14:paraId="686D6FFC">
            <w:pPr>
              <w:spacing w:line="242" w:lineRule="auto"/>
              <w:rPr>
                <w:rFonts w:ascii="Arial"/>
                <w:sz w:val="21"/>
              </w:rPr>
            </w:pPr>
          </w:p>
          <w:p w14:paraId="3EF27A27">
            <w:pPr>
              <w:spacing w:line="242" w:lineRule="auto"/>
              <w:rPr>
                <w:rFonts w:ascii="Arial"/>
                <w:sz w:val="21"/>
              </w:rPr>
            </w:pPr>
          </w:p>
          <w:p w14:paraId="641B6BCB">
            <w:pPr>
              <w:spacing w:line="242" w:lineRule="auto"/>
              <w:rPr>
                <w:rFonts w:ascii="Arial"/>
                <w:sz w:val="21"/>
              </w:rPr>
            </w:pPr>
          </w:p>
          <w:p w14:paraId="7E1ECEC2">
            <w:pPr>
              <w:spacing w:line="242" w:lineRule="auto"/>
              <w:rPr>
                <w:rFonts w:ascii="Arial"/>
                <w:sz w:val="21"/>
              </w:rPr>
            </w:pPr>
          </w:p>
          <w:p w14:paraId="1BE734DD">
            <w:pPr>
              <w:spacing w:line="242" w:lineRule="auto"/>
              <w:rPr>
                <w:rFonts w:ascii="Arial"/>
                <w:sz w:val="21"/>
              </w:rPr>
            </w:pPr>
          </w:p>
          <w:p w14:paraId="6F6A0E94">
            <w:pPr>
              <w:pStyle w:val="6"/>
              <w:spacing w:before="65" w:line="221" w:lineRule="auto"/>
              <w:ind w:left="366"/>
            </w:pPr>
            <w:r>
              <w:rPr>
                <w:spacing w:val="5"/>
              </w:rPr>
              <w:t>规范</w:t>
            </w:r>
          </w:p>
        </w:tc>
        <w:tc>
          <w:tcPr>
            <w:tcW w:w="4377" w:type="dxa"/>
            <w:vAlign w:val="top"/>
          </w:tcPr>
          <w:p w14:paraId="3540334C">
            <w:pPr>
              <w:pStyle w:val="6"/>
              <w:spacing w:before="158" w:line="227" w:lineRule="auto"/>
              <w:ind w:left="17" w:right="131"/>
              <w:jc w:val="both"/>
            </w:pPr>
            <w:r>
              <w:t>增加办理依据：《安徽省人民政府办公厅关于印</w:t>
            </w:r>
            <w:r>
              <w:rPr>
                <w:spacing w:val="17"/>
              </w:rPr>
              <w:t xml:space="preserve"> </w:t>
            </w:r>
            <w:r>
              <w:t>发安徽省健全重特大疾病医疗保险和救助制度若</w:t>
            </w:r>
            <w:r>
              <w:rPr>
                <w:spacing w:val="9"/>
              </w:rPr>
              <w:t xml:space="preserve"> </w:t>
            </w:r>
            <w:r>
              <w:rPr>
                <w:spacing w:val="-1"/>
              </w:rPr>
              <w:t>干举措的通知》(皖政办(2022)6号):特困人</w:t>
            </w:r>
            <w:r>
              <w:t>员救助比例不低于80%,低保对象救助比例不低于</w:t>
            </w:r>
            <w:r>
              <w:rPr>
                <w:spacing w:val="10"/>
              </w:rPr>
              <w:t xml:space="preserve"> </w:t>
            </w:r>
            <w:r>
              <w:t>75%;在起付标准以上，低保边缘家庭成员救助比</w:t>
            </w:r>
            <w:r>
              <w:rPr>
                <w:spacing w:val="11"/>
              </w:rPr>
              <w:t xml:space="preserve"> </w:t>
            </w:r>
            <w:r>
              <w:rPr>
                <w:spacing w:val="-1"/>
              </w:rPr>
              <w:t>例不低于60%,因病致贫重病患者救助比例不低于</w:t>
            </w:r>
            <w:r>
              <w:rPr>
                <w:spacing w:val="14"/>
              </w:rPr>
              <w:t xml:space="preserve"> </w:t>
            </w:r>
            <w:r>
              <w:rPr>
                <w:spacing w:val="-1"/>
              </w:rPr>
              <w:t>50%;年度救助限额最高5万元左右。具体起付标</w:t>
            </w:r>
            <w:r>
              <w:rPr>
                <w:spacing w:val="5"/>
              </w:rPr>
              <w:t xml:space="preserve">  </w:t>
            </w:r>
            <w:r>
              <w:rPr>
                <w:spacing w:val="-1"/>
              </w:rPr>
              <w:t>准、救助比例和年度最高救助限额，由各统筹地</w:t>
            </w:r>
            <w:r>
              <w:rPr>
                <w:spacing w:val="10"/>
              </w:rPr>
              <w:t xml:space="preserve"> </w:t>
            </w:r>
            <w:r>
              <w:t>区根据医疗救助基金运行情况适宜适度确定，防</w:t>
            </w:r>
            <w:r>
              <w:rPr>
                <w:spacing w:val="9"/>
              </w:rPr>
              <w:t xml:space="preserve"> </w:t>
            </w:r>
            <w:r>
              <w:rPr>
                <w:spacing w:val="-1"/>
              </w:rPr>
              <w:t>止泛福利化倾向。</w:t>
            </w:r>
          </w:p>
        </w:tc>
        <w:tc>
          <w:tcPr>
            <w:tcW w:w="1114" w:type="dxa"/>
            <w:vAlign w:val="top"/>
          </w:tcPr>
          <w:p w14:paraId="7834DFFB">
            <w:pPr>
              <w:rPr>
                <w:rFonts w:ascii="Arial"/>
                <w:sz w:val="21"/>
              </w:rPr>
            </w:pPr>
          </w:p>
        </w:tc>
      </w:tr>
      <w:tr w14:paraId="7D5A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04" w:type="dxa"/>
            <w:vAlign w:val="top"/>
          </w:tcPr>
          <w:p w14:paraId="0BD4F3A7">
            <w:pPr>
              <w:spacing w:line="266" w:lineRule="auto"/>
              <w:rPr>
                <w:rFonts w:ascii="Arial"/>
                <w:sz w:val="21"/>
              </w:rPr>
            </w:pPr>
          </w:p>
          <w:p w14:paraId="5B264419">
            <w:pPr>
              <w:spacing w:line="266" w:lineRule="auto"/>
              <w:rPr>
                <w:rFonts w:ascii="Arial"/>
                <w:sz w:val="21"/>
              </w:rPr>
            </w:pPr>
          </w:p>
          <w:p w14:paraId="775FCC3D">
            <w:pPr>
              <w:spacing w:line="266" w:lineRule="auto"/>
              <w:rPr>
                <w:rFonts w:ascii="Arial"/>
                <w:sz w:val="21"/>
              </w:rPr>
            </w:pPr>
          </w:p>
          <w:p w14:paraId="2634E8C6">
            <w:pPr>
              <w:spacing w:line="267" w:lineRule="auto"/>
              <w:rPr>
                <w:rFonts w:ascii="Arial"/>
                <w:sz w:val="21"/>
              </w:rPr>
            </w:pPr>
          </w:p>
          <w:p w14:paraId="0D477EC7">
            <w:pPr>
              <w:pStyle w:val="6"/>
              <w:spacing w:before="65" w:line="183" w:lineRule="auto"/>
              <w:ind w:left="345"/>
            </w:pPr>
            <w:r>
              <w:t>4</w:t>
            </w:r>
          </w:p>
        </w:tc>
        <w:tc>
          <w:tcPr>
            <w:tcW w:w="1649" w:type="dxa"/>
            <w:vAlign w:val="top"/>
          </w:tcPr>
          <w:p w14:paraId="263AC060">
            <w:pPr>
              <w:spacing w:line="295" w:lineRule="auto"/>
              <w:rPr>
                <w:rFonts w:ascii="Arial"/>
                <w:sz w:val="21"/>
              </w:rPr>
            </w:pPr>
          </w:p>
          <w:p w14:paraId="2A1B41B9">
            <w:pPr>
              <w:spacing w:line="295" w:lineRule="auto"/>
              <w:rPr>
                <w:rFonts w:ascii="Arial"/>
                <w:sz w:val="21"/>
              </w:rPr>
            </w:pPr>
          </w:p>
          <w:p w14:paraId="50109506">
            <w:pPr>
              <w:spacing w:line="295" w:lineRule="auto"/>
              <w:rPr>
                <w:rFonts w:ascii="Arial"/>
                <w:sz w:val="21"/>
              </w:rPr>
            </w:pPr>
          </w:p>
          <w:p w14:paraId="5A540333">
            <w:pPr>
              <w:pStyle w:val="6"/>
              <w:spacing w:before="65" w:line="254" w:lineRule="auto"/>
              <w:ind w:left="510" w:right="114" w:hanging="399"/>
            </w:pPr>
            <w:r>
              <w:rPr>
                <w:spacing w:val="1"/>
              </w:rPr>
              <w:t>出具医疗保险信</w:t>
            </w:r>
            <w:r>
              <w:rPr>
                <w:spacing w:val="5"/>
              </w:rPr>
              <w:t xml:space="preserve"> </w:t>
            </w:r>
            <w:r>
              <w:rPr>
                <w:spacing w:val="7"/>
              </w:rPr>
              <w:t>息证明</w:t>
            </w:r>
          </w:p>
        </w:tc>
        <w:tc>
          <w:tcPr>
            <w:tcW w:w="4437" w:type="dxa"/>
            <w:vAlign w:val="top"/>
          </w:tcPr>
          <w:p w14:paraId="634B7399">
            <w:pPr>
              <w:pStyle w:val="6"/>
              <w:spacing w:before="83" w:line="227" w:lineRule="auto"/>
              <w:ind w:left="21" w:right="197"/>
              <w:jc w:val="both"/>
            </w:pPr>
            <w:r>
              <w:t>1.《中华人民共和国社会保险法》(主席令第35  号)第七十四条：用人单位和个人可以免费向社</w:t>
            </w:r>
            <w:r>
              <w:rPr>
                <w:spacing w:val="3"/>
              </w:rPr>
              <w:t xml:space="preserve">  </w:t>
            </w:r>
            <w:r>
              <w:rPr>
                <w:spacing w:val="-1"/>
              </w:rPr>
              <w:t>会保险经办机构查询、核对其缴费和享受社会保</w:t>
            </w:r>
            <w:r>
              <w:rPr>
                <w:spacing w:val="13"/>
              </w:rPr>
              <w:t xml:space="preserve"> </w:t>
            </w:r>
            <w:r>
              <w:t>险待遇记录，要求社会保险经办机构提供社会保</w:t>
            </w:r>
            <w:r>
              <w:rPr>
                <w:spacing w:val="6"/>
              </w:rPr>
              <w:t xml:space="preserve"> </w:t>
            </w:r>
            <w:r>
              <w:t>险咨询等相关服务。</w:t>
            </w:r>
          </w:p>
          <w:p w14:paraId="2D1140E9">
            <w:pPr>
              <w:pStyle w:val="6"/>
              <w:spacing w:before="11" w:line="230" w:lineRule="auto"/>
              <w:ind w:left="21" w:right="204"/>
              <w:jc w:val="both"/>
            </w:pPr>
            <w:r>
              <w:t xml:space="preserve">2.《国家医疗保障局关于印发全国医疗保障经办 </w:t>
            </w:r>
            <w:r>
              <w:rPr>
                <w:spacing w:val="-1"/>
              </w:rPr>
              <w:t>政务服务事项清单的通知》(医保发(2020)18</w:t>
            </w:r>
          </w:p>
          <w:p w14:paraId="62E6D08C">
            <w:pPr>
              <w:pStyle w:val="6"/>
              <w:spacing w:before="11" w:line="230" w:lineRule="auto"/>
              <w:ind w:left="21" w:right="296"/>
              <w:jc w:val="both"/>
            </w:pPr>
            <w:r>
              <w:t>号)附件《全国医疗保障经办政务服务事项清单</w:t>
            </w:r>
            <w:r>
              <w:rPr>
                <w:spacing w:val="7"/>
              </w:rPr>
              <w:t xml:space="preserve"> </w:t>
            </w:r>
            <w:r>
              <w:rPr>
                <w:spacing w:val="-12"/>
              </w:rPr>
              <w:t>》第10子项。</w:t>
            </w:r>
          </w:p>
        </w:tc>
        <w:tc>
          <w:tcPr>
            <w:tcW w:w="1089" w:type="dxa"/>
            <w:vAlign w:val="top"/>
          </w:tcPr>
          <w:p w14:paraId="2DF325CD">
            <w:pPr>
              <w:spacing w:line="253" w:lineRule="auto"/>
              <w:rPr>
                <w:rFonts w:ascii="Arial"/>
                <w:sz w:val="21"/>
              </w:rPr>
            </w:pPr>
          </w:p>
          <w:p w14:paraId="7C08502F">
            <w:pPr>
              <w:spacing w:line="253" w:lineRule="auto"/>
              <w:rPr>
                <w:rFonts w:ascii="Arial"/>
                <w:sz w:val="21"/>
              </w:rPr>
            </w:pPr>
          </w:p>
          <w:p w14:paraId="1EC1E3FC">
            <w:pPr>
              <w:spacing w:line="254" w:lineRule="auto"/>
              <w:rPr>
                <w:rFonts w:ascii="Arial"/>
                <w:sz w:val="21"/>
              </w:rPr>
            </w:pPr>
          </w:p>
          <w:p w14:paraId="7E9B2FA9">
            <w:pPr>
              <w:spacing w:line="254" w:lineRule="auto"/>
              <w:rPr>
                <w:rFonts w:ascii="Arial"/>
                <w:sz w:val="21"/>
              </w:rPr>
            </w:pPr>
          </w:p>
          <w:p w14:paraId="06B405C5">
            <w:pPr>
              <w:pStyle w:val="6"/>
              <w:spacing w:before="65" w:line="219" w:lineRule="auto"/>
              <w:ind w:left="35"/>
            </w:pPr>
            <w:r>
              <w:rPr>
                <w:spacing w:val="1"/>
              </w:rPr>
              <w:t>省、市、县</w:t>
            </w:r>
          </w:p>
        </w:tc>
        <w:tc>
          <w:tcPr>
            <w:tcW w:w="1139" w:type="dxa"/>
            <w:vAlign w:val="top"/>
          </w:tcPr>
          <w:p w14:paraId="254A684A">
            <w:pPr>
              <w:spacing w:line="253" w:lineRule="auto"/>
              <w:jc w:val="both"/>
              <w:rPr>
                <w:rFonts w:ascii="Arial"/>
                <w:sz w:val="21"/>
              </w:rPr>
            </w:pPr>
          </w:p>
          <w:p w14:paraId="5564E736">
            <w:pPr>
              <w:spacing w:line="253" w:lineRule="auto"/>
              <w:jc w:val="both"/>
              <w:rPr>
                <w:rFonts w:ascii="Arial"/>
                <w:sz w:val="21"/>
              </w:rPr>
            </w:pPr>
          </w:p>
          <w:p w14:paraId="33243BFC">
            <w:pPr>
              <w:spacing w:line="254" w:lineRule="auto"/>
              <w:jc w:val="both"/>
              <w:rPr>
                <w:rFonts w:ascii="Arial"/>
                <w:sz w:val="21"/>
              </w:rPr>
            </w:pPr>
          </w:p>
          <w:p w14:paraId="5BC4A5F7">
            <w:pPr>
              <w:spacing w:line="254" w:lineRule="auto"/>
              <w:jc w:val="both"/>
              <w:rPr>
                <w:rFonts w:ascii="Arial"/>
                <w:sz w:val="21"/>
              </w:rPr>
            </w:pPr>
          </w:p>
          <w:p w14:paraId="62E0C159">
            <w:pPr>
              <w:pStyle w:val="6"/>
              <w:spacing w:before="65" w:line="220" w:lineRule="auto"/>
              <w:ind w:left="66"/>
              <w:jc w:val="both"/>
            </w:pPr>
            <w:r>
              <w:rPr>
                <w:spacing w:val="-2"/>
              </w:rPr>
              <w:t>不列入清单</w:t>
            </w:r>
          </w:p>
        </w:tc>
        <w:tc>
          <w:tcPr>
            <w:tcW w:w="4377" w:type="dxa"/>
            <w:vAlign w:val="top"/>
          </w:tcPr>
          <w:p w14:paraId="3BE7EEFF">
            <w:pPr>
              <w:spacing w:line="263" w:lineRule="auto"/>
              <w:jc w:val="both"/>
              <w:rPr>
                <w:rFonts w:ascii="Arial"/>
                <w:sz w:val="21"/>
              </w:rPr>
            </w:pPr>
          </w:p>
          <w:p w14:paraId="490CCCF0">
            <w:pPr>
              <w:spacing w:line="264" w:lineRule="auto"/>
              <w:jc w:val="both"/>
              <w:rPr>
                <w:rFonts w:ascii="Arial"/>
                <w:sz w:val="21"/>
              </w:rPr>
            </w:pPr>
          </w:p>
          <w:p w14:paraId="2340ACDB">
            <w:pPr>
              <w:pStyle w:val="6"/>
              <w:spacing w:before="65" w:line="219" w:lineRule="auto"/>
              <w:jc w:val="both"/>
            </w:pPr>
            <w:r>
              <w:rPr>
                <w:spacing w:val="-5"/>
              </w:rPr>
              <w:t>《全国医疗保障经办政务服务事项清单(2023年</w:t>
            </w:r>
          </w:p>
          <w:p w14:paraId="2CA763FF">
            <w:pPr>
              <w:pStyle w:val="6"/>
              <w:spacing w:before="33" w:line="220" w:lineRule="auto"/>
              <w:ind w:left="17" w:right="258"/>
              <w:jc w:val="both"/>
            </w:pPr>
            <w:r>
              <w:rPr>
                <w:spacing w:val="-1"/>
              </w:rPr>
              <w:t>版)》已无“出具《参保凭证》”事项，且“参</w:t>
            </w:r>
            <w:r>
              <w:rPr>
                <w:spacing w:val="11"/>
              </w:rPr>
              <w:t xml:space="preserve"> </w:t>
            </w:r>
            <w:r>
              <w:t>保单位(人员)参保信息查询”已包含此事</w:t>
            </w:r>
            <w:r>
              <w:rPr>
                <w:spacing w:val="-1"/>
              </w:rPr>
              <w:t>项，</w:t>
            </w:r>
            <w:r>
              <w:t>出具医疗保险信息证明属查询部分内容。不列入</w:t>
            </w:r>
            <w:r>
              <w:rPr>
                <w:spacing w:val="-1"/>
              </w:rPr>
              <w:t>清单。</w:t>
            </w:r>
          </w:p>
        </w:tc>
        <w:tc>
          <w:tcPr>
            <w:tcW w:w="1114" w:type="dxa"/>
            <w:vAlign w:val="top"/>
          </w:tcPr>
          <w:p w14:paraId="3AC81328">
            <w:pPr>
              <w:rPr>
                <w:rFonts w:ascii="Arial"/>
                <w:sz w:val="21"/>
              </w:rPr>
            </w:pPr>
          </w:p>
        </w:tc>
      </w:tr>
    </w:tbl>
    <w:p w14:paraId="58B21AF0">
      <w:pPr>
        <w:rPr>
          <w:rFonts w:ascii="Arial"/>
          <w:sz w:val="21"/>
        </w:rPr>
      </w:pPr>
    </w:p>
    <w:p w14:paraId="263223A6">
      <w:pPr>
        <w:rPr>
          <w:rFonts w:ascii="Arial" w:hAnsi="Arial" w:eastAsia="Arial" w:cs="Arial"/>
          <w:sz w:val="21"/>
          <w:szCs w:val="21"/>
        </w:rPr>
        <w:sectPr>
          <w:pgSz w:w="16970" w:h="12120"/>
          <w:pgMar w:top="1030" w:right="1285" w:bottom="400" w:left="1064" w:header="0" w:footer="0" w:gutter="0"/>
          <w:cols w:space="720" w:num="1"/>
        </w:sectPr>
      </w:pPr>
    </w:p>
    <w:p w14:paraId="5140AA91">
      <w:pPr>
        <w:pStyle w:val="2"/>
        <w:spacing w:before="107" w:line="323" w:lineRule="auto"/>
        <w:ind w:left="5049" w:right="581" w:hanging="619"/>
        <w:rPr>
          <w:sz w:val="28"/>
          <w:szCs w:val="28"/>
        </w:rPr>
      </w:pPr>
    </w:p>
    <w:sectPr>
      <w:pgSz w:w="11900" w:h="16820"/>
      <w:pgMar w:top="1365" w:right="1785" w:bottom="400" w:left="16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8A1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I2N2IwYjcxYjlkMzI5MmZlMTJmYjliNmM2NGZkNzYifQ=="/>
  </w:docVars>
  <w:rsids>
    <w:rsidRoot w:val="00000000"/>
    <w:rsid w:val="00D60A53"/>
    <w:rsid w:val="070A74A7"/>
    <w:rsid w:val="12234F54"/>
    <w:rsid w:val="21DD373E"/>
    <w:rsid w:val="328A607A"/>
    <w:rsid w:val="43830B5C"/>
    <w:rsid w:val="7CB83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1531</Words>
  <Characters>1629</Characters>
  <TotalTime>63</TotalTime>
  <ScaleCrop>false</ScaleCrop>
  <LinksUpToDate>false</LinksUpToDate>
  <CharactersWithSpaces>1684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2024-08-06T08:38:00Z</dcterms:created>
  <dc:creator>Kingsoft-PDF</dc:creator>
  <cp:lastModifiedBy>欢</cp:lastModifiedBy>
  <dcterms:modified xsi:type="dcterms:W3CDTF">2024-08-07T01:09:33Z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2024-08-06T08:38:55Z</vt:filetime>
  </property>
  <property fmtid="{D5CDD505-2E9C-101B-9397-08002B2CF9AE}" pid="4" name="UsrData">
    <vt:lpwstr>66b1709c9f51c8001f1e56d6wl</vt:lpwstr>
  </property>
  <property fmtid="{D5CDD505-2E9C-101B-9397-08002B2CF9AE}" pid="5" name="KSOProductBuildVer">
    <vt:lpwstr>2052-12.1.0.17147</vt:lpwstr>
  </property>
  <property fmtid="{D5CDD505-2E9C-101B-9397-08002B2CF9AE}" pid="6" name="ICV">
    <vt:lpwstr>174499E5BB9D467380CF82AD36A189FF_13</vt:lpwstr>
  </property>
</Properties>
</file>