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1E8E">
      <w:pPr>
        <w:keepNext/>
        <w:keepLines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附录4</w:t>
      </w:r>
    </w:p>
    <w:p w14:paraId="3B4598A5">
      <w:pPr>
        <w:keepNext/>
        <w:keepLines/>
        <w:rPr>
          <w:rFonts w:ascii="黑体" w:hAnsi="黑体" w:eastAsia="黑体" w:cs="黑体"/>
          <w:color w:val="auto"/>
          <w:spacing w:val="12"/>
          <w:sz w:val="32"/>
          <w:szCs w:val="32"/>
          <w:highlight w:val="none"/>
          <w:shd w:val="clear" w:color="auto" w:fill="FFFFFF"/>
          <w:lang w:bidi="ar"/>
        </w:rPr>
      </w:pPr>
    </w:p>
    <w:p w14:paraId="2C4708F9">
      <w:pPr>
        <w:widowControl/>
        <w:spacing w:afterAutospacing="1" w:line="480" w:lineRule="atLeast"/>
        <w:jc w:val="center"/>
        <w:rPr>
          <w:rFonts w:ascii="华文中宋" w:hAnsi="华文中宋" w:eastAsia="华文中宋" w:cs="黑体"/>
          <w:b/>
          <w:bCs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职业卫生技术服务机构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kern w:val="0"/>
          <w:sz w:val="36"/>
          <w:szCs w:val="36"/>
          <w:highlight w:val="none"/>
        </w:rPr>
        <w:t>资质认可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申请受理单</w:t>
      </w:r>
    </w:p>
    <w:bookmarkEnd w:id="0"/>
    <w:p w14:paraId="2433F113">
      <w:pPr>
        <w:widowControl/>
        <w:spacing w:beforeAutospacing="1" w:afterAutospacing="1" w:line="480" w:lineRule="atLeast"/>
        <w:ind w:firstLine="240" w:firstLineChars="100"/>
        <w:jc w:val="right"/>
        <w:rPr>
          <w:rFonts w:ascii="仿宋_GB2312" w:hAnsi="仿宋_GB2312" w:eastAsia="仿宋_GB2312" w:cs="仿宋_GB2312"/>
          <w:color w:val="auto"/>
          <w:kern w:val="0"/>
          <w:sz w:val="24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2"/>
          <w:highlight w:val="none"/>
        </w:rPr>
        <w:t>（皖）卫职技申字（   ）第   号</w:t>
      </w:r>
    </w:p>
    <w:p w14:paraId="30AF1EC4"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（申请人名称）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D2AB0DE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你单位提出的职业卫生技术服务机构资质□认可、□变更、□增加业务范围、□延续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□遗失补办申请，本机关根据</w: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instrText xml:space="preserve"> HYPERLINK "http://localhost:8080/nhfpc/ea/javascript:void(0);" </w:instrTex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《中华人民共和国行政许可法》第三十二条第一款第（五）项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的规定，决定予以受理，并在受理之日起20个工作日内作出行政许可决定。</w:t>
      </w:r>
    </w:p>
    <w:p w14:paraId="3EB71545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根据有关规定，该行政许可实行先技术评审再审批。技术评审包括申请材料的技术审查和现场技术考核（按照程序要求开展）。现场技术考核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时间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一般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不超过10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个工作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日，且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现场技术考核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时间不计入许可办理时限。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因特殊原因需要延长期限的，另行告知。</w:t>
      </w:r>
    </w:p>
    <w:p w14:paraId="0AC3D261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申请人:</w:t>
      </w:r>
    </w:p>
    <w:p w14:paraId="6C5788C0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通讯地址:</w:t>
      </w:r>
    </w:p>
    <w:p w14:paraId="43B9B75B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联系人:                    联系电话:</w:t>
      </w:r>
    </w:p>
    <w:p w14:paraId="11298B86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受理人:                    联系电话: </w:t>
      </w:r>
    </w:p>
    <w:p w14:paraId="0E7AF0C5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收费标准: 不收费           查询方式:                    </w:t>
      </w:r>
    </w:p>
    <w:p w14:paraId="3CF468E5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受理机构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:  </w:t>
      </w:r>
    </w:p>
    <w:p w14:paraId="7234E6DF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特此通知。</w:t>
      </w:r>
    </w:p>
    <w:p w14:paraId="532C0198">
      <w:pPr>
        <w:spacing w:line="560" w:lineRule="exact"/>
        <w:jc w:val="righ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26EF44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34A1AE4"/>
    <w:rsid w:val="234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2024-08-01T03:33:00Z</dcterms:created>
  <dc:creator>MYQ</dc:creator>
  <cp:lastModifiedBy>MYQ</cp:lastModifiedBy>
  <dcterms:modified xsi:type="dcterms:W3CDTF">2024-08-01T03:34:11Z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578947DB73D44525A27CFE2BAEE3CF8C_11</vt:lpwstr>
  </property>
</Properties>
</file>