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20" w:lineRule="exact"/>
        <w:jc w:val="center"/>
        <w:rPr>
          <w:rFonts w:ascii="方正小标宋简体" w:hAnsi="仿宋" w:eastAsia="方正小标宋简体"/>
          <w:color w:val="333333"/>
          <w:sz w:val="44"/>
          <w:szCs w:val="44"/>
        </w:rPr>
      </w:pPr>
    </w:p>
    <w:p>
      <w:pPr>
        <w:pStyle w:val="5"/>
        <w:shd w:val="clear" w:color="auto" w:fill="FFFFFF"/>
        <w:spacing w:before="0" w:beforeAutospacing="0" w:after="0" w:afterAutospacing="0" w:line="520" w:lineRule="exact"/>
        <w:jc w:val="center"/>
        <w:rPr>
          <w:rFonts w:ascii="方正小标宋简体" w:hAnsi="仿宋" w:eastAsia="方正小标宋简体"/>
          <w:color w:val="333333"/>
          <w:sz w:val="44"/>
          <w:szCs w:val="44"/>
        </w:rPr>
      </w:pPr>
      <w:r>
        <w:rPr>
          <w:rFonts w:hint="eastAsia" w:ascii="方正小标宋简体" w:hAnsi="仿宋" w:eastAsia="方正小标宋简体"/>
          <w:color w:val="333333"/>
          <w:sz w:val="44"/>
          <w:szCs w:val="44"/>
        </w:rPr>
        <w:t>辽宁省规范医疗保障基金使用监督管理</w:t>
      </w:r>
    </w:p>
    <w:p>
      <w:pPr>
        <w:pStyle w:val="5"/>
        <w:shd w:val="clear" w:color="auto" w:fill="FFFFFF"/>
        <w:spacing w:before="0" w:beforeAutospacing="0" w:after="0" w:afterAutospacing="0" w:line="520" w:lineRule="exact"/>
        <w:jc w:val="center"/>
        <w:rPr>
          <w:rFonts w:ascii="方正小标宋简体" w:hAnsi="仿宋" w:eastAsia="方正小标宋简体"/>
          <w:color w:val="333333"/>
          <w:sz w:val="44"/>
          <w:szCs w:val="44"/>
        </w:rPr>
      </w:pPr>
      <w:r>
        <w:rPr>
          <w:rFonts w:hint="eastAsia" w:ascii="方正小标宋简体" w:hAnsi="仿宋" w:eastAsia="方正小标宋简体"/>
          <w:color w:val="333333"/>
          <w:sz w:val="44"/>
          <w:szCs w:val="44"/>
        </w:rPr>
        <w:t>行政处罚裁量权办法（</w:t>
      </w:r>
      <w:r>
        <w:rPr>
          <w:rFonts w:hint="eastAsia" w:ascii="方正小标宋简体" w:hAnsi="仿宋" w:eastAsia="方正小标宋简体"/>
          <w:color w:val="333333"/>
          <w:sz w:val="44"/>
          <w:szCs w:val="44"/>
          <w:lang w:eastAsia="zh-CN"/>
        </w:rPr>
        <w:t>征求意见稿</w:t>
      </w:r>
      <w:r>
        <w:rPr>
          <w:rFonts w:hint="eastAsia" w:ascii="方正小标宋简体" w:hAnsi="仿宋" w:eastAsia="方正小标宋简体"/>
          <w:color w:val="333333"/>
          <w:sz w:val="44"/>
          <w:szCs w:val="44"/>
        </w:rPr>
        <w:t>）</w:t>
      </w:r>
    </w:p>
    <w:p>
      <w:pPr>
        <w:pStyle w:val="5"/>
        <w:shd w:val="clear" w:color="auto" w:fill="FFFFFF"/>
        <w:spacing w:before="0" w:beforeAutospacing="0" w:after="0" w:afterAutospacing="0" w:line="520" w:lineRule="exact"/>
        <w:ind w:firstLine="567" w:firstLineChars="189"/>
        <w:rPr>
          <w:rFonts w:ascii="仿宋" w:hAnsi="仿宋" w:eastAsia="仿宋"/>
          <w:color w:val="333333"/>
          <w:sz w:val="30"/>
          <w:szCs w:val="30"/>
        </w:rPr>
      </w:pPr>
      <w:bookmarkStart w:id="0" w:name="_GoBack"/>
      <w:bookmarkEnd w:id="0"/>
    </w:p>
    <w:p>
      <w:pPr>
        <w:pStyle w:val="5"/>
        <w:shd w:val="clear" w:color="auto" w:fill="FFFFFF"/>
        <w:spacing w:before="0" w:beforeAutospacing="0" w:after="0" w:afterAutospacing="0" w:line="520" w:lineRule="exact"/>
        <w:ind w:firstLine="567" w:firstLineChars="189"/>
        <w:rPr>
          <w:rFonts w:ascii="仿宋" w:hAnsi="仿宋" w:eastAsia="仿宋"/>
          <w:color w:val="333333"/>
          <w:sz w:val="30"/>
          <w:szCs w:val="30"/>
        </w:rPr>
      </w:pPr>
    </w:p>
    <w:p>
      <w:pPr>
        <w:pStyle w:val="5"/>
        <w:shd w:val="clear" w:color="auto" w:fill="FFFFFF"/>
        <w:spacing w:before="0" w:beforeAutospacing="0" w:after="0" w:afterAutospacing="0" w:line="520" w:lineRule="exact"/>
        <w:jc w:val="center"/>
        <w:rPr>
          <w:rFonts w:ascii="黑体" w:hAnsi="黑体" w:eastAsia="黑体"/>
          <w:color w:val="333333"/>
          <w:sz w:val="32"/>
          <w:szCs w:val="32"/>
        </w:rPr>
      </w:pPr>
      <w:r>
        <w:rPr>
          <w:rFonts w:hint="eastAsia" w:ascii="黑体" w:hAnsi="黑体" w:eastAsia="黑体"/>
          <w:color w:val="333333"/>
          <w:sz w:val="32"/>
          <w:szCs w:val="32"/>
        </w:rPr>
        <w:t>第一章  总则</w:t>
      </w:r>
    </w:p>
    <w:p>
      <w:pPr>
        <w:pStyle w:val="5"/>
        <w:shd w:val="clear" w:color="auto" w:fill="FFFFFF"/>
        <w:spacing w:before="0" w:beforeAutospacing="0" w:after="0" w:afterAutospacing="0" w:line="520" w:lineRule="exact"/>
        <w:jc w:val="center"/>
        <w:rPr>
          <w:rFonts w:ascii="黑体" w:hAnsi="黑体" w:eastAsia="黑体"/>
          <w:color w:val="333333"/>
          <w:sz w:val="32"/>
          <w:szCs w:val="32"/>
        </w:rPr>
      </w:pP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第一条 </w:t>
      </w:r>
      <w:r>
        <w:rPr>
          <w:rFonts w:hint="eastAsia" w:ascii="仿宋" w:hAnsi="仿宋" w:eastAsia="仿宋"/>
          <w:color w:val="333333"/>
          <w:sz w:val="32"/>
          <w:szCs w:val="32"/>
        </w:rPr>
        <w:t>为规范医疗保障基金使用监管行政执法行为，保障医疗保障行政部门合法、合理、适当地行使行政处罚裁量权，保护公民、法人和其他组织的合法权益，根据《</w:t>
      </w:r>
      <w:r>
        <w:fldChar w:fldCharType="begin"/>
      </w:r>
      <w:r>
        <w:instrText xml:space="preserve"> HYPERLINK "https://www.shui5.cn/article/fe/114531.html" </w:instrText>
      </w:r>
      <w:r>
        <w:fldChar w:fldCharType="separate"/>
      </w:r>
      <w:r>
        <w:rPr>
          <w:rFonts w:hint="eastAsia" w:ascii="仿宋" w:hAnsi="仿宋" w:eastAsia="仿宋"/>
          <w:color w:val="333333"/>
          <w:sz w:val="32"/>
          <w:szCs w:val="32"/>
        </w:rPr>
        <w:t>中华人民共和国行政处罚法</w:t>
      </w:r>
      <w:r>
        <w:rPr>
          <w:rFonts w:hint="eastAsia" w:ascii="仿宋" w:hAnsi="仿宋" w:eastAsia="仿宋"/>
          <w:color w:val="333333"/>
          <w:sz w:val="32"/>
          <w:szCs w:val="32"/>
        </w:rPr>
        <w:fldChar w:fldCharType="end"/>
      </w:r>
      <w:r>
        <w:rPr>
          <w:rFonts w:hint="eastAsia" w:ascii="仿宋" w:hAnsi="仿宋" w:eastAsia="仿宋"/>
          <w:color w:val="333333"/>
          <w:sz w:val="32"/>
          <w:szCs w:val="32"/>
        </w:rPr>
        <w:t>》《</w:t>
      </w:r>
      <w:r>
        <w:fldChar w:fldCharType="begin"/>
      </w:r>
      <w:r>
        <w:instrText xml:space="preserve"> HYPERLINK "https://www.shui5.cn/article/45/43087.html" </w:instrText>
      </w:r>
      <w:r>
        <w:fldChar w:fldCharType="separate"/>
      </w:r>
      <w:r>
        <w:rPr>
          <w:rFonts w:hint="eastAsia" w:ascii="仿宋" w:hAnsi="仿宋" w:eastAsia="仿宋"/>
          <w:color w:val="333333"/>
          <w:sz w:val="32"/>
          <w:szCs w:val="32"/>
        </w:rPr>
        <w:t>医疗保障基金使用监督管理条例</w:t>
      </w:r>
      <w:r>
        <w:rPr>
          <w:rFonts w:hint="eastAsia" w:ascii="仿宋" w:hAnsi="仿宋" w:eastAsia="仿宋"/>
          <w:color w:val="333333"/>
          <w:sz w:val="32"/>
          <w:szCs w:val="32"/>
        </w:rPr>
        <w:fldChar w:fldCharType="end"/>
      </w:r>
      <w:r>
        <w:rPr>
          <w:rFonts w:hint="eastAsia" w:ascii="仿宋" w:hAnsi="仿宋" w:eastAsia="仿宋"/>
          <w:color w:val="333333"/>
          <w:sz w:val="32"/>
          <w:szCs w:val="32"/>
        </w:rPr>
        <w:t>》等相关法律法规，以及《国家医疗保障局关于印发〈规范医疗保障基金使用监督管理行政处罚裁量权办法〉的通知》（医保发〔2021〕35号）等文件精神，制定本办法。</w:t>
      </w:r>
    </w:p>
    <w:p>
      <w:pPr>
        <w:widowControl/>
        <w:shd w:val="clear" w:color="auto" w:fill="FFFFFF"/>
        <w:ind w:firstLine="764" w:firstLineChars="239"/>
        <w:jc w:val="left"/>
        <w:rPr>
          <w:rFonts w:ascii="仿宋" w:hAnsi="仿宋" w:eastAsia="仿宋"/>
          <w:color w:val="333333"/>
          <w:sz w:val="32"/>
          <w:szCs w:val="32"/>
        </w:rPr>
      </w:pPr>
      <w:r>
        <w:rPr>
          <w:rFonts w:hint="eastAsia" w:ascii="黑体" w:hAnsi="黑体" w:eastAsia="黑体"/>
          <w:color w:val="333333"/>
          <w:sz w:val="32"/>
          <w:szCs w:val="32"/>
        </w:rPr>
        <w:t>第二条</w:t>
      </w:r>
      <w:r>
        <w:rPr>
          <w:rFonts w:hint="eastAsia" w:ascii="仿宋" w:hAnsi="仿宋" w:eastAsia="仿宋"/>
          <w:color w:val="333333"/>
          <w:sz w:val="32"/>
          <w:szCs w:val="32"/>
        </w:rPr>
        <w:t xml:space="preserve"> 本办法所称医疗保障基金使用监督管理行政处罚裁量权，是指医疗保障行政部门在实施医疗保障基金使用监督管理行政处罚时，根据法律、法规、规章等规定，综合考虑违法行为的事实、性质、情节、社会危害程度以及当事人主观过错等因素，决定行政处罚种类及处罚幅度的权限。</w:t>
      </w:r>
    </w:p>
    <w:p>
      <w:pPr>
        <w:widowControl/>
        <w:shd w:val="clear" w:color="auto" w:fill="FFFFFF"/>
        <w:ind w:firstLine="764" w:firstLineChars="239"/>
        <w:jc w:val="left"/>
        <w:rPr>
          <w:rFonts w:ascii="仿宋" w:hAnsi="仿宋" w:eastAsia="仿宋"/>
          <w:color w:val="333333"/>
          <w:sz w:val="32"/>
          <w:szCs w:val="32"/>
        </w:rPr>
      </w:pPr>
      <w:r>
        <w:rPr>
          <w:rFonts w:hint="eastAsia" w:ascii="黑体" w:hAnsi="黑体" w:eastAsia="黑体"/>
          <w:color w:val="333333"/>
          <w:sz w:val="32"/>
          <w:szCs w:val="32"/>
        </w:rPr>
        <w:t>第三条</w:t>
      </w:r>
      <w:r>
        <w:rPr>
          <w:rFonts w:hint="eastAsia" w:ascii="仿宋" w:hAnsi="仿宋" w:eastAsia="仿宋"/>
          <w:color w:val="333333"/>
          <w:sz w:val="32"/>
          <w:szCs w:val="32"/>
        </w:rPr>
        <w:t xml:space="preserve"> 辽宁省各级医疗保障行政部门行使行政处罚裁量权，适用本办法。省医疗保障局负责全省医疗保障行政部门行使行政处罚裁量权的指导、规范和监督。</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第四条</w:t>
      </w:r>
      <w:r>
        <w:rPr>
          <w:rFonts w:hint="eastAsia" w:ascii="仿宋" w:hAnsi="仿宋" w:eastAsia="仿宋"/>
          <w:color w:val="333333"/>
          <w:sz w:val="32"/>
          <w:szCs w:val="32"/>
        </w:rPr>
        <w:t xml:space="preserve"> 行使行政处罚裁量权，应当符合法律、法规、规章规定，遵循法定程序，保障行政相对人的合法权益；应当符合法律目的，排除不相关因素的干扰，所采取的措施和手段应当必要、适当；应当以事实为依据，行政处罚的种类和幅度应当与违法行为的事实、性质、情节、社会危害程度相当，与违法行为发生地的经济社会发展水平相适应。</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违法事实、性质、情节及社会危害后果等相同或相近的违法行为，同一行政区域行政处罚的种类和幅度应当基本一致。</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第五条</w:t>
      </w:r>
      <w:r>
        <w:rPr>
          <w:rFonts w:hint="eastAsia" w:ascii="仿宋" w:hAnsi="仿宋" w:eastAsia="仿宋"/>
          <w:color w:val="333333"/>
          <w:sz w:val="32"/>
          <w:szCs w:val="32"/>
        </w:rPr>
        <w:t xml:space="preserve"> 行使行政处罚裁量权，应当坚持处罚与教育相结合、执法与普法相结合，将普法宣传融入行政执法全过程，教育和引导公民、法人或者其他组织知法学法、自觉守法。</w:t>
      </w:r>
    </w:p>
    <w:p>
      <w:pPr>
        <w:widowControl/>
        <w:shd w:val="clear" w:color="auto" w:fill="FFFFFF"/>
        <w:ind w:firstLine="604" w:firstLineChars="189"/>
        <w:jc w:val="left"/>
        <w:rPr>
          <w:rFonts w:ascii="仿宋" w:hAnsi="仿宋" w:eastAsia="仿宋"/>
          <w:color w:val="333333"/>
          <w:sz w:val="32"/>
          <w:szCs w:val="32"/>
        </w:rPr>
      </w:pPr>
    </w:p>
    <w:p>
      <w:pPr>
        <w:widowControl/>
        <w:shd w:val="clear" w:color="auto" w:fill="FFFFFF"/>
        <w:jc w:val="center"/>
        <w:rPr>
          <w:rFonts w:ascii="黑体" w:hAnsi="黑体" w:eastAsia="黑体"/>
          <w:color w:val="333333"/>
          <w:sz w:val="32"/>
          <w:szCs w:val="32"/>
        </w:rPr>
      </w:pPr>
      <w:r>
        <w:rPr>
          <w:rFonts w:hint="eastAsia" w:ascii="黑体" w:hAnsi="黑体" w:eastAsia="黑体"/>
          <w:color w:val="333333"/>
          <w:sz w:val="32"/>
          <w:szCs w:val="32"/>
        </w:rPr>
        <w:t>第二章  裁量规则</w:t>
      </w:r>
    </w:p>
    <w:p>
      <w:pPr>
        <w:spacing w:line="600" w:lineRule="exact"/>
        <w:ind w:firstLine="640" w:firstLineChars="200"/>
        <w:rPr>
          <w:rFonts w:ascii="仿宋" w:hAnsi="仿宋" w:eastAsia="仿宋"/>
          <w:color w:val="333333"/>
          <w:sz w:val="32"/>
          <w:szCs w:val="32"/>
        </w:rPr>
      </w:pPr>
      <w:r>
        <w:rPr>
          <w:rFonts w:hint="eastAsia" w:ascii="黑体" w:hAnsi="黑体" w:eastAsia="黑体"/>
          <w:color w:val="333333"/>
          <w:sz w:val="32"/>
          <w:szCs w:val="32"/>
        </w:rPr>
        <w:t>第六条</w:t>
      </w:r>
      <w:r>
        <w:rPr>
          <w:rFonts w:hint="eastAsia" w:ascii="仿宋" w:hAnsi="仿宋" w:eastAsia="仿宋"/>
          <w:color w:val="333333"/>
          <w:sz w:val="32"/>
          <w:szCs w:val="32"/>
        </w:rPr>
        <w:t xml:space="preserve">  法律、法规、规章设定的罚款数额有一定幅度的，在相应的幅度范围内分为从轻处罚、一般处罚、从重处罚。除法律、法规、规章另有规定外，对于罚款为一定幅度的数额或者一定金额的倍数，并同时规定了最低限和最高限，罚款处罚的数额或者倍数原则上依据以下标准确定：</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（一）从轻处罚的数额或者倍数，应当为从最低限到最高限这一幅度中较低的</w:t>
      </w:r>
      <w:r>
        <w:rPr>
          <w:rFonts w:ascii="仿宋" w:hAnsi="仿宋" w:eastAsia="仿宋"/>
          <w:color w:val="333333"/>
          <w:sz w:val="32"/>
          <w:szCs w:val="32"/>
        </w:rPr>
        <w:t>30%</w:t>
      </w:r>
      <w:r>
        <w:rPr>
          <w:rFonts w:hint="eastAsia" w:ascii="仿宋" w:hAnsi="仿宋" w:eastAsia="仿宋"/>
          <w:color w:val="333333"/>
          <w:sz w:val="32"/>
          <w:szCs w:val="32"/>
        </w:rPr>
        <w:t>部分。当事人的违法行为符合法定从轻处罚情形的，应当给予从轻处罚。</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（二）一般处罚的数额或者倍数，应当为从最低限到最高限这一幅度中</w:t>
      </w:r>
      <w:r>
        <w:rPr>
          <w:rFonts w:ascii="仿宋" w:hAnsi="仿宋" w:eastAsia="仿宋"/>
          <w:color w:val="333333"/>
          <w:sz w:val="32"/>
          <w:szCs w:val="32"/>
        </w:rPr>
        <w:t>30%</w:t>
      </w:r>
      <w:r>
        <w:rPr>
          <w:rFonts w:hint="eastAsia" w:ascii="仿宋" w:hAnsi="仿宋" w:eastAsia="仿宋"/>
          <w:color w:val="333333"/>
          <w:sz w:val="32"/>
          <w:szCs w:val="32"/>
        </w:rPr>
        <w:t>以上</w:t>
      </w:r>
      <w:r>
        <w:rPr>
          <w:rFonts w:ascii="仿宋" w:hAnsi="仿宋" w:eastAsia="仿宋"/>
          <w:color w:val="333333"/>
          <w:sz w:val="32"/>
          <w:szCs w:val="32"/>
        </w:rPr>
        <w:t>70%</w:t>
      </w:r>
      <w:r>
        <w:rPr>
          <w:rFonts w:hint="eastAsia" w:ascii="仿宋" w:hAnsi="仿宋" w:eastAsia="仿宋"/>
          <w:color w:val="333333"/>
          <w:sz w:val="32"/>
          <w:szCs w:val="32"/>
        </w:rPr>
        <w:t>以下的部分。</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（三）从重处罚款的数额或者倍数，应当从最低限到最高限这一幅度中较高的</w:t>
      </w:r>
      <w:r>
        <w:rPr>
          <w:rFonts w:ascii="仿宋" w:hAnsi="仿宋" w:eastAsia="仿宋"/>
          <w:color w:val="333333"/>
          <w:sz w:val="32"/>
          <w:szCs w:val="32"/>
        </w:rPr>
        <w:t>30%</w:t>
      </w:r>
      <w:r>
        <w:rPr>
          <w:rFonts w:hint="eastAsia" w:ascii="仿宋" w:hAnsi="仿宋" w:eastAsia="仿宋"/>
          <w:color w:val="333333"/>
          <w:sz w:val="32"/>
          <w:szCs w:val="32"/>
        </w:rPr>
        <w:t>部分。当事人的违法行为符合法定从重处罚情形的，应当给予从重处罚。</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第七条  </w:t>
      </w:r>
      <w:r>
        <w:rPr>
          <w:rFonts w:hint="eastAsia" w:ascii="仿宋" w:hAnsi="仿宋" w:eastAsia="仿宋"/>
          <w:color w:val="333333"/>
          <w:sz w:val="32"/>
          <w:szCs w:val="32"/>
        </w:rPr>
        <w:t>有下列情形之一的，医疗保障行政部门应当不予处罚：</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(一)未满十四周岁的未成年人实施违法行为的;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(二)精神病人、智力残疾人在不能辨认或者控制自己行为时实施违法行为的;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(三)违法事实不清，证据不足的;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(四)违法行为轻微并及时改正，未造成危害后果的;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(五)当事人有证据足以证明没有主观过错的，法律、行政法规另有规定的，从其规定;</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(六)违法行为在二年内未被发现的，不再给予行政处罚;涉及公民生命健康安全、金融安全且有危害后果的，上述期限延长至五年。法律另有规定的除外。</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前款规定的期限，从违法行为发生之日起计算;违法行为有连续或继续状态的，从行为终了之日起计算。</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(七)法律、法规、规章规定其他依法不予处罚的情形。</w:t>
      </w:r>
    </w:p>
    <w:p>
      <w:pPr>
        <w:widowControl/>
        <w:shd w:val="clear" w:color="auto" w:fill="FFFFFF"/>
        <w:ind w:firstLine="604" w:firstLineChars="189"/>
        <w:jc w:val="left"/>
        <w:rPr>
          <w:rFonts w:ascii="黑体" w:hAnsi="黑体" w:eastAsia="黑体"/>
          <w:color w:val="333333"/>
          <w:sz w:val="32"/>
          <w:szCs w:val="32"/>
        </w:rPr>
      </w:pPr>
      <w:r>
        <w:rPr>
          <w:rFonts w:hint="eastAsia" w:ascii="黑体" w:hAnsi="黑体" w:eastAsia="黑体"/>
          <w:color w:val="333333"/>
          <w:sz w:val="32"/>
          <w:szCs w:val="32"/>
        </w:rPr>
        <w:t xml:space="preserve">第八条  </w:t>
      </w:r>
      <w:r>
        <w:rPr>
          <w:rFonts w:hint="eastAsia" w:ascii="仿宋_GB2312" w:hAnsi="Arial" w:eastAsia="仿宋_GB2312" w:cs="Arial"/>
          <w:color w:val="333333"/>
          <w:spacing w:val="8"/>
          <w:kern w:val="0"/>
          <w:sz w:val="32"/>
          <w:szCs w:val="32"/>
          <w:shd w:val="clear" w:color="auto" w:fill="FFFFFF"/>
        </w:rPr>
        <w:t>初次违法且危害后果轻微并及时改正的，</w:t>
      </w:r>
      <w:r>
        <w:rPr>
          <w:rFonts w:hint="eastAsia" w:ascii="仿宋" w:hAnsi="仿宋" w:eastAsia="仿宋"/>
          <w:color w:val="333333"/>
          <w:sz w:val="32"/>
          <w:szCs w:val="32"/>
        </w:rPr>
        <w:t>医疗保障行政部门可以</w:t>
      </w:r>
      <w:r>
        <w:rPr>
          <w:rFonts w:hint="eastAsia" w:ascii="仿宋_GB2312" w:hAnsi="Arial" w:eastAsia="仿宋_GB2312" w:cs="Arial"/>
          <w:color w:val="333333"/>
          <w:spacing w:val="8"/>
          <w:kern w:val="0"/>
          <w:sz w:val="32"/>
          <w:szCs w:val="32"/>
          <w:shd w:val="clear" w:color="auto" w:fill="FFFFFF"/>
        </w:rPr>
        <w:t>不予行政处罚</w:t>
      </w:r>
      <w:r>
        <w:rPr>
          <w:rFonts w:hint="eastAsia" w:ascii="仿宋" w:hAnsi="仿宋" w:eastAsia="仿宋"/>
          <w:color w:val="333333"/>
          <w:sz w:val="32"/>
          <w:szCs w:val="32"/>
        </w:rPr>
        <w:t>。</w:t>
      </w:r>
    </w:p>
    <w:p>
      <w:pPr>
        <w:spacing w:line="600" w:lineRule="exact"/>
        <w:ind w:firstLine="640" w:firstLineChars="200"/>
        <w:rPr>
          <w:rFonts w:ascii="仿宋" w:hAnsi="仿宋" w:eastAsia="仿宋"/>
          <w:color w:val="333333"/>
          <w:sz w:val="32"/>
          <w:szCs w:val="32"/>
        </w:rPr>
      </w:pPr>
      <w:r>
        <w:rPr>
          <w:rFonts w:hint="eastAsia" w:ascii="黑体" w:hAnsi="黑体" w:eastAsia="黑体"/>
          <w:color w:val="333333"/>
          <w:sz w:val="32"/>
          <w:szCs w:val="32"/>
        </w:rPr>
        <w:t xml:space="preserve">第九条  </w:t>
      </w:r>
      <w:r>
        <w:rPr>
          <w:rFonts w:hint="eastAsia" w:ascii="仿宋" w:hAnsi="仿宋" w:eastAsia="仿宋"/>
          <w:color w:val="333333"/>
          <w:sz w:val="32"/>
          <w:szCs w:val="32"/>
        </w:rPr>
        <w:t>当事人的违法行为符合法定减轻处罚情形的，应当给予减轻处罚。给予减轻处罚的，依法在法定行政处罚的最低限度以下作出，或在应当并处行政处罚时不进行并处。</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适用减轻处罚的，不得减轻至免于行政处罚。减轻后有罚款金额的，一般不得低于法定裁量幅度最低金额或倍数的</w:t>
      </w:r>
      <w:r>
        <w:rPr>
          <w:rFonts w:ascii="仿宋" w:hAnsi="仿宋" w:eastAsia="仿宋"/>
          <w:color w:val="333333"/>
          <w:sz w:val="32"/>
          <w:szCs w:val="32"/>
        </w:rPr>
        <w:t>10%</w:t>
      </w:r>
      <w:r>
        <w:rPr>
          <w:rFonts w:hint="eastAsia" w:ascii="仿宋" w:hAnsi="仿宋" w:eastAsia="仿宋"/>
          <w:color w:val="333333"/>
          <w:sz w:val="32"/>
          <w:szCs w:val="32"/>
        </w:rPr>
        <w:t>；办案机构也可根据实际情况酌情确定低于</w:t>
      </w:r>
      <w:r>
        <w:rPr>
          <w:rFonts w:ascii="仿宋" w:hAnsi="仿宋" w:eastAsia="仿宋"/>
          <w:color w:val="333333"/>
          <w:sz w:val="32"/>
          <w:szCs w:val="32"/>
        </w:rPr>
        <w:t>10%</w:t>
      </w:r>
      <w:r>
        <w:rPr>
          <w:rFonts w:hint="eastAsia" w:ascii="仿宋" w:hAnsi="仿宋" w:eastAsia="仿宋"/>
          <w:color w:val="333333"/>
          <w:sz w:val="32"/>
          <w:szCs w:val="32"/>
        </w:rPr>
        <w:t>以下金额。</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第十条</w:t>
      </w:r>
      <w:r>
        <w:rPr>
          <w:rFonts w:hint="eastAsia" w:ascii="仿宋" w:hAnsi="仿宋" w:eastAsia="仿宋"/>
          <w:color w:val="333333"/>
          <w:sz w:val="32"/>
          <w:szCs w:val="32"/>
        </w:rPr>
        <w:t xml:space="preserve">  有下列情形之一的，医疗保障行政部门应当减轻处罚：</w:t>
      </w:r>
    </w:p>
    <w:p>
      <w:pPr>
        <w:widowControl/>
        <w:shd w:val="clear" w:color="auto" w:fill="FFFFFF"/>
        <w:ind w:firstLine="707" w:firstLineChars="221"/>
        <w:jc w:val="left"/>
        <w:rPr>
          <w:rFonts w:ascii="仿宋" w:hAnsi="仿宋" w:eastAsia="仿宋"/>
          <w:color w:val="333333"/>
          <w:sz w:val="32"/>
          <w:szCs w:val="32"/>
        </w:rPr>
      </w:pPr>
      <w:r>
        <w:rPr>
          <w:rFonts w:hint="eastAsia" w:ascii="仿宋" w:hAnsi="仿宋" w:eastAsia="仿宋"/>
          <w:color w:val="333333"/>
          <w:sz w:val="32"/>
          <w:szCs w:val="32"/>
        </w:rPr>
        <w:t>(一)已满十四周岁不满十八周岁的未成年人实施违法行为的;</w:t>
      </w:r>
    </w:p>
    <w:p>
      <w:pPr>
        <w:widowControl/>
        <w:shd w:val="clear" w:color="auto" w:fill="FFFFFF"/>
        <w:ind w:firstLine="707" w:firstLineChars="221"/>
        <w:jc w:val="left"/>
        <w:rPr>
          <w:rFonts w:ascii="仿宋" w:hAnsi="仿宋" w:eastAsia="仿宋"/>
          <w:color w:val="333333"/>
          <w:sz w:val="32"/>
          <w:szCs w:val="32"/>
        </w:rPr>
      </w:pPr>
      <w:r>
        <w:rPr>
          <w:rFonts w:hint="eastAsia" w:ascii="仿宋" w:hAnsi="仿宋" w:eastAsia="仿宋"/>
          <w:color w:val="333333"/>
          <w:sz w:val="32"/>
          <w:szCs w:val="32"/>
        </w:rPr>
        <w:t>(二) 受他人胁迫或者诱骗实施违法行为的;</w:t>
      </w:r>
    </w:p>
    <w:p>
      <w:pPr>
        <w:widowControl/>
        <w:shd w:val="clear" w:color="auto" w:fill="FFFFFF"/>
        <w:ind w:firstLine="707" w:firstLineChars="221"/>
        <w:jc w:val="left"/>
        <w:rPr>
          <w:rFonts w:ascii="仿宋" w:hAnsi="仿宋" w:eastAsia="仿宋"/>
          <w:color w:val="333333"/>
          <w:sz w:val="32"/>
          <w:szCs w:val="32"/>
        </w:rPr>
      </w:pPr>
      <w:r>
        <w:rPr>
          <w:rFonts w:hint="eastAsia" w:ascii="仿宋" w:hAnsi="仿宋" w:eastAsia="仿宋"/>
          <w:color w:val="333333"/>
          <w:sz w:val="32"/>
          <w:szCs w:val="32"/>
        </w:rPr>
        <w:t>(三) 主动投案向行政机关如实交代违法行为的;</w:t>
      </w:r>
    </w:p>
    <w:p>
      <w:pPr>
        <w:widowControl/>
        <w:shd w:val="clear" w:color="auto" w:fill="FFFFFF"/>
        <w:ind w:firstLine="707" w:firstLineChars="221"/>
        <w:jc w:val="left"/>
        <w:rPr>
          <w:rFonts w:ascii="仿宋" w:hAnsi="仿宋" w:eastAsia="仿宋"/>
          <w:color w:val="333333"/>
          <w:sz w:val="32"/>
          <w:szCs w:val="32"/>
        </w:rPr>
      </w:pPr>
      <w:r>
        <w:rPr>
          <w:rFonts w:hint="eastAsia" w:ascii="仿宋" w:hAnsi="仿宋" w:eastAsia="仿宋"/>
          <w:color w:val="333333"/>
          <w:sz w:val="32"/>
          <w:szCs w:val="32"/>
        </w:rPr>
        <w:t>(四) 主动消除基金使用违法行为危害后果的;</w:t>
      </w:r>
    </w:p>
    <w:p>
      <w:pPr>
        <w:widowControl/>
        <w:shd w:val="clear" w:color="auto" w:fill="FFFFFF"/>
        <w:ind w:firstLine="707" w:firstLineChars="221"/>
        <w:jc w:val="left"/>
        <w:rPr>
          <w:rFonts w:ascii="仿宋" w:hAnsi="仿宋" w:eastAsia="仿宋"/>
          <w:color w:val="333333"/>
          <w:sz w:val="32"/>
          <w:szCs w:val="32"/>
        </w:rPr>
      </w:pPr>
      <w:r>
        <w:rPr>
          <w:rFonts w:hint="eastAsia" w:ascii="仿宋" w:hAnsi="仿宋" w:eastAsia="仿宋"/>
          <w:color w:val="333333"/>
          <w:sz w:val="32"/>
          <w:szCs w:val="32"/>
        </w:rPr>
        <w:t>（五）法律、法规、规章规定应当减轻处罚的其他情形。</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第十一条  </w:t>
      </w:r>
      <w:r>
        <w:rPr>
          <w:rFonts w:hint="eastAsia" w:ascii="仿宋" w:hAnsi="仿宋" w:eastAsia="仿宋"/>
          <w:color w:val="333333"/>
          <w:sz w:val="32"/>
          <w:szCs w:val="32"/>
        </w:rPr>
        <w:t>有下列情形之一的，医疗保障行政部门应当从轻处罚：</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(一)主动供述行政机关尚未掌握的基金使用违法行为的关键线索或证据，并经查证属实的;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(二)积极配合行政机关查处违法行为、如实陈述违法事实并主动提供证据材料的;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(三) 主动减轻基金使用违法行为危害后果的;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(四) 法律、法规、规章规定应当从轻处罚的其他情形。</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第十二条  </w:t>
      </w:r>
      <w:r>
        <w:rPr>
          <w:rFonts w:hint="eastAsia" w:ascii="仿宋" w:hAnsi="仿宋" w:eastAsia="仿宋"/>
          <w:color w:val="333333"/>
          <w:sz w:val="32"/>
          <w:szCs w:val="32"/>
        </w:rPr>
        <w:t>尚未完全丧失辨认或者控制自己行为能力的精神病人、智力残疾人有违法行为的，医疗保障行政部门可以从轻或减轻处罚。</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第十三条  </w:t>
      </w:r>
      <w:r>
        <w:rPr>
          <w:rFonts w:hint="eastAsia" w:ascii="仿宋" w:hAnsi="仿宋" w:eastAsia="仿宋"/>
          <w:color w:val="333333"/>
          <w:sz w:val="32"/>
          <w:szCs w:val="32"/>
        </w:rPr>
        <w:t>有下列情形之一的，医疗保障行政部门应当从重处罚：</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(一)违法情节恶劣，造成重大社会影响等严重危害后果的;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(二)责令改正拒不改正，或者一年内实施两次以上同一性质违法行为的;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(三)妨碍、阻挠或者抗拒执法人员依法调查、处理其违法行为的;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(四)故意转移、隐匿、毁坏或伪造证据，或者对举报投诉人、证人打击报复的;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(五)法律、法规、规章规定应当从重处罚的其他情形。</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第十四条   </w:t>
      </w:r>
      <w:r>
        <w:rPr>
          <w:rFonts w:hint="eastAsia" w:ascii="仿宋" w:hAnsi="仿宋" w:eastAsia="仿宋"/>
          <w:color w:val="333333"/>
          <w:sz w:val="32"/>
          <w:szCs w:val="32"/>
        </w:rPr>
        <w:t>同时具有两个以上从重情节、且不具有从轻或者减轻情节的，应当在违法行为对应的处罚幅度内按最高档次实施处罚。</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同时具有两个以上从轻情节、且不具有从重情节的，应当在违法行为对应的处罚幅度内按最低档次实施处罚。</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同时具有从重、从轻或减轻情节的，应当根据违法行为的性质和主要情节确定对应的处罚幅度，综合考虑后实施处罚。</w:t>
      </w:r>
    </w:p>
    <w:p>
      <w:pPr>
        <w:spacing w:line="600" w:lineRule="exact"/>
        <w:ind w:firstLine="640" w:firstLineChars="200"/>
        <w:rPr>
          <w:rFonts w:ascii="仿宋" w:hAnsi="仿宋" w:eastAsia="仿宋"/>
          <w:color w:val="333333"/>
          <w:sz w:val="32"/>
          <w:szCs w:val="32"/>
        </w:rPr>
      </w:pPr>
      <w:r>
        <w:rPr>
          <w:rFonts w:hint="eastAsia" w:ascii="黑体" w:hAnsi="黑体" w:eastAsia="黑体"/>
          <w:color w:val="333333"/>
          <w:sz w:val="32"/>
          <w:szCs w:val="32"/>
        </w:rPr>
        <w:t>第十五条</w:t>
      </w:r>
      <w:r>
        <w:rPr>
          <w:rFonts w:ascii="黑体" w:hAnsi="黑体" w:eastAsia="黑体"/>
          <w:color w:val="333333"/>
          <w:sz w:val="32"/>
          <w:szCs w:val="32"/>
        </w:rPr>
        <w:t xml:space="preserve"> </w:t>
      </w:r>
      <w:r>
        <w:rPr>
          <w:rFonts w:hint="eastAsia" w:ascii="黑体" w:hAnsi="黑体" w:eastAsia="黑体"/>
          <w:color w:val="333333"/>
          <w:sz w:val="32"/>
          <w:szCs w:val="32"/>
        </w:rPr>
        <w:t xml:space="preserve"> </w:t>
      </w:r>
      <w:r>
        <w:rPr>
          <w:rFonts w:hint="eastAsia" w:ascii="仿宋" w:hAnsi="仿宋" w:eastAsia="仿宋"/>
          <w:color w:val="333333"/>
          <w:sz w:val="32"/>
          <w:szCs w:val="32"/>
        </w:rPr>
        <w:t>法律、法规、规章规定的处罚种类可以单处或者可以并处的，可以选择适用；规定应当并处的，不得选择适用。</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可以单处也可以并处的行政处罚，应当根据综合裁量的原则决定单处或者并处；适用从重处罚的，应当予以并处。</w:t>
      </w:r>
    </w:p>
    <w:p>
      <w:pPr>
        <w:spacing w:line="600" w:lineRule="exact"/>
        <w:ind w:firstLine="640" w:firstLineChars="200"/>
        <w:rPr>
          <w:rFonts w:ascii="仿宋" w:hAnsi="仿宋" w:eastAsia="仿宋"/>
          <w:color w:val="333333"/>
          <w:sz w:val="32"/>
          <w:szCs w:val="32"/>
        </w:rPr>
      </w:pPr>
      <w:r>
        <w:rPr>
          <w:rFonts w:hint="eastAsia" w:ascii="黑体" w:hAnsi="黑体" w:eastAsia="黑体"/>
          <w:color w:val="333333"/>
          <w:sz w:val="32"/>
          <w:szCs w:val="32"/>
        </w:rPr>
        <w:t>第十六条</w:t>
      </w:r>
      <w:r>
        <w:rPr>
          <w:rFonts w:ascii="黑体" w:hAnsi="黑体" w:eastAsia="黑体"/>
          <w:color w:val="333333"/>
          <w:sz w:val="32"/>
          <w:szCs w:val="32"/>
        </w:rPr>
        <w:t xml:space="preserve"> </w:t>
      </w:r>
      <w:r>
        <w:rPr>
          <w:rFonts w:hint="eastAsia" w:ascii="黑体" w:hAnsi="黑体" w:eastAsia="黑体"/>
          <w:color w:val="333333"/>
          <w:sz w:val="32"/>
          <w:szCs w:val="32"/>
        </w:rPr>
        <w:t xml:space="preserve"> </w:t>
      </w:r>
      <w:r>
        <w:rPr>
          <w:rFonts w:hint="eastAsia" w:ascii="仿宋" w:hAnsi="仿宋" w:eastAsia="仿宋"/>
          <w:color w:val="333333"/>
          <w:sz w:val="32"/>
          <w:szCs w:val="32"/>
        </w:rPr>
        <w:t>省医疗保障局配套制定《辽宁省医疗保障基金监管行政处罚事项裁量基准》（以下简称省局裁量基准）。医疗保障行政部门在实施行政处罚时，应当以法律、法规、规章为依据，并在省局裁量基准范围内作出相应的行政处罚决定，不得单独引用裁量基准作为依据。</w:t>
      </w:r>
    </w:p>
    <w:p>
      <w:pPr>
        <w:spacing w:line="60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各市医疗保障行政部门在不与省局裁量基准相抵触的情况下，可以结合地区实际制定更加细化量化的行政处罚裁量基准在全市范围内适用，也可以直接适用省局裁量基准。各市制定的行政处罚裁量基准，应报省医疗保障局备案。</w:t>
      </w:r>
    </w:p>
    <w:p>
      <w:pPr>
        <w:spacing w:line="600" w:lineRule="exact"/>
        <w:ind w:firstLine="640" w:firstLineChars="200"/>
        <w:rPr>
          <w:rFonts w:ascii="仿宋" w:hAnsi="仿宋" w:eastAsia="仿宋"/>
          <w:color w:val="333333"/>
          <w:sz w:val="32"/>
          <w:szCs w:val="32"/>
        </w:rPr>
      </w:pPr>
      <w:r>
        <w:rPr>
          <w:rFonts w:hint="eastAsia" w:ascii="黑体" w:hAnsi="黑体" w:eastAsia="黑体"/>
          <w:color w:val="333333"/>
          <w:sz w:val="32"/>
          <w:szCs w:val="32"/>
        </w:rPr>
        <w:t xml:space="preserve">第十七条  </w:t>
      </w:r>
      <w:r>
        <w:rPr>
          <w:rFonts w:hint="eastAsia" w:ascii="仿宋" w:hAnsi="仿宋" w:eastAsia="仿宋"/>
          <w:color w:val="333333"/>
          <w:sz w:val="32"/>
          <w:szCs w:val="32"/>
        </w:rPr>
        <w:t>对于省局裁量基准未涵盖的相关行政处罚情形，医疗保障行政部门应当按照本办法规定的原则和情形行使行政处罚裁量权。</w:t>
      </w:r>
    </w:p>
    <w:p>
      <w:pPr>
        <w:spacing w:line="600" w:lineRule="exact"/>
        <w:ind w:firstLine="640" w:firstLineChars="200"/>
        <w:rPr>
          <w:rFonts w:ascii="仿宋" w:hAnsi="仿宋" w:eastAsia="仿宋"/>
          <w:color w:val="333333"/>
          <w:sz w:val="32"/>
          <w:szCs w:val="32"/>
        </w:rPr>
      </w:pPr>
    </w:p>
    <w:p>
      <w:pPr>
        <w:spacing w:line="600" w:lineRule="exact"/>
        <w:jc w:val="center"/>
        <w:rPr>
          <w:rFonts w:ascii="黑体" w:hAnsi="黑体" w:eastAsia="黑体"/>
          <w:color w:val="333333"/>
          <w:sz w:val="32"/>
          <w:szCs w:val="32"/>
        </w:rPr>
      </w:pPr>
      <w:r>
        <w:rPr>
          <w:rFonts w:hint="eastAsia" w:ascii="黑体" w:hAnsi="黑体" w:eastAsia="黑体"/>
          <w:color w:val="333333"/>
          <w:sz w:val="32"/>
          <w:szCs w:val="32"/>
        </w:rPr>
        <w:t>第三章  程序规则</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第十八条  </w:t>
      </w:r>
      <w:r>
        <w:rPr>
          <w:rFonts w:hint="eastAsia" w:ascii="仿宋" w:hAnsi="仿宋" w:eastAsia="仿宋"/>
          <w:color w:val="333333"/>
          <w:sz w:val="32"/>
          <w:szCs w:val="32"/>
        </w:rPr>
        <w:t>案件调查终结时，应当在终结报告中说明违法行为的事实、定性和行政处罚的证据、依据等，提出行政处罚建议。提出不予处罚、减轻处罚、从轻处罚、从重处罚建议的，应当说明理由并附相应证据材料，说明应当充分，与行政处罚裁量结果相关联。</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行政处罚决定的内容与裁量基准规定不一致的，应当在案件调查终结报告中作出说明。</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第十九条 </w:t>
      </w:r>
      <w:r>
        <w:rPr>
          <w:rFonts w:ascii="仿宋" w:hAnsi="仿宋" w:eastAsia="仿宋"/>
          <w:color w:val="333333"/>
          <w:sz w:val="32"/>
          <w:szCs w:val="32"/>
        </w:rPr>
        <w:t xml:space="preserve"> </w:t>
      </w:r>
      <w:r>
        <w:rPr>
          <w:rFonts w:hint="eastAsia" w:ascii="仿宋" w:hAnsi="仿宋" w:eastAsia="仿宋"/>
          <w:color w:val="333333"/>
          <w:sz w:val="32"/>
          <w:szCs w:val="32"/>
        </w:rPr>
        <w:t>医疗保障行政部门法制机构应当进行法制审核的，要对行政处罚裁量部分予以审核。发现行政处罚建议有以下情形之一的，应当退回办案机构补正：</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（一）未说明裁量理由的；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（二）未附相应裁量的证据材料，或者所附相应证据材料不足的；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（三）建议的处罚种类或幅度适用不当的；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（四）其他应当退回办案机构补正的情形。</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第二十条</w:t>
      </w:r>
      <w:r>
        <w:rPr>
          <w:rFonts w:ascii="仿宋" w:hAnsi="仿宋" w:eastAsia="仿宋"/>
          <w:color w:val="333333"/>
          <w:sz w:val="32"/>
          <w:szCs w:val="32"/>
        </w:rPr>
        <w:t xml:space="preserve"> </w:t>
      </w:r>
      <w:r>
        <w:rPr>
          <w:rFonts w:hint="eastAsia" w:ascii="仿宋" w:hAnsi="仿宋" w:eastAsia="仿宋"/>
          <w:color w:val="333333"/>
          <w:sz w:val="32"/>
          <w:szCs w:val="32"/>
        </w:rPr>
        <w:t xml:space="preserve"> 在案件调查终结报告、集体讨论记录、行政处罚事先告知书、听证告知书、行政处罚决定书等文书中应当将行政处罚裁量权的行使情况进行表述，适用不予、减轻、从轻、从重处罚的</w:t>
      </w:r>
      <w:r>
        <w:rPr>
          <w:rFonts w:ascii="仿宋" w:hAnsi="仿宋" w:eastAsia="仿宋"/>
          <w:color w:val="333333"/>
          <w:sz w:val="32"/>
          <w:szCs w:val="32"/>
        </w:rPr>
        <w:t>,</w:t>
      </w:r>
      <w:r>
        <w:rPr>
          <w:rFonts w:hint="eastAsia" w:ascii="仿宋" w:hAnsi="仿宋" w:eastAsia="仿宋"/>
          <w:color w:val="333333"/>
          <w:sz w:val="32"/>
          <w:szCs w:val="32"/>
        </w:rPr>
        <w:t>应当说明理由、依据并具有相应情节的证据佐证。</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第二十一条  </w:t>
      </w:r>
      <w:r>
        <w:rPr>
          <w:rFonts w:hint="eastAsia" w:ascii="仿宋" w:hAnsi="仿宋" w:eastAsia="仿宋"/>
          <w:color w:val="333333"/>
          <w:sz w:val="32"/>
          <w:szCs w:val="32"/>
        </w:rPr>
        <w:t>对当事人的同一个违法行为不得给予两次以上罚款的行政处罚。</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 xml:space="preserve">当事人同时具有两个以上应当给予行政处罚的违法行为，应当分别决定，合并执行。在处罚文书上分别载明每项违法行为及其违反的法律条款、相应的处罚决定，并载明合并执行的方式、结果。其中，有两个以上罚款决定的，按照累加原则决定执行罚款数额。  </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第二十二条</w:t>
      </w:r>
      <w:r>
        <w:rPr>
          <w:rFonts w:hint="eastAsia" w:ascii="仿宋" w:hAnsi="仿宋" w:eastAsia="仿宋"/>
          <w:color w:val="333333"/>
          <w:sz w:val="32"/>
          <w:szCs w:val="32"/>
        </w:rPr>
        <w:t xml:space="preserve">   医疗保障行政部门应当责令当事人改正违法行为的，以及应当责令退回医疗保障基金损失的，除法律、法规、规章另有规定外，责令改正、责令退回的期限一般不超过30日。</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第二十三条  </w:t>
      </w:r>
      <w:r>
        <w:rPr>
          <w:rFonts w:hint="eastAsia" w:ascii="仿宋" w:hAnsi="仿宋" w:eastAsia="仿宋"/>
          <w:color w:val="333333"/>
          <w:sz w:val="32"/>
          <w:szCs w:val="32"/>
        </w:rPr>
        <w:t>除法律、法规、规章有明确规定外，新旧规定不一致的，违法行为发生在或者延续到新规定生效后的，适用新规定；违法行为发生在新规定生效前的，按照从旧兼从轻的原则处理。</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第二十四条  </w:t>
      </w:r>
      <w:r>
        <w:rPr>
          <w:rFonts w:hint="eastAsia" w:ascii="仿宋" w:hAnsi="仿宋" w:eastAsia="仿宋"/>
          <w:color w:val="333333"/>
          <w:sz w:val="32"/>
          <w:szCs w:val="32"/>
        </w:rPr>
        <w:t>各级医疗保障行政部门要健全完善类案同罚机制，统一法律法规适用标准。同一执法主体对违法事实、性质、情节、社会危害程度和当事人主观过错等因素相当的同类违法行为，行政处罚种类、幅度一致或基本一致。</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医疗保障行政部门应当加强医疗保障基金监管执法典型案例的收集、整理、研究和发布工作，建立医疗保障基金监管行政执法案例库，充分发挥典型案例在指导和规范行政处罚裁量权工作中的引导、规范功能。</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类案同罚机制不妨碍医疗保障行政部门在说明特殊理由、依据并有相关证据佐证的前提下，做出例外的裁量。</w:t>
      </w:r>
    </w:p>
    <w:p>
      <w:pPr>
        <w:widowControl/>
        <w:shd w:val="clear" w:color="auto" w:fill="FFFFFF"/>
        <w:ind w:firstLine="604" w:firstLineChars="189"/>
        <w:jc w:val="left"/>
        <w:rPr>
          <w:rFonts w:ascii="仿宋_GB2312" w:hAnsi="仿宋_GB2312" w:eastAsia="仿宋_GB2312" w:cs="仿宋_GB2312"/>
          <w:color w:val="000000"/>
          <w:kern w:val="0"/>
          <w:sz w:val="32"/>
          <w:szCs w:val="32"/>
        </w:rPr>
      </w:pPr>
    </w:p>
    <w:p>
      <w:pPr>
        <w:widowControl/>
        <w:shd w:val="clear" w:color="auto" w:fill="FFFFFF"/>
        <w:jc w:val="center"/>
        <w:rPr>
          <w:rFonts w:ascii="黑体" w:hAnsi="黑体" w:eastAsia="黑体"/>
          <w:color w:val="333333"/>
          <w:sz w:val="32"/>
          <w:szCs w:val="32"/>
        </w:rPr>
      </w:pPr>
      <w:r>
        <w:rPr>
          <w:rFonts w:hint="eastAsia" w:ascii="黑体" w:hAnsi="黑体" w:eastAsia="黑体"/>
          <w:color w:val="333333"/>
          <w:sz w:val="32"/>
          <w:szCs w:val="32"/>
        </w:rPr>
        <w:t>第四章  监督</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第二十五条</w:t>
      </w:r>
      <w:r>
        <w:rPr>
          <w:rFonts w:hint="eastAsia" w:ascii="仿宋" w:hAnsi="仿宋" w:eastAsia="仿宋"/>
          <w:color w:val="333333"/>
          <w:sz w:val="32"/>
          <w:szCs w:val="32"/>
        </w:rPr>
        <w:t xml:space="preserve">  各级医疗保障行政部门应当建立健全规范医疗保障基金监管行政处罚裁量权的监督制度，通过以下方式加强对本行政区域内医疗保障行政部门行使裁量权情况的监督：</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(一)行政处罚集体讨论;</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(二)行政处罚决定法制审核;</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(三)行政执法评议考核;</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(四)行政处罚案卷评查;</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(五)办理行政执法投诉举报;</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(六)行政处罚结果公开;</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(七)法律、法规和规章规定的其他方式。</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各级医疗保障行政部门应当加强对下级医疗保障行政部门行使行政处罚裁量权的监督、指导。发现行政处罚裁量违法或者不当的，应当及时纠正。</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第二十六条 </w:t>
      </w:r>
      <w:r>
        <w:rPr>
          <w:rFonts w:hint="eastAsia" w:ascii="仿宋" w:hAnsi="仿宋" w:eastAsia="仿宋"/>
          <w:color w:val="333333"/>
          <w:sz w:val="32"/>
          <w:szCs w:val="32"/>
        </w:rPr>
        <w:t xml:space="preserve"> 医疗保障行政部门行使行政处罚裁量权，不得有下列情形：</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(一)违法行为的事实、性质、情节以及社会危害程度与受到的行政处罚相比，畸轻或者畸重的;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(二)在同一时期同类案件中，不同当事人的违法行为相同或者相近，所受行政处罚差别较大的;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(三)依法应当不予行政处罚或者应当从轻、减轻行政处罚的，给予处罚或未从轻、减轻行政处罚的;</w:t>
      </w:r>
    </w:p>
    <w:p>
      <w:pPr>
        <w:widowControl/>
        <w:shd w:val="clear" w:color="auto" w:fill="FFFFFF"/>
        <w:ind w:firstLine="604" w:firstLineChars="189"/>
        <w:jc w:val="left"/>
        <w:rPr>
          <w:rFonts w:ascii="仿宋" w:hAnsi="仿宋" w:eastAsia="仿宋"/>
          <w:color w:val="333333"/>
          <w:sz w:val="32"/>
          <w:szCs w:val="32"/>
        </w:rPr>
      </w:pPr>
      <w:r>
        <w:rPr>
          <w:rFonts w:hint="eastAsia" w:ascii="仿宋" w:hAnsi="仿宋" w:eastAsia="仿宋"/>
          <w:color w:val="333333"/>
          <w:sz w:val="32"/>
          <w:szCs w:val="32"/>
        </w:rPr>
        <w:t>(四)其他滥用行政处罚裁量权情形的。</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 xml:space="preserve">第二十七条 </w:t>
      </w:r>
      <w:r>
        <w:rPr>
          <w:rFonts w:hint="eastAsia" w:ascii="仿宋" w:hAnsi="仿宋" w:eastAsia="仿宋"/>
          <w:color w:val="333333"/>
          <w:sz w:val="32"/>
          <w:szCs w:val="32"/>
        </w:rPr>
        <w:t xml:space="preserve"> 医疗保障基金监管行政执法人员滥用行政处罚裁量权的，依法追究其行政责任。涉嫌违纪、犯罪的，移交纪检监察机关、司法机关依法依规处理。</w:t>
      </w:r>
    </w:p>
    <w:p>
      <w:pPr>
        <w:widowControl/>
        <w:shd w:val="clear" w:color="auto" w:fill="FFFFFF"/>
        <w:ind w:firstLine="604" w:firstLineChars="189"/>
        <w:jc w:val="left"/>
        <w:rPr>
          <w:rFonts w:ascii="仿宋" w:hAnsi="仿宋" w:eastAsia="仿宋"/>
          <w:color w:val="333333"/>
          <w:sz w:val="32"/>
          <w:szCs w:val="32"/>
        </w:rPr>
      </w:pPr>
    </w:p>
    <w:p>
      <w:pPr>
        <w:widowControl/>
        <w:shd w:val="clear" w:color="auto" w:fill="FFFFFF"/>
        <w:jc w:val="center"/>
        <w:rPr>
          <w:rFonts w:ascii="黑体" w:hAnsi="黑体" w:eastAsia="黑体"/>
          <w:color w:val="333333"/>
          <w:sz w:val="32"/>
          <w:szCs w:val="32"/>
        </w:rPr>
      </w:pPr>
      <w:r>
        <w:rPr>
          <w:rFonts w:hint="eastAsia" w:ascii="黑体" w:hAnsi="黑体" w:eastAsia="黑体"/>
          <w:color w:val="333333"/>
          <w:sz w:val="32"/>
          <w:szCs w:val="32"/>
        </w:rPr>
        <w:t>第五章  附则</w:t>
      </w:r>
    </w:p>
    <w:p>
      <w:pPr>
        <w:widowControl/>
        <w:shd w:val="clear" w:color="auto" w:fill="FFFFFF"/>
        <w:ind w:firstLine="604" w:firstLineChars="189"/>
        <w:jc w:val="left"/>
        <w:rPr>
          <w:rFonts w:ascii="仿宋_GB2312" w:hAnsi="黑体" w:eastAsia="仿宋_GB2312"/>
          <w:color w:val="333333"/>
          <w:sz w:val="32"/>
          <w:szCs w:val="32"/>
        </w:rPr>
      </w:pPr>
      <w:r>
        <w:rPr>
          <w:rFonts w:hint="eastAsia" w:ascii="黑体" w:hAnsi="黑体" w:eastAsia="黑体" w:cs="仿宋_GB2312"/>
          <w:bCs/>
          <w:sz w:val="32"/>
          <w:szCs w:val="32"/>
        </w:rPr>
        <w:t>第二十八条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黑体" w:eastAsia="仿宋_GB2312"/>
          <w:color w:val="333333"/>
          <w:sz w:val="32"/>
          <w:szCs w:val="32"/>
        </w:rPr>
        <w:t>本办法中的数额和倍数， “以上”和“以下”均包含本数。</w:t>
      </w:r>
    </w:p>
    <w:p>
      <w:pPr>
        <w:widowControl/>
        <w:shd w:val="clear" w:color="auto" w:fill="FFFFFF"/>
        <w:ind w:firstLine="604" w:firstLineChars="189"/>
        <w:jc w:val="left"/>
        <w:rPr>
          <w:rFonts w:ascii="仿宋" w:hAnsi="仿宋" w:eastAsia="仿宋"/>
          <w:color w:val="333333"/>
          <w:sz w:val="32"/>
          <w:szCs w:val="32"/>
        </w:rPr>
      </w:pPr>
      <w:r>
        <w:rPr>
          <w:rFonts w:hint="eastAsia" w:ascii="黑体" w:hAnsi="黑体" w:eastAsia="黑体"/>
          <w:color w:val="333333"/>
          <w:sz w:val="32"/>
          <w:szCs w:val="32"/>
        </w:rPr>
        <w:t>第二十九条</w:t>
      </w:r>
      <w:r>
        <w:rPr>
          <w:rFonts w:hint="eastAsia" w:ascii="仿宋" w:hAnsi="仿宋" w:eastAsia="仿宋"/>
          <w:color w:val="333333"/>
          <w:sz w:val="32"/>
          <w:szCs w:val="32"/>
        </w:rPr>
        <w:t xml:space="preserve">  本办法自2022年3月1日实施。由辽宁省医疗保障局负责解释。</w:t>
      </w:r>
    </w:p>
    <w:p>
      <w:pPr>
        <w:widowControl/>
        <w:shd w:val="clear" w:color="auto" w:fill="FFFFFF"/>
        <w:ind w:firstLine="604" w:firstLineChars="189"/>
        <w:jc w:val="left"/>
        <w:rPr>
          <w:rFonts w:ascii="仿宋" w:hAnsi="仿宋" w:eastAsia="仿宋"/>
          <w:color w:val="333333"/>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571499"/>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32"/>
    <w:rsid w:val="00011637"/>
    <w:rsid w:val="00021E7F"/>
    <w:rsid w:val="00045932"/>
    <w:rsid w:val="00046E5C"/>
    <w:rsid w:val="00046FE7"/>
    <w:rsid w:val="00082C62"/>
    <w:rsid w:val="000875F5"/>
    <w:rsid w:val="000B1AE4"/>
    <w:rsid w:val="000C5AB8"/>
    <w:rsid w:val="00122B51"/>
    <w:rsid w:val="001500AE"/>
    <w:rsid w:val="00151020"/>
    <w:rsid w:val="001A70CE"/>
    <w:rsid w:val="001C1EF6"/>
    <w:rsid w:val="001F2316"/>
    <w:rsid w:val="0023718F"/>
    <w:rsid w:val="00243D90"/>
    <w:rsid w:val="002703E0"/>
    <w:rsid w:val="00286546"/>
    <w:rsid w:val="00293901"/>
    <w:rsid w:val="002A256F"/>
    <w:rsid w:val="002E524B"/>
    <w:rsid w:val="002F706C"/>
    <w:rsid w:val="00321213"/>
    <w:rsid w:val="00330066"/>
    <w:rsid w:val="0033546C"/>
    <w:rsid w:val="003435A8"/>
    <w:rsid w:val="00365029"/>
    <w:rsid w:val="003863DF"/>
    <w:rsid w:val="003F01AD"/>
    <w:rsid w:val="003F2700"/>
    <w:rsid w:val="00417026"/>
    <w:rsid w:val="004263D6"/>
    <w:rsid w:val="00456CFF"/>
    <w:rsid w:val="004772F2"/>
    <w:rsid w:val="0048538C"/>
    <w:rsid w:val="005215C3"/>
    <w:rsid w:val="00557749"/>
    <w:rsid w:val="0056251F"/>
    <w:rsid w:val="0060587D"/>
    <w:rsid w:val="00684FE9"/>
    <w:rsid w:val="006C390B"/>
    <w:rsid w:val="006E2156"/>
    <w:rsid w:val="00721C88"/>
    <w:rsid w:val="007622E3"/>
    <w:rsid w:val="00765A6D"/>
    <w:rsid w:val="00796645"/>
    <w:rsid w:val="007A5181"/>
    <w:rsid w:val="007F4621"/>
    <w:rsid w:val="00803278"/>
    <w:rsid w:val="008147BE"/>
    <w:rsid w:val="00856481"/>
    <w:rsid w:val="008D0FC9"/>
    <w:rsid w:val="008E522A"/>
    <w:rsid w:val="00974C67"/>
    <w:rsid w:val="009963C0"/>
    <w:rsid w:val="009C2509"/>
    <w:rsid w:val="009C3E9F"/>
    <w:rsid w:val="009D79B2"/>
    <w:rsid w:val="00A11400"/>
    <w:rsid w:val="00A4377D"/>
    <w:rsid w:val="00A71BCB"/>
    <w:rsid w:val="00AA1797"/>
    <w:rsid w:val="00AA6CDD"/>
    <w:rsid w:val="00AB69F2"/>
    <w:rsid w:val="00AE5B90"/>
    <w:rsid w:val="00AF197B"/>
    <w:rsid w:val="00B41A69"/>
    <w:rsid w:val="00B816B6"/>
    <w:rsid w:val="00B81B95"/>
    <w:rsid w:val="00B92156"/>
    <w:rsid w:val="00B9600C"/>
    <w:rsid w:val="00BA6C27"/>
    <w:rsid w:val="00C17208"/>
    <w:rsid w:val="00C7258C"/>
    <w:rsid w:val="00CF7285"/>
    <w:rsid w:val="00D34419"/>
    <w:rsid w:val="00D46D65"/>
    <w:rsid w:val="00D75CDF"/>
    <w:rsid w:val="00DA28CA"/>
    <w:rsid w:val="00E308D9"/>
    <w:rsid w:val="00E3317F"/>
    <w:rsid w:val="00E610C1"/>
    <w:rsid w:val="00E71FB1"/>
    <w:rsid w:val="00E90E2A"/>
    <w:rsid w:val="00E90E3C"/>
    <w:rsid w:val="00EA7777"/>
    <w:rsid w:val="00EC48A0"/>
    <w:rsid w:val="00ED003E"/>
    <w:rsid w:val="00EF038D"/>
    <w:rsid w:val="00EF3880"/>
    <w:rsid w:val="00EF55BD"/>
    <w:rsid w:val="00F14F6C"/>
    <w:rsid w:val="00F23842"/>
    <w:rsid w:val="00F3408C"/>
    <w:rsid w:val="00F55C9A"/>
    <w:rsid w:val="00F714D7"/>
    <w:rsid w:val="00FB3F65"/>
    <w:rsid w:val="00FF1815"/>
    <w:rsid w:val="D69EF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654</Words>
  <Characters>3733</Characters>
  <Lines>31</Lines>
  <Paragraphs>8</Paragraphs>
  <TotalTime>830</TotalTime>
  <ScaleCrop>false</ScaleCrop>
  <LinksUpToDate>false</LinksUpToDate>
  <CharactersWithSpaces>4379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2021-09-09T15:35:00Z</dcterms:created>
  <dc:creator>lenovo</dc:creator>
  <cp:lastModifiedBy>thtf</cp:lastModifiedBy>
  <cp:lastPrinted>2021-12-27T16:19:00Z</cp:lastPrinted>
  <dcterms:modified xsi:type="dcterms:W3CDTF">2024-07-31T16:37:19Z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