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华文中宋" w:hAnsi="华文中宋" w:eastAsia="华文中宋"/>
          <w:color w:val="000000"/>
          <w:sz w:val="36"/>
          <w:szCs w:val="36"/>
        </w:rPr>
      </w:pPr>
      <w:r>
        <w:rPr>
          <w:rFonts w:hint="eastAsia" w:ascii="华文中宋" w:hAnsi="华文中宋" w:eastAsia="华文中宋"/>
          <w:color w:val="000000"/>
          <w:sz w:val="36"/>
          <w:szCs w:val="36"/>
        </w:rPr>
        <w:t>安徽省地方标准编制说明</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
        <w:gridCol w:w="1178"/>
        <w:gridCol w:w="3001"/>
        <w:gridCol w:w="977"/>
        <w:gridCol w:w="994"/>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1054" w:type="pct"/>
            <w:gridSpan w:val="2"/>
            <w:vAlign w:val="center"/>
          </w:tcPr>
          <w:p>
            <w:pPr>
              <w:pStyle w:val="16"/>
              <w:adjustRightInd w:val="0"/>
              <w:spacing w:line="360" w:lineRule="auto"/>
              <w:ind w:firstLine="0" w:firstLineChars="0"/>
              <w:contextualSpacing/>
              <w:jc w:val="center"/>
              <w:rPr>
                <w:rFonts w:hAnsi="宋体"/>
                <w:szCs w:val="21"/>
              </w:rPr>
            </w:pPr>
            <w:r>
              <w:rPr>
                <w:rFonts w:hint="eastAsia" w:hAnsi="宋体"/>
                <w:szCs w:val="21"/>
              </w:rPr>
              <w:t>标准名称</w:t>
            </w:r>
          </w:p>
        </w:tc>
        <w:tc>
          <w:tcPr>
            <w:tcW w:w="3945" w:type="pct"/>
            <w:gridSpan w:val="4"/>
            <w:vAlign w:val="center"/>
          </w:tcPr>
          <w:p>
            <w:pPr>
              <w:pStyle w:val="16"/>
              <w:adjustRightInd w:val="0"/>
              <w:spacing w:line="360" w:lineRule="auto"/>
              <w:ind w:firstLine="0" w:firstLineChars="0"/>
              <w:contextualSpacing/>
              <w:jc w:val="center"/>
              <w:rPr>
                <w:rFonts w:hAnsi="宋体"/>
                <w:szCs w:val="21"/>
              </w:rPr>
            </w:pPr>
            <w:r>
              <w:rPr>
                <w:rFonts w:hint="eastAsia" w:hAnsi="宋体"/>
                <w:szCs w:val="21"/>
              </w:rPr>
              <w:t>技术经纪人（经理人）培育规范</w:t>
            </w:r>
          </w:p>
        </w:tc>
      </w:tr>
      <w:tr>
        <w:tblPrEx>
          <w:tblCellMar>
            <w:top w:w="0" w:type="dxa"/>
            <w:left w:w="108" w:type="dxa"/>
            <w:bottom w:w="0" w:type="dxa"/>
            <w:right w:w="108" w:type="dxa"/>
          </w:tblCellMar>
        </w:tblPrEx>
        <w:trPr>
          <w:trHeight w:val="20" w:hRule="atLeast"/>
          <w:jc w:val="center"/>
        </w:trPr>
        <w:tc>
          <w:tcPr>
            <w:tcW w:w="1054" w:type="pct"/>
            <w:gridSpan w:val="2"/>
            <w:vAlign w:val="center"/>
          </w:tcPr>
          <w:p>
            <w:pPr>
              <w:pStyle w:val="16"/>
              <w:adjustRightInd w:val="0"/>
              <w:spacing w:line="360" w:lineRule="auto"/>
              <w:ind w:firstLine="0" w:firstLineChars="0"/>
              <w:contextualSpacing/>
              <w:jc w:val="center"/>
              <w:rPr>
                <w:rFonts w:hAnsi="宋体"/>
                <w:szCs w:val="21"/>
              </w:rPr>
            </w:pPr>
            <w:r>
              <w:rPr>
                <w:rFonts w:hint="eastAsia" w:hAnsi="宋体"/>
                <w:szCs w:val="21"/>
              </w:rPr>
              <w:t>任务来源</w:t>
            </w:r>
          </w:p>
          <w:p>
            <w:pPr>
              <w:pStyle w:val="16"/>
              <w:adjustRightInd w:val="0"/>
              <w:spacing w:line="360" w:lineRule="auto"/>
              <w:ind w:firstLine="0" w:firstLineChars="0"/>
              <w:contextualSpacing/>
              <w:jc w:val="center"/>
              <w:rPr>
                <w:rFonts w:hAnsi="宋体"/>
                <w:szCs w:val="21"/>
              </w:rPr>
            </w:pPr>
            <w:r>
              <w:rPr>
                <w:rFonts w:hint="eastAsia" w:hAnsi="宋体"/>
                <w:szCs w:val="21"/>
              </w:rPr>
              <w:t>（项目计划号）</w:t>
            </w:r>
          </w:p>
        </w:tc>
        <w:tc>
          <w:tcPr>
            <w:tcW w:w="3945" w:type="pct"/>
            <w:gridSpan w:val="4"/>
            <w:vAlign w:val="center"/>
          </w:tcPr>
          <w:p>
            <w:pPr>
              <w:pStyle w:val="16"/>
              <w:adjustRightInd w:val="0"/>
              <w:spacing w:line="360" w:lineRule="auto"/>
              <w:ind w:firstLine="0" w:firstLineChars="0"/>
              <w:contextualSpacing/>
              <w:rPr>
                <w:rFonts w:hint="eastAsia" w:hAnsi="宋体" w:eastAsia="宋体"/>
                <w:szCs w:val="21"/>
                <w:lang w:eastAsia="zh-CN"/>
              </w:rPr>
            </w:pPr>
            <w:r>
              <w:rPr>
                <w:rFonts w:hint="eastAsia" w:hAnsi="宋体"/>
                <w:szCs w:val="21"/>
              </w:rPr>
              <w:t>安徽省</w:t>
            </w:r>
            <w:r>
              <w:rPr>
                <w:rFonts w:hAnsi="宋体"/>
                <w:szCs w:val="21"/>
              </w:rPr>
              <w:t>市场</w:t>
            </w:r>
            <w:r>
              <w:rPr>
                <w:rFonts w:hint="eastAsia" w:hAnsi="宋体"/>
                <w:szCs w:val="21"/>
              </w:rPr>
              <w:t>监督</w:t>
            </w:r>
            <w:r>
              <w:rPr>
                <w:rFonts w:hAnsi="宋体"/>
                <w:szCs w:val="21"/>
              </w:rPr>
              <w:t>管理局</w:t>
            </w:r>
            <w:r>
              <w:rPr>
                <w:rFonts w:hint="eastAsia" w:hAnsi="宋体"/>
                <w:szCs w:val="21"/>
              </w:rPr>
              <w:t>关于</w:t>
            </w:r>
            <w:r>
              <w:rPr>
                <w:rFonts w:hAnsi="宋体"/>
                <w:szCs w:val="21"/>
              </w:rPr>
              <w:t>下达</w:t>
            </w:r>
            <w:r>
              <w:rPr>
                <w:rFonts w:hint="eastAsia" w:hAnsi="宋体"/>
                <w:szCs w:val="21"/>
              </w:rPr>
              <w:t>2023年第二批安徽省地方标准制修订计划</w:t>
            </w:r>
            <w:r>
              <w:rPr>
                <w:rFonts w:hAnsi="宋体"/>
                <w:szCs w:val="21"/>
              </w:rPr>
              <w:t>的通知</w:t>
            </w:r>
            <w:r>
              <w:rPr>
                <w:rFonts w:hint="eastAsia" w:hAnsi="宋体"/>
                <w:szCs w:val="21"/>
              </w:rPr>
              <w:t>（</w:t>
            </w:r>
            <w:r>
              <w:rPr>
                <w:rFonts w:hint="eastAsia" w:hAnsi="宋体"/>
                <w:color w:val="000000" w:themeColor="text1"/>
                <w:szCs w:val="21"/>
                <w14:textFill>
                  <w14:solidFill>
                    <w14:schemeClr w14:val="tx1"/>
                  </w14:solidFill>
                </w14:textFill>
              </w:rPr>
              <w:t>皖市监函〔</w:t>
            </w:r>
            <w:r>
              <w:rPr>
                <w:rFonts w:hint="eastAsia" w:hAnsi="宋体"/>
                <w:szCs w:val="21"/>
              </w:rPr>
              <w:t>20</w:t>
            </w:r>
            <w:r>
              <w:rPr>
                <w:rFonts w:hAnsi="宋体"/>
                <w:szCs w:val="21"/>
              </w:rPr>
              <w:t>23</w:t>
            </w:r>
            <w:r>
              <w:rPr>
                <w:rFonts w:hint="eastAsia" w:hAnsi="宋体"/>
                <w:color w:val="000000" w:themeColor="text1"/>
                <w:szCs w:val="21"/>
                <w14:textFill>
                  <w14:solidFill>
                    <w14:schemeClr w14:val="tx1"/>
                  </w14:solidFill>
                </w14:textFill>
              </w:rPr>
              <w:t>〕</w:t>
            </w:r>
            <w:r>
              <w:rPr>
                <w:rFonts w:hAnsi="宋体"/>
                <w:szCs w:val="21"/>
              </w:rPr>
              <w:t>478</w:t>
            </w:r>
            <w:r>
              <w:rPr>
                <w:rFonts w:hint="eastAsia" w:hAnsi="宋体"/>
                <w:szCs w:val="21"/>
              </w:rPr>
              <w:t>号），项目计划号：20</w:t>
            </w:r>
            <w:r>
              <w:rPr>
                <w:rFonts w:hAnsi="宋体"/>
                <w:szCs w:val="21"/>
              </w:rPr>
              <w:t>23</w:t>
            </w:r>
            <w:r>
              <w:rPr>
                <w:rFonts w:hint="eastAsia" w:hAnsi="宋体"/>
                <w:szCs w:val="21"/>
              </w:rPr>
              <w:t>-</w:t>
            </w:r>
            <w:r>
              <w:rPr>
                <w:rFonts w:hAnsi="宋体"/>
                <w:szCs w:val="21"/>
              </w:rPr>
              <w:t>2</w:t>
            </w:r>
            <w:r>
              <w:rPr>
                <w:rFonts w:hint="eastAsia" w:hAnsi="宋体"/>
                <w:szCs w:val="21"/>
              </w:rPr>
              <w:t>-</w:t>
            </w:r>
            <w:r>
              <w:rPr>
                <w:rFonts w:hint="eastAsia" w:hAnsi="宋体"/>
                <w:szCs w:val="21"/>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54" w:type="pct"/>
            <w:gridSpan w:val="2"/>
            <w:vAlign w:val="center"/>
          </w:tcPr>
          <w:p>
            <w:pPr>
              <w:pStyle w:val="16"/>
              <w:adjustRightInd w:val="0"/>
              <w:spacing w:line="360" w:lineRule="auto"/>
              <w:ind w:firstLine="0" w:firstLineChars="0"/>
              <w:contextualSpacing/>
              <w:jc w:val="center"/>
              <w:rPr>
                <w:rFonts w:hAnsi="宋体"/>
                <w:szCs w:val="21"/>
              </w:rPr>
            </w:pPr>
            <w:r>
              <w:rPr>
                <w:rFonts w:hint="eastAsia" w:hAnsi="宋体"/>
                <w:szCs w:val="21"/>
              </w:rPr>
              <w:t>第一起草单位</w:t>
            </w:r>
          </w:p>
          <w:p>
            <w:pPr>
              <w:pStyle w:val="16"/>
              <w:adjustRightInd w:val="0"/>
              <w:spacing w:line="360" w:lineRule="auto"/>
              <w:ind w:firstLine="0" w:firstLineChars="0"/>
              <w:contextualSpacing/>
              <w:jc w:val="center"/>
              <w:rPr>
                <w:rFonts w:hAnsi="宋体"/>
                <w:bCs/>
                <w:szCs w:val="21"/>
              </w:rPr>
            </w:pPr>
            <w:r>
              <w:rPr>
                <w:rFonts w:hint="eastAsia" w:hAnsi="宋体"/>
                <w:bCs/>
                <w:szCs w:val="21"/>
              </w:rPr>
              <w:t>（盖章）</w:t>
            </w:r>
          </w:p>
        </w:tc>
        <w:tc>
          <w:tcPr>
            <w:tcW w:w="3945" w:type="pct"/>
            <w:gridSpan w:val="4"/>
            <w:vAlign w:val="center"/>
          </w:tcPr>
          <w:p>
            <w:pPr>
              <w:pStyle w:val="16"/>
              <w:adjustRightInd w:val="0"/>
              <w:spacing w:line="360" w:lineRule="auto"/>
              <w:ind w:firstLine="0" w:firstLineChars="0"/>
              <w:contextualSpacing/>
              <w:rPr>
                <w:rFonts w:hint="default" w:hAnsi="宋体" w:eastAsia="宋体"/>
                <w:szCs w:val="21"/>
                <w:lang w:val="en-US" w:eastAsia="zh-CN"/>
              </w:rPr>
            </w:pPr>
            <w:r>
              <w:rPr>
                <w:rFonts w:hint="eastAsia" w:hAnsi="宋体"/>
                <w:szCs w:val="21"/>
                <w:lang w:val="en-US" w:eastAsia="zh-CN"/>
              </w:rPr>
              <w:t>安徽创新馆服务管理中心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1054" w:type="pct"/>
            <w:gridSpan w:val="2"/>
            <w:vAlign w:val="center"/>
          </w:tcPr>
          <w:p>
            <w:pPr>
              <w:pStyle w:val="16"/>
              <w:adjustRightInd w:val="0"/>
              <w:spacing w:line="360" w:lineRule="auto"/>
              <w:ind w:firstLine="0" w:firstLineChars="0"/>
              <w:contextualSpacing/>
              <w:jc w:val="center"/>
              <w:rPr>
                <w:rFonts w:hAnsi="宋体"/>
                <w:szCs w:val="21"/>
              </w:rPr>
            </w:pPr>
            <w:r>
              <w:rPr>
                <w:rFonts w:hint="eastAsia" w:hAnsi="宋体"/>
                <w:szCs w:val="21"/>
              </w:rPr>
              <w:t>单位地址</w:t>
            </w:r>
          </w:p>
        </w:tc>
        <w:tc>
          <w:tcPr>
            <w:tcW w:w="3945" w:type="pct"/>
            <w:gridSpan w:val="4"/>
            <w:vAlign w:val="center"/>
          </w:tcPr>
          <w:p>
            <w:pPr>
              <w:jc w:val="left"/>
              <w:rPr>
                <w:rFonts w:hAnsi="宋体"/>
              </w:rPr>
            </w:pPr>
            <w:r>
              <w:rPr>
                <w:rFonts w:hint="eastAsia" w:hAnsi="宋体"/>
              </w:rPr>
              <w:t>安徽省合肥市包河区云谷路与环湖北路交叉口西北角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54" w:type="pct"/>
            <w:gridSpan w:val="2"/>
            <w:vAlign w:val="center"/>
          </w:tcPr>
          <w:p>
            <w:pPr>
              <w:pStyle w:val="16"/>
              <w:adjustRightInd w:val="0"/>
              <w:spacing w:line="360" w:lineRule="auto"/>
              <w:ind w:firstLine="0" w:firstLineChars="0"/>
              <w:contextualSpacing/>
              <w:jc w:val="center"/>
              <w:rPr>
                <w:rFonts w:hAnsi="宋体"/>
                <w:szCs w:val="21"/>
              </w:rPr>
            </w:pPr>
            <w:r>
              <w:rPr>
                <w:rFonts w:hint="eastAsia" w:hAnsi="宋体"/>
                <w:szCs w:val="21"/>
              </w:rPr>
              <w:t>参与起草单位</w:t>
            </w:r>
          </w:p>
        </w:tc>
        <w:tc>
          <w:tcPr>
            <w:tcW w:w="3945" w:type="pct"/>
            <w:gridSpan w:val="4"/>
            <w:vAlign w:val="center"/>
          </w:tcPr>
          <w:p>
            <w:pPr>
              <w:pStyle w:val="16"/>
              <w:adjustRightInd w:val="0"/>
              <w:spacing w:line="360" w:lineRule="auto"/>
              <w:ind w:firstLine="0" w:firstLineChars="0"/>
              <w:contextualSpacing/>
              <w:rPr>
                <w:rFonts w:hAnsi="宋体"/>
                <w:szCs w:val="21"/>
              </w:rPr>
            </w:pPr>
            <w:r>
              <w:rPr>
                <w:rFonts w:hint="eastAsia" w:hAnsi="宋体"/>
                <w:szCs w:val="21"/>
              </w:rPr>
              <w:t>安徽科技大市场建设运营有限责任公司、安徽三祥技术咨询有限公司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5000" w:type="pct"/>
            <w:gridSpan w:val="6"/>
            <w:vAlign w:val="center"/>
          </w:tcPr>
          <w:p>
            <w:pPr>
              <w:pStyle w:val="16"/>
              <w:adjustRightInd w:val="0"/>
              <w:spacing w:line="360" w:lineRule="auto"/>
              <w:ind w:firstLine="0" w:firstLineChars="0"/>
              <w:contextualSpacing/>
              <w:jc w:val="center"/>
              <w:rPr>
                <w:rFonts w:hAnsi="宋体"/>
                <w:bCs/>
                <w:szCs w:val="21"/>
              </w:rPr>
            </w:pPr>
            <w:r>
              <w:rPr>
                <w:rFonts w:hint="eastAsia" w:hAnsi="宋体"/>
                <w:bCs/>
                <w:szCs w:val="21"/>
              </w:rPr>
              <w:t>标准起草人</w:t>
            </w:r>
          </w:p>
          <w:p>
            <w:pPr>
              <w:pStyle w:val="16"/>
              <w:adjustRightInd w:val="0"/>
              <w:spacing w:line="360" w:lineRule="auto"/>
              <w:ind w:firstLine="0" w:firstLineChars="0"/>
              <w:contextualSpacing/>
              <w:jc w:val="center"/>
              <w:rPr>
                <w:rFonts w:hAnsi="宋体"/>
                <w:szCs w:val="21"/>
              </w:rPr>
            </w:pPr>
            <w:r>
              <w:rPr>
                <w:rFonts w:hint="eastAsia" w:hAnsi="宋体"/>
                <w:szCs w:val="21"/>
              </w:rPr>
              <w:t>（全部起草人，应与标准文本前言中起草人排序一致）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vAlign w:val="center"/>
          </w:tcPr>
          <w:p>
            <w:pPr>
              <w:pStyle w:val="16"/>
              <w:adjustRightInd w:val="0"/>
              <w:spacing w:line="360" w:lineRule="auto"/>
              <w:ind w:firstLine="0" w:firstLineChars="0"/>
              <w:contextualSpacing/>
              <w:jc w:val="center"/>
              <w:rPr>
                <w:rFonts w:hAnsi="宋体"/>
                <w:szCs w:val="21"/>
              </w:rPr>
            </w:pPr>
            <w:r>
              <w:rPr>
                <w:rFonts w:hint="eastAsia" w:hAnsi="宋体"/>
                <w:szCs w:val="21"/>
              </w:rPr>
              <w:t>序号</w:t>
            </w:r>
          </w:p>
        </w:tc>
        <w:tc>
          <w:tcPr>
            <w:tcW w:w="691" w:type="pct"/>
            <w:vAlign w:val="center"/>
          </w:tcPr>
          <w:p>
            <w:pPr>
              <w:pStyle w:val="16"/>
              <w:adjustRightInd w:val="0"/>
              <w:spacing w:line="360" w:lineRule="auto"/>
              <w:ind w:firstLine="0" w:firstLineChars="0"/>
              <w:contextualSpacing/>
              <w:jc w:val="center"/>
              <w:rPr>
                <w:rFonts w:hAnsi="宋体"/>
                <w:szCs w:val="21"/>
              </w:rPr>
            </w:pPr>
            <w:r>
              <w:rPr>
                <w:rFonts w:hint="eastAsia" w:hAnsi="宋体"/>
                <w:szCs w:val="21"/>
              </w:rPr>
              <w:t>姓名</w:t>
            </w:r>
          </w:p>
        </w:tc>
        <w:tc>
          <w:tcPr>
            <w:tcW w:w="1761" w:type="pct"/>
            <w:vAlign w:val="center"/>
          </w:tcPr>
          <w:p>
            <w:pPr>
              <w:pStyle w:val="16"/>
              <w:adjustRightInd w:val="0"/>
              <w:spacing w:line="360" w:lineRule="auto"/>
              <w:ind w:firstLine="0" w:firstLineChars="0"/>
              <w:contextualSpacing/>
              <w:jc w:val="center"/>
              <w:rPr>
                <w:rFonts w:hAnsi="宋体"/>
                <w:szCs w:val="21"/>
              </w:rPr>
            </w:pPr>
            <w:r>
              <w:rPr>
                <w:rFonts w:hint="eastAsia" w:hAnsi="宋体"/>
                <w:szCs w:val="21"/>
              </w:rPr>
              <w:t>单位</w:t>
            </w:r>
          </w:p>
        </w:tc>
        <w:tc>
          <w:tcPr>
            <w:tcW w:w="573" w:type="pct"/>
            <w:vAlign w:val="center"/>
          </w:tcPr>
          <w:p>
            <w:pPr>
              <w:pStyle w:val="16"/>
              <w:adjustRightInd w:val="0"/>
              <w:spacing w:line="360" w:lineRule="auto"/>
              <w:ind w:firstLine="0" w:firstLineChars="0"/>
              <w:contextualSpacing/>
              <w:jc w:val="center"/>
              <w:rPr>
                <w:rFonts w:hAnsi="宋体"/>
                <w:szCs w:val="21"/>
              </w:rPr>
            </w:pPr>
            <w:r>
              <w:rPr>
                <w:rFonts w:hint="eastAsia" w:hAnsi="宋体"/>
                <w:szCs w:val="21"/>
              </w:rPr>
              <w:t>职务</w:t>
            </w:r>
          </w:p>
        </w:tc>
        <w:tc>
          <w:tcPr>
            <w:tcW w:w="583" w:type="pct"/>
            <w:vAlign w:val="center"/>
          </w:tcPr>
          <w:p>
            <w:pPr>
              <w:pStyle w:val="16"/>
              <w:adjustRightInd w:val="0"/>
              <w:spacing w:line="360" w:lineRule="auto"/>
              <w:ind w:firstLine="0" w:firstLineChars="0"/>
              <w:contextualSpacing/>
              <w:jc w:val="center"/>
              <w:rPr>
                <w:rFonts w:hAnsi="宋体"/>
                <w:szCs w:val="21"/>
              </w:rPr>
            </w:pPr>
            <w:r>
              <w:rPr>
                <w:rFonts w:hint="eastAsia" w:hAnsi="宋体"/>
                <w:szCs w:val="21"/>
              </w:rPr>
              <w:t>职称</w:t>
            </w:r>
          </w:p>
        </w:tc>
        <w:tc>
          <w:tcPr>
            <w:tcW w:w="1026" w:type="pct"/>
            <w:vAlign w:val="center"/>
          </w:tcPr>
          <w:p>
            <w:pPr>
              <w:pStyle w:val="16"/>
              <w:adjustRightInd w:val="0"/>
              <w:spacing w:line="360" w:lineRule="auto"/>
              <w:ind w:firstLine="0" w:firstLineChars="0"/>
              <w:contextualSpacing/>
              <w:jc w:val="center"/>
              <w:rPr>
                <w:rFonts w:hAnsi="宋体"/>
                <w:szCs w:val="21"/>
              </w:rPr>
            </w:pPr>
            <w:r>
              <w:rPr>
                <w:rFonts w:hint="eastAsia" w:hAnsi="宋体"/>
                <w:szCs w:val="21"/>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vAlign w:val="center"/>
          </w:tcPr>
          <w:p>
            <w:pPr>
              <w:pStyle w:val="16"/>
              <w:adjustRightInd w:val="0"/>
              <w:spacing w:line="360" w:lineRule="auto"/>
              <w:ind w:firstLine="0" w:firstLineChars="0"/>
              <w:contextualSpacing/>
              <w:jc w:val="center"/>
              <w:rPr>
                <w:rFonts w:hAnsi="宋体"/>
                <w:szCs w:val="21"/>
              </w:rPr>
            </w:pPr>
            <w:r>
              <w:rPr>
                <w:rFonts w:hint="eastAsia" w:hAnsi="宋体"/>
                <w:szCs w:val="21"/>
              </w:rPr>
              <w:t>1</w:t>
            </w:r>
          </w:p>
        </w:tc>
        <w:tc>
          <w:tcPr>
            <w:tcW w:w="691" w:type="pct"/>
            <w:vAlign w:val="center"/>
          </w:tcPr>
          <w:p>
            <w:pPr>
              <w:pStyle w:val="16"/>
              <w:adjustRightInd w:val="0"/>
              <w:spacing w:line="360" w:lineRule="auto"/>
              <w:ind w:firstLine="0" w:firstLineChars="0"/>
              <w:contextualSpacing/>
              <w:jc w:val="center"/>
              <w:rPr>
                <w:rFonts w:hAnsi="宋体"/>
                <w:szCs w:val="21"/>
              </w:rPr>
            </w:pPr>
          </w:p>
        </w:tc>
        <w:tc>
          <w:tcPr>
            <w:tcW w:w="1761" w:type="pct"/>
            <w:vAlign w:val="center"/>
          </w:tcPr>
          <w:p>
            <w:pPr>
              <w:pStyle w:val="16"/>
              <w:adjustRightInd w:val="0"/>
              <w:spacing w:line="360" w:lineRule="auto"/>
              <w:ind w:firstLine="0" w:firstLineChars="0"/>
              <w:contextualSpacing/>
              <w:jc w:val="center"/>
              <w:rPr>
                <w:rFonts w:hAnsi="宋体"/>
                <w:szCs w:val="21"/>
              </w:rPr>
            </w:pPr>
          </w:p>
        </w:tc>
        <w:tc>
          <w:tcPr>
            <w:tcW w:w="573" w:type="pct"/>
            <w:vAlign w:val="center"/>
          </w:tcPr>
          <w:p>
            <w:pPr>
              <w:pStyle w:val="16"/>
              <w:adjustRightInd w:val="0"/>
              <w:spacing w:line="360" w:lineRule="auto"/>
              <w:ind w:firstLine="0" w:firstLineChars="0"/>
              <w:contextualSpacing/>
              <w:jc w:val="center"/>
              <w:rPr>
                <w:rFonts w:hAnsi="宋体"/>
                <w:szCs w:val="21"/>
              </w:rPr>
            </w:pPr>
          </w:p>
        </w:tc>
        <w:tc>
          <w:tcPr>
            <w:tcW w:w="583" w:type="pct"/>
            <w:vAlign w:val="center"/>
          </w:tcPr>
          <w:p>
            <w:pPr>
              <w:pStyle w:val="16"/>
              <w:adjustRightInd w:val="0"/>
              <w:spacing w:line="360" w:lineRule="auto"/>
              <w:ind w:firstLine="0" w:firstLineChars="0"/>
              <w:contextualSpacing/>
              <w:jc w:val="center"/>
              <w:rPr>
                <w:rFonts w:hAnsi="宋体"/>
                <w:szCs w:val="21"/>
              </w:rPr>
            </w:pPr>
          </w:p>
        </w:tc>
        <w:tc>
          <w:tcPr>
            <w:tcW w:w="1026" w:type="pct"/>
            <w:vAlign w:val="center"/>
          </w:tcPr>
          <w:p>
            <w:pPr>
              <w:pStyle w:val="16"/>
              <w:adjustRightInd w:val="0"/>
              <w:spacing w:line="360" w:lineRule="auto"/>
              <w:ind w:firstLine="0" w:firstLineChars="0"/>
              <w:contextualSpacing/>
              <w:jc w:val="center"/>
              <w:rPr>
                <w:rFonts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vAlign w:val="center"/>
          </w:tcPr>
          <w:p>
            <w:pPr>
              <w:pStyle w:val="16"/>
              <w:adjustRightInd w:val="0"/>
              <w:spacing w:line="360" w:lineRule="auto"/>
              <w:ind w:firstLine="0" w:firstLineChars="0"/>
              <w:contextualSpacing/>
              <w:jc w:val="center"/>
              <w:rPr>
                <w:rFonts w:hAnsi="宋体"/>
                <w:szCs w:val="21"/>
              </w:rPr>
            </w:pPr>
            <w:r>
              <w:rPr>
                <w:rFonts w:hint="eastAsia" w:hAnsi="宋体"/>
                <w:szCs w:val="21"/>
              </w:rPr>
              <w:t>2</w:t>
            </w:r>
          </w:p>
        </w:tc>
        <w:tc>
          <w:tcPr>
            <w:tcW w:w="691" w:type="pct"/>
            <w:vAlign w:val="center"/>
          </w:tcPr>
          <w:p>
            <w:pPr>
              <w:pStyle w:val="16"/>
              <w:adjustRightInd w:val="0"/>
              <w:spacing w:line="360" w:lineRule="auto"/>
              <w:ind w:firstLine="0" w:firstLineChars="0"/>
              <w:contextualSpacing/>
              <w:rPr>
                <w:rFonts w:hAnsi="宋体"/>
                <w:szCs w:val="21"/>
              </w:rPr>
            </w:pPr>
          </w:p>
        </w:tc>
        <w:tc>
          <w:tcPr>
            <w:tcW w:w="1761" w:type="pct"/>
          </w:tcPr>
          <w:p>
            <w:pPr>
              <w:pStyle w:val="16"/>
              <w:adjustRightInd w:val="0"/>
              <w:spacing w:line="360" w:lineRule="auto"/>
              <w:ind w:firstLine="0" w:firstLineChars="0"/>
              <w:contextualSpacing/>
              <w:jc w:val="center"/>
              <w:rPr>
                <w:rFonts w:hAnsi="宋体"/>
                <w:szCs w:val="21"/>
              </w:rPr>
            </w:pPr>
          </w:p>
        </w:tc>
        <w:tc>
          <w:tcPr>
            <w:tcW w:w="573" w:type="pct"/>
            <w:vAlign w:val="center"/>
          </w:tcPr>
          <w:p>
            <w:pPr>
              <w:pStyle w:val="16"/>
              <w:adjustRightInd w:val="0"/>
              <w:spacing w:line="360" w:lineRule="auto"/>
              <w:ind w:firstLine="0" w:firstLineChars="0"/>
              <w:contextualSpacing/>
              <w:jc w:val="center"/>
              <w:rPr>
                <w:rFonts w:hAnsi="宋体"/>
                <w:szCs w:val="21"/>
              </w:rPr>
            </w:pPr>
          </w:p>
        </w:tc>
        <w:tc>
          <w:tcPr>
            <w:tcW w:w="583" w:type="pct"/>
            <w:vAlign w:val="center"/>
          </w:tcPr>
          <w:p>
            <w:pPr>
              <w:pStyle w:val="16"/>
              <w:adjustRightInd w:val="0"/>
              <w:spacing w:line="360" w:lineRule="auto"/>
              <w:ind w:firstLine="0" w:firstLineChars="0"/>
              <w:contextualSpacing/>
              <w:jc w:val="center"/>
              <w:rPr>
                <w:rFonts w:hAnsi="宋体"/>
                <w:szCs w:val="21"/>
              </w:rPr>
            </w:pPr>
          </w:p>
        </w:tc>
        <w:tc>
          <w:tcPr>
            <w:tcW w:w="1026" w:type="pct"/>
            <w:vAlign w:val="center"/>
          </w:tcPr>
          <w:p>
            <w:pPr>
              <w:pStyle w:val="16"/>
              <w:adjustRightInd w:val="0"/>
              <w:spacing w:line="360" w:lineRule="auto"/>
              <w:ind w:firstLine="0" w:firstLineChars="0"/>
              <w:contextualSpacing/>
              <w:jc w:val="center"/>
              <w:rPr>
                <w:rFonts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vAlign w:val="center"/>
          </w:tcPr>
          <w:p>
            <w:pPr>
              <w:pStyle w:val="16"/>
              <w:adjustRightInd w:val="0"/>
              <w:spacing w:line="360" w:lineRule="auto"/>
              <w:ind w:firstLine="0" w:firstLineChars="0"/>
              <w:contextualSpacing/>
              <w:jc w:val="center"/>
              <w:rPr>
                <w:rFonts w:hAnsi="宋体"/>
                <w:szCs w:val="21"/>
              </w:rPr>
            </w:pPr>
            <w:r>
              <w:rPr>
                <w:rFonts w:hint="eastAsia" w:hAnsi="宋体"/>
                <w:szCs w:val="21"/>
              </w:rPr>
              <w:t>3</w:t>
            </w:r>
          </w:p>
        </w:tc>
        <w:tc>
          <w:tcPr>
            <w:tcW w:w="691" w:type="pct"/>
            <w:vAlign w:val="center"/>
          </w:tcPr>
          <w:p>
            <w:pPr>
              <w:pStyle w:val="16"/>
              <w:adjustRightInd w:val="0"/>
              <w:spacing w:line="360" w:lineRule="auto"/>
              <w:ind w:firstLine="0" w:firstLineChars="0"/>
              <w:contextualSpacing/>
              <w:rPr>
                <w:rFonts w:hAnsi="宋体"/>
                <w:szCs w:val="21"/>
              </w:rPr>
            </w:pPr>
          </w:p>
        </w:tc>
        <w:tc>
          <w:tcPr>
            <w:tcW w:w="1761" w:type="pct"/>
          </w:tcPr>
          <w:p>
            <w:pPr>
              <w:pStyle w:val="16"/>
              <w:adjustRightInd w:val="0"/>
              <w:spacing w:line="360" w:lineRule="auto"/>
              <w:ind w:firstLine="0" w:firstLineChars="0"/>
              <w:contextualSpacing/>
              <w:jc w:val="center"/>
              <w:rPr>
                <w:rFonts w:hAnsi="宋体"/>
                <w:szCs w:val="21"/>
              </w:rPr>
            </w:pPr>
          </w:p>
        </w:tc>
        <w:tc>
          <w:tcPr>
            <w:tcW w:w="573" w:type="pct"/>
            <w:vAlign w:val="center"/>
          </w:tcPr>
          <w:p>
            <w:pPr>
              <w:pStyle w:val="16"/>
              <w:adjustRightInd w:val="0"/>
              <w:spacing w:line="360" w:lineRule="auto"/>
              <w:ind w:firstLine="0" w:firstLineChars="0"/>
              <w:contextualSpacing/>
              <w:jc w:val="center"/>
              <w:rPr>
                <w:rFonts w:hAnsi="宋体"/>
                <w:szCs w:val="21"/>
              </w:rPr>
            </w:pPr>
          </w:p>
        </w:tc>
        <w:tc>
          <w:tcPr>
            <w:tcW w:w="583" w:type="pct"/>
            <w:vAlign w:val="center"/>
          </w:tcPr>
          <w:p>
            <w:pPr>
              <w:pStyle w:val="16"/>
              <w:adjustRightInd w:val="0"/>
              <w:spacing w:line="360" w:lineRule="auto"/>
              <w:ind w:firstLine="0" w:firstLineChars="0"/>
              <w:contextualSpacing/>
              <w:jc w:val="center"/>
              <w:rPr>
                <w:rFonts w:hAnsi="宋体"/>
                <w:szCs w:val="21"/>
              </w:rPr>
            </w:pPr>
          </w:p>
        </w:tc>
        <w:tc>
          <w:tcPr>
            <w:tcW w:w="1026" w:type="pct"/>
            <w:vAlign w:val="center"/>
          </w:tcPr>
          <w:p>
            <w:pPr>
              <w:pStyle w:val="16"/>
              <w:adjustRightInd w:val="0"/>
              <w:spacing w:line="360" w:lineRule="auto"/>
              <w:ind w:firstLine="0" w:firstLineChars="0"/>
              <w:contextualSpacing/>
              <w:jc w:val="center"/>
              <w:rPr>
                <w:rFonts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vAlign w:val="center"/>
          </w:tcPr>
          <w:p>
            <w:pPr>
              <w:pStyle w:val="16"/>
              <w:adjustRightInd w:val="0"/>
              <w:spacing w:line="360" w:lineRule="auto"/>
              <w:ind w:firstLine="0" w:firstLineChars="0"/>
              <w:contextualSpacing/>
              <w:jc w:val="center"/>
              <w:rPr>
                <w:rFonts w:hAnsi="宋体"/>
                <w:szCs w:val="21"/>
              </w:rPr>
            </w:pPr>
            <w:r>
              <w:rPr>
                <w:rFonts w:hint="eastAsia" w:hAnsi="宋体"/>
                <w:szCs w:val="21"/>
              </w:rPr>
              <w:t>4</w:t>
            </w:r>
          </w:p>
        </w:tc>
        <w:tc>
          <w:tcPr>
            <w:tcW w:w="691" w:type="pct"/>
            <w:vAlign w:val="center"/>
          </w:tcPr>
          <w:p>
            <w:pPr>
              <w:pStyle w:val="16"/>
              <w:adjustRightInd w:val="0"/>
              <w:spacing w:line="360" w:lineRule="auto"/>
              <w:ind w:firstLine="0" w:firstLineChars="0"/>
              <w:contextualSpacing/>
              <w:jc w:val="center"/>
              <w:rPr>
                <w:rFonts w:hAnsi="宋体"/>
                <w:szCs w:val="21"/>
              </w:rPr>
            </w:pPr>
          </w:p>
        </w:tc>
        <w:tc>
          <w:tcPr>
            <w:tcW w:w="1761" w:type="pct"/>
            <w:vAlign w:val="center"/>
          </w:tcPr>
          <w:p>
            <w:pPr>
              <w:pStyle w:val="16"/>
              <w:adjustRightInd w:val="0"/>
              <w:spacing w:line="360" w:lineRule="auto"/>
              <w:ind w:firstLine="0" w:firstLineChars="0"/>
              <w:contextualSpacing/>
              <w:jc w:val="center"/>
              <w:rPr>
                <w:rFonts w:hAnsi="宋体"/>
                <w:szCs w:val="21"/>
              </w:rPr>
            </w:pPr>
          </w:p>
        </w:tc>
        <w:tc>
          <w:tcPr>
            <w:tcW w:w="573" w:type="pct"/>
            <w:vAlign w:val="center"/>
          </w:tcPr>
          <w:p>
            <w:pPr>
              <w:pStyle w:val="16"/>
              <w:adjustRightInd w:val="0"/>
              <w:spacing w:line="360" w:lineRule="auto"/>
              <w:ind w:firstLine="0" w:firstLineChars="0"/>
              <w:contextualSpacing/>
              <w:jc w:val="center"/>
              <w:rPr>
                <w:rFonts w:hAnsi="宋体"/>
                <w:szCs w:val="21"/>
              </w:rPr>
            </w:pPr>
          </w:p>
        </w:tc>
        <w:tc>
          <w:tcPr>
            <w:tcW w:w="583" w:type="pct"/>
            <w:vAlign w:val="center"/>
          </w:tcPr>
          <w:p>
            <w:pPr>
              <w:pStyle w:val="16"/>
              <w:adjustRightInd w:val="0"/>
              <w:spacing w:line="360" w:lineRule="auto"/>
              <w:ind w:firstLine="0" w:firstLineChars="0"/>
              <w:contextualSpacing/>
              <w:jc w:val="center"/>
              <w:rPr>
                <w:rFonts w:hAnsi="宋体"/>
                <w:szCs w:val="21"/>
              </w:rPr>
            </w:pPr>
          </w:p>
        </w:tc>
        <w:tc>
          <w:tcPr>
            <w:tcW w:w="1026" w:type="pct"/>
            <w:vAlign w:val="center"/>
          </w:tcPr>
          <w:p>
            <w:pPr>
              <w:pStyle w:val="16"/>
              <w:adjustRightInd w:val="0"/>
              <w:spacing w:line="360" w:lineRule="auto"/>
              <w:ind w:firstLine="0" w:firstLineChars="0"/>
              <w:contextualSpacing/>
              <w:jc w:val="center"/>
              <w:rPr>
                <w:rFonts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vAlign w:val="center"/>
          </w:tcPr>
          <w:p>
            <w:pPr>
              <w:pStyle w:val="16"/>
              <w:adjustRightInd w:val="0"/>
              <w:spacing w:line="360" w:lineRule="auto"/>
              <w:ind w:firstLine="0" w:firstLineChars="0"/>
              <w:contextualSpacing/>
              <w:jc w:val="center"/>
              <w:rPr>
                <w:rFonts w:hAnsi="宋体"/>
                <w:szCs w:val="21"/>
              </w:rPr>
            </w:pPr>
            <w:r>
              <w:rPr>
                <w:rFonts w:hint="eastAsia" w:hAnsi="宋体"/>
                <w:szCs w:val="21"/>
              </w:rPr>
              <w:t>5</w:t>
            </w:r>
          </w:p>
        </w:tc>
        <w:tc>
          <w:tcPr>
            <w:tcW w:w="691" w:type="pct"/>
            <w:vAlign w:val="center"/>
          </w:tcPr>
          <w:p>
            <w:pPr>
              <w:pStyle w:val="16"/>
              <w:adjustRightInd w:val="0"/>
              <w:spacing w:line="360" w:lineRule="auto"/>
              <w:ind w:firstLine="0" w:firstLineChars="0"/>
              <w:contextualSpacing/>
              <w:jc w:val="center"/>
              <w:rPr>
                <w:rFonts w:hAnsi="宋体"/>
                <w:szCs w:val="21"/>
              </w:rPr>
            </w:pPr>
          </w:p>
        </w:tc>
        <w:tc>
          <w:tcPr>
            <w:tcW w:w="1761" w:type="pct"/>
            <w:vAlign w:val="center"/>
          </w:tcPr>
          <w:p>
            <w:pPr>
              <w:pStyle w:val="16"/>
              <w:adjustRightInd w:val="0"/>
              <w:spacing w:line="360" w:lineRule="auto"/>
              <w:ind w:firstLine="0" w:firstLineChars="0"/>
              <w:contextualSpacing/>
              <w:jc w:val="center"/>
              <w:rPr>
                <w:rFonts w:hAnsi="宋体"/>
                <w:szCs w:val="21"/>
              </w:rPr>
            </w:pPr>
          </w:p>
        </w:tc>
        <w:tc>
          <w:tcPr>
            <w:tcW w:w="573" w:type="pct"/>
            <w:vAlign w:val="center"/>
          </w:tcPr>
          <w:p>
            <w:pPr>
              <w:pStyle w:val="16"/>
              <w:adjustRightInd w:val="0"/>
              <w:spacing w:line="360" w:lineRule="auto"/>
              <w:ind w:firstLine="0" w:firstLineChars="0"/>
              <w:contextualSpacing/>
              <w:jc w:val="center"/>
              <w:rPr>
                <w:rFonts w:hAnsi="宋体"/>
                <w:szCs w:val="21"/>
              </w:rPr>
            </w:pPr>
          </w:p>
        </w:tc>
        <w:tc>
          <w:tcPr>
            <w:tcW w:w="583" w:type="pct"/>
            <w:vAlign w:val="center"/>
          </w:tcPr>
          <w:p>
            <w:pPr>
              <w:pStyle w:val="16"/>
              <w:adjustRightInd w:val="0"/>
              <w:spacing w:line="360" w:lineRule="auto"/>
              <w:ind w:firstLine="0" w:firstLineChars="0"/>
              <w:contextualSpacing/>
              <w:jc w:val="center"/>
              <w:rPr>
                <w:rFonts w:hAnsi="宋体"/>
                <w:szCs w:val="21"/>
              </w:rPr>
            </w:pPr>
          </w:p>
        </w:tc>
        <w:tc>
          <w:tcPr>
            <w:tcW w:w="1026" w:type="pct"/>
            <w:vAlign w:val="center"/>
          </w:tcPr>
          <w:p>
            <w:pPr>
              <w:pStyle w:val="16"/>
              <w:adjustRightInd w:val="0"/>
              <w:spacing w:line="360" w:lineRule="auto"/>
              <w:ind w:firstLine="0" w:firstLineChars="0"/>
              <w:contextualSpacing/>
              <w:jc w:val="center"/>
              <w:rPr>
                <w:rFonts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vAlign w:val="center"/>
          </w:tcPr>
          <w:p>
            <w:pPr>
              <w:pStyle w:val="16"/>
              <w:adjustRightInd w:val="0"/>
              <w:spacing w:line="360" w:lineRule="auto"/>
              <w:ind w:firstLine="0" w:firstLineChars="0"/>
              <w:contextualSpacing/>
              <w:jc w:val="center"/>
              <w:rPr>
                <w:rFonts w:hAnsi="宋体"/>
                <w:szCs w:val="21"/>
              </w:rPr>
            </w:pPr>
            <w:r>
              <w:rPr>
                <w:rFonts w:hint="eastAsia" w:hAnsi="宋体"/>
                <w:szCs w:val="21"/>
              </w:rPr>
              <w:t>6</w:t>
            </w:r>
          </w:p>
        </w:tc>
        <w:tc>
          <w:tcPr>
            <w:tcW w:w="691" w:type="pct"/>
            <w:vAlign w:val="center"/>
          </w:tcPr>
          <w:p>
            <w:pPr>
              <w:pStyle w:val="16"/>
              <w:adjustRightInd w:val="0"/>
              <w:spacing w:line="360" w:lineRule="auto"/>
              <w:ind w:firstLine="0" w:firstLineChars="0"/>
              <w:contextualSpacing/>
              <w:jc w:val="center"/>
              <w:rPr>
                <w:rFonts w:hAnsi="宋体"/>
                <w:szCs w:val="21"/>
              </w:rPr>
            </w:pPr>
          </w:p>
        </w:tc>
        <w:tc>
          <w:tcPr>
            <w:tcW w:w="1761" w:type="pct"/>
            <w:vAlign w:val="center"/>
          </w:tcPr>
          <w:p>
            <w:pPr>
              <w:pStyle w:val="16"/>
              <w:adjustRightInd w:val="0"/>
              <w:spacing w:line="360" w:lineRule="auto"/>
              <w:ind w:firstLine="0" w:firstLineChars="0"/>
              <w:contextualSpacing/>
              <w:jc w:val="center"/>
              <w:rPr>
                <w:rFonts w:hAnsi="宋体"/>
                <w:szCs w:val="21"/>
              </w:rPr>
            </w:pPr>
          </w:p>
        </w:tc>
        <w:tc>
          <w:tcPr>
            <w:tcW w:w="573" w:type="pct"/>
            <w:vAlign w:val="center"/>
          </w:tcPr>
          <w:p>
            <w:pPr>
              <w:pStyle w:val="16"/>
              <w:adjustRightInd w:val="0"/>
              <w:spacing w:line="360" w:lineRule="auto"/>
              <w:ind w:firstLine="0" w:firstLineChars="0"/>
              <w:contextualSpacing/>
              <w:jc w:val="center"/>
              <w:rPr>
                <w:rFonts w:hAnsi="宋体"/>
                <w:szCs w:val="21"/>
              </w:rPr>
            </w:pPr>
          </w:p>
        </w:tc>
        <w:tc>
          <w:tcPr>
            <w:tcW w:w="583" w:type="pct"/>
            <w:vAlign w:val="center"/>
          </w:tcPr>
          <w:p>
            <w:pPr>
              <w:pStyle w:val="16"/>
              <w:adjustRightInd w:val="0"/>
              <w:spacing w:line="360" w:lineRule="auto"/>
              <w:ind w:firstLine="0" w:firstLineChars="0"/>
              <w:contextualSpacing/>
              <w:jc w:val="center"/>
              <w:rPr>
                <w:rFonts w:hAnsi="宋体"/>
                <w:szCs w:val="21"/>
              </w:rPr>
            </w:pPr>
          </w:p>
        </w:tc>
        <w:tc>
          <w:tcPr>
            <w:tcW w:w="1026" w:type="pct"/>
            <w:vAlign w:val="center"/>
          </w:tcPr>
          <w:p>
            <w:pPr>
              <w:pStyle w:val="16"/>
              <w:adjustRightInd w:val="0"/>
              <w:spacing w:line="360" w:lineRule="auto"/>
              <w:ind w:firstLine="0" w:firstLineChars="0"/>
              <w:contextualSpacing/>
              <w:jc w:val="center"/>
              <w:rPr>
                <w:rFonts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5000" w:type="pct"/>
            <w:gridSpan w:val="6"/>
            <w:vAlign w:val="center"/>
          </w:tcPr>
          <w:p>
            <w:pPr>
              <w:pStyle w:val="16"/>
              <w:adjustRightInd w:val="0"/>
              <w:spacing w:line="360" w:lineRule="auto"/>
              <w:ind w:firstLine="0" w:firstLineChars="0"/>
              <w:contextualSpacing/>
              <w:jc w:val="center"/>
              <w:rPr>
                <w:rFonts w:hAnsi="宋体"/>
                <w:bCs/>
                <w:szCs w:val="21"/>
              </w:rPr>
            </w:pPr>
            <w:r>
              <w:rPr>
                <w:rFonts w:hint="eastAsia" w:hAnsi="宋体"/>
                <w:bCs/>
                <w:szCs w:val="21"/>
              </w:rPr>
              <w:t>编制情况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vAlign w:val="center"/>
          </w:tcPr>
          <w:p>
            <w:pPr>
              <w:pStyle w:val="16"/>
              <w:adjustRightInd w:val="0"/>
              <w:spacing w:line="360" w:lineRule="auto"/>
              <w:ind w:firstLine="0" w:firstLineChars="0"/>
              <w:contextualSpacing/>
              <w:rPr>
                <w:rFonts w:hAnsi="宋体"/>
                <w:szCs w:val="21"/>
              </w:rPr>
            </w:pPr>
            <w:r>
              <w:rPr>
                <w:rFonts w:hint="eastAsia" w:hAnsi="宋体"/>
                <w:szCs w:val="21"/>
              </w:rPr>
              <w:t>1、编制过程简介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vAlign w:val="center"/>
          </w:tcPr>
          <w:p>
            <w:pPr>
              <w:pStyle w:val="16"/>
              <w:spacing w:line="360" w:lineRule="auto"/>
              <w:contextualSpacing/>
              <w:rPr>
                <w:rFonts w:hAnsi="宋体"/>
                <w:szCs w:val="21"/>
              </w:rPr>
            </w:pPr>
            <w:r>
              <w:rPr>
                <w:rFonts w:hint="eastAsia" w:hAnsi="宋体"/>
                <w:szCs w:val="21"/>
              </w:rPr>
              <w:t>2</w:t>
            </w:r>
            <w:r>
              <w:rPr>
                <w:rFonts w:hAnsi="宋体"/>
                <w:szCs w:val="21"/>
              </w:rPr>
              <w:t>023</w:t>
            </w:r>
            <w:r>
              <w:rPr>
                <w:rFonts w:hint="eastAsia" w:hAnsi="宋体"/>
                <w:szCs w:val="21"/>
              </w:rPr>
              <w:t>年</w:t>
            </w:r>
            <w:r>
              <w:rPr>
                <w:rFonts w:hAnsi="宋体"/>
                <w:szCs w:val="21"/>
              </w:rPr>
              <w:t>9</w:t>
            </w:r>
            <w:r>
              <w:rPr>
                <w:rFonts w:hint="eastAsia" w:hAnsi="宋体"/>
                <w:szCs w:val="21"/>
              </w:rPr>
              <w:t>月</w:t>
            </w:r>
            <w:r>
              <w:rPr>
                <w:rFonts w:hAnsi="宋体"/>
                <w:szCs w:val="21"/>
              </w:rPr>
              <w:t>12</w:t>
            </w:r>
            <w:r>
              <w:rPr>
                <w:rFonts w:hint="eastAsia" w:hAnsi="宋体"/>
                <w:szCs w:val="21"/>
              </w:rPr>
              <w:t>日，安徽省市场监督管理局《关于</w:t>
            </w:r>
            <w:r>
              <w:rPr>
                <w:rFonts w:hAnsi="宋体"/>
                <w:szCs w:val="21"/>
              </w:rPr>
              <w:t>下达</w:t>
            </w:r>
            <w:r>
              <w:rPr>
                <w:rFonts w:hint="eastAsia" w:hAnsi="宋体"/>
                <w:szCs w:val="21"/>
              </w:rPr>
              <w:t>2023年第二批安徽省地方标准制修订计划</w:t>
            </w:r>
            <w:r>
              <w:rPr>
                <w:rFonts w:hAnsi="宋体"/>
                <w:szCs w:val="21"/>
              </w:rPr>
              <w:t>的通知</w:t>
            </w:r>
            <w:r>
              <w:rPr>
                <w:rFonts w:hint="eastAsia" w:hAnsi="宋体"/>
                <w:szCs w:val="21"/>
              </w:rPr>
              <w:t>》（皖市监函</w:t>
            </w:r>
            <w:r>
              <w:rPr>
                <w:rFonts w:hint="eastAsia" w:hAnsi="宋体"/>
                <w:color w:val="000000" w:themeColor="text1"/>
                <w:szCs w:val="21"/>
                <w14:textFill>
                  <w14:solidFill>
                    <w14:schemeClr w14:val="tx1"/>
                  </w14:solidFill>
                </w14:textFill>
              </w:rPr>
              <w:t>〔</w:t>
            </w:r>
            <w:r>
              <w:rPr>
                <w:rFonts w:hint="eastAsia" w:hAnsi="宋体"/>
                <w:szCs w:val="21"/>
              </w:rPr>
              <w:t>20</w:t>
            </w:r>
            <w:r>
              <w:rPr>
                <w:rFonts w:hAnsi="宋体"/>
                <w:szCs w:val="21"/>
              </w:rPr>
              <w:t>23</w:t>
            </w:r>
            <w:r>
              <w:rPr>
                <w:rFonts w:hint="eastAsia" w:hAnsi="宋体"/>
                <w:color w:val="000000" w:themeColor="text1"/>
                <w:szCs w:val="21"/>
                <w14:textFill>
                  <w14:solidFill>
                    <w14:schemeClr w14:val="tx1"/>
                  </w14:solidFill>
                </w14:textFill>
              </w:rPr>
              <w:t>〕</w:t>
            </w:r>
            <w:r>
              <w:rPr>
                <w:rFonts w:hAnsi="宋体"/>
                <w:szCs w:val="21"/>
              </w:rPr>
              <w:t>478</w:t>
            </w:r>
            <w:r>
              <w:rPr>
                <w:rFonts w:hint="eastAsia" w:hAnsi="宋体"/>
                <w:szCs w:val="21"/>
              </w:rPr>
              <w:t>号）下达</w:t>
            </w:r>
            <w:r>
              <w:rPr>
                <w:rFonts w:hAnsi="宋体"/>
                <w:szCs w:val="21"/>
              </w:rPr>
              <w:t>了</w:t>
            </w:r>
            <w:r>
              <w:rPr>
                <w:rFonts w:hint="eastAsia" w:hAnsi="宋体"/>
                <w:szCs w:val="21"/>
              </w:rPr>
              <w:t>《技术经纪人（经理人）培育规范》安徽省地方标准的编制计划，起草单位</w:t>
            </w:r>
            <w:r>
              <w:rPr>
                <w:rFonts w:hint="eastAsia" w:hAnsi="宋体"/>
                <w:szCs w:val="21"/>
                <w:lang w:val="en-US" w:eastAsia="zh-CN"/>
              </w:rPr>
              <w:t>牵头</w:t>
            </w:r>
            <w:r>
              <w:rPr>
                <w:rFonts w:hint="eastAsia" w:hAnsi="宋体"/>
                <w:szCs w:val="21"/>
              </w:rPr>
              <w:t>成立了《技术经纪人（经理人）培育规范》标准</w:t>
            </w:r>
            <w:r>
              <w:rPr>
                <w:rFonts w:hint="eastAsia"/>
              </w:rPr>
              <w:t>起草工作组</w:t>
            </w:r>
            <w:r>
              <w:rPr>
                <w:rFonts w:hint="eastAsia" w:hAnsi="宋体"/>
                <w:szCs w:val="21"/>
              </w:rPr>
              <w:t>，明确了工作任务和职责分工。</w:t>
            </w:r>
          </w:p>
          <w:p>
            <w:pPr>
              <w:pStyle w:val="16"/>
              <w:numPr>
                <w:ilvl w:val="0"/>
                <w:numId w:val="2"/>
              </w:numPr>
              <w:spacing w:line="360" w:lineRule="auto"/>
              <w:ind w:firstLine="422"/>
              <w:rPr>
                <w:rFonts w:hAnsi="宋体"/>
                <w:bCs/>
              </w:rPr>
            </w:pPr>
            <w:r>
              <w:rPr>
                <w:rFonts w:hint="eastAsia" w:hAnsi="宋体"/>
                <w:b/>
                <w:bCs/>
              </w:rPr>
              <w:t>收集资料、开展调研，形成草案。</w:t>
            </w:r>
            <w:r>
              <w:rPr>
                <w:rFonts w:hint="eastAsia"/>
              </w:rPr>
              <w:t>标准起草工作组，</w:t>
            </w:r>
            <w:r>
              <w:rPr>
                <w:rFonts w:hint="eastAsia"/>
                <w:lang w:val="en-US" w:eastAsia="zh-CN"/>
              </w:rPr>
              <w:t>在认真</w:t>
            </w:r>
            <w:r>
              <w:rPr>
                <w:rFonts w:hint="eastAsia" w:hAnsi="宋体"/>
                <w:bCs/>
              </w:rPr>
              <w:t>学习</w:t>
            </w:r>
            <w:r>
              <w:rPr>
                <w:rFonts w:hAnsi="宋体"/>
                <w:bCs/>
              </w:rPr>
              <w:t>GB/T 1.1—2020</w:t>
            </w:r>
            <w:r>
              <w:rPr>
                <w:rFonts w:hint="eastAsia" w:hAnsi="宋体"/>
                <w:bCs/>
              </w:rPr>
              <w:t>《标准化工作导则</w:t>
            </w:r>
            <w:r>
              <w:rPr>
                <w:rFonts w:hAnsi="宋体"/>
                <w:bCs/>
              </w:rPr>
              <w:t xml:space="preserve">  </w:t>
            </w:r>
            <w:r>
              <w:rPr>
                <w:rFonts w:hint="eastAsia" w:hAnsi="宋体"/>
                <w:bCs/>
              </w:rPr>
              <w:t>第</w:t>
            </w:r>
            <w:r>
              <w:rPr>
                <w:rFonts w:hAnsi="宋体"/>
                <w:bCs/>
              </w:rPr>
              <w:t>1</w:t>
            </w:r>
            <w:r>
              <w:rPr>
                <w:rFonts w:hint="eastAsia" w:hAnsi="宋体"/>
                <w:bCs/>
              </w:rPr>
              <w:t>部分：标准化文件的结构和起草规则》和</w:t>
            </w:r>
            <w:r>
              <w:rPr>
                <w:rFonts w:hAnsi="宋体"/>
                <w:bCs/>
              </w:rPr>
              <w:t>GB/T 20000</w:t>
            </w:r>
            <w:r>
              <w:rPr>
                <w:rFonts w:hint="eastAsia" w:hAnsi="宋体"/>
                <w:bCs/>
              </w:rPr>
              <w:t>、</w:t>
            </w:r>
            <w:r>
              <w:rPr>
                <w:rFonts w:hAnsi="宋体"/>
                <w:bCs/>
              </w:rPr>
              <w:t>GB/T20001</w:t>
            </w:r>
            <w:r>
              <w:rPr>
                <w:rFonts w:hint="eastAsia" w:hAnsi="宋体"/>
                <w:bCs/>
              </w:rPr>
              <w:t>等标准的</w:t>
            </w:r>
            <w:r>
              <w:rPr>
                <w:rFonts w:hAnsi="宋体"/>
                <w:bCs/>
              </w:rPr>
              <w:t>基础上</w:t>
            </w:r>
            <w:r>
              <w:rPr>
                <w:rFonts w:hint="eastAsia" w:hAnsi="宋体"/>
                <w:bCs/>
              </w:rPr>
              <w:t>，</w:t>
            </w:r>
            <w:r>
              <w:rPr>
                <w:rFonts w:hint="eastAsia"/>
              </w:rPr>
              <w:t>围绕着省</w:t>
            </w:r>
            <w:r>
              <w:rPr>
                <w:rFonts w:hint="eastAsia"/>
                <w:lang w:val="en-US" w:eastAsia="zh-CN"/>
              </w:rPr>
              <w:t>内</w:t>
            </w:r>
            <w:r>
              <w:rPr>
                <w:rFonts w:hint="eastAsia" w:hAnsi="宋体"/>
                <w:szCs w:val="21"/>
              </w:rPr>
              <w:t>技术经纪人（经理人）</w:t>
            </w:r>
            <w:r>
              <w:rPr>
                <w:rFonts w:hint="eastAsia" w:hAnsi="宋体"/>
                <w:szCs w:val="21"/>
                <w:lang w:val="en-US" w:eastAsia="zh-CN"/>
              </w:rPr>
              <w:t>的发展现状，政策环境、整体能力培养建设、考核认证管理</w:t>
            </w:r>
            <w:r>
              <w:rPr>
                <w:rFonts w:hint="eastAsia"/>
              </w:rPr>
              <w:t>等情况，收集、整理相关资料，为标准奠定工作基础。资料包括：《高质量培养科技成果转移转化人才行动方案》</w:t>
            </w:r>
            <w:r>
              <w:rPr>
                <w:rFonts w:hint="eastAsia"/>
                <w:lang w:eastAsia="zh-CN"/>
              </w:rPr>
              <w:t>、</w:t>
            </w:r>
            <w:r>
              <w:rPr>
                <w:rFonts w:hint="eastAsia"/>
              </w:rPr>
              <w:t>《中共安徽省委关于制定国民经济和社会发展第十四个五年规划和二〇三五年远景目标的建议》等政策文献。标准起草工作组，还收集到北京市《技术转移服务人员能力规范》（DB11/T 1788—2020）。</w:t>
            </w:r>
            <w:r>
              <w:rPr>
                <w:rFonts w:hint="eastAsia" w:hAnsi="宋体"/>
                <w:bCs/>
              </w:rPr>
              <w:t>同时</w:t>
            </w:r>
            <w:r>
              <w:rPr>
                <w:rFonts w:hint="eastAsia" w:hAnsi="宋体"/>
                <w:bCs/>
                <w:lang w:eastAsia="zh-CN"/>
              </w:rPr>
              <w:t>，</w:t>
            </w:r>
            <w:r>
              <w:rPr>
                <w:rFonts w:hint="eastAsia" w:hAnsi="宋体"/>
                <w:bCs/>
                <w:lang w:val="en-US" w:eastAsia="zh-CN"/>
              </w:rPr>
              <w:t>在</w:t>
            </w:r>
            <w:r>
              <w:rPr>
                <w:rFonts w:hint="eastAsia" w:hAnsi="宋体"/>
                <w:bCs/>
                <w:lang w:eastAsia="zh-CN"/>
              </w:rPr>
              <w:t>省内</w:t>
            </w:r>
            <w:r>
              <w:rPr>
                <w:rFonts w:hint="eastAsia" w:hAnsi="宋体"/>
                <w:bCs/>
                <w:lang w:val="en-US" w:eastAsia="zh-CN"/>
              </w:rPr>
              <w:t>外</w:t>
            </w:r>
            <w:r>
              <w:rPr>
                <w:rFonts w:hint="eastAsia" w:hAnsi="宋体"/>
                <w:bCs/>
                <w:lang w:eastAsia="zh-CN"/>
              </w:rPr>
              <w:t>多地</w:t>
            </w:r>
            <w:r>
              <w:rPr>
                <w:rFonts w:hint="eastAsia" w:hAnsi="宋体"/>
                <w:bCs/>
                <w:lang w:val="en-US" w:eastAsia="zh-CN"/>
              </w:rPr>
              <w:t>就技术转移人才培养主题开展深入</w:t>
            </w:r>
            <w:r>
              <w:rPr>
                <w:rFonts w:hint="eastAsia" w:hAnsi="宋体"/>
                <w:bCs/>
              </w:rPr>
              <w:t>调研。</w:t>
            </w:r>
            <w:r>
              <w:rPr>
                <w:rFonts w:hAnsi="宋体"/>
                <w:bCs/>
              </w:rPr>
              <w:t>经过</w:t>
            </w:r>
            <w:r>
              <w:rPr>
                <w:rFonts w:hint="eastAsia" w:hAnsi="宋体"/>
                <w:bCs/>
              </w:rPr>
              <w:t>梳理、</w:t>
            </w:r>
            <w:r>
              <w:rPr>
                <w:rFonts w:hAnsi="宋体"/>
                <w:bCs/>
              </w:rPr>
              <w:t>分析</w:t>
            </w:r>
            <w:r>
              <w:rPr>
                <w:rFonts w:hint="eastAsia" w:hAnsi="宋体"/>
                <w:bCs/>
                <w:lang w:eastAsia="zh-CN"/>
              </w:rPr>
              <w:t>相关</w:t>
            </w:r>
            <w:r>
              <w:rPr>
                <w:rFonts w:hAnsi="宋体"/>
                <w:bCs/>
              </w:rPr>
              <w:t>文献</w:t>
            </w:r>
            <w:r>
              <w:rPr>
                <w:rFonts w:hint="eastAsia" w:hAnsi="宋体"/>
                <w:bCs/>
                <w:lang w:eastAsia="zh-CN"/>
              </w:rPr>
              <w:t>、</w:t>
            </w:r>
            <w:r>
              <w:rPr>
                <w:rFonts w:hAnsi="宋体"/>
                <w:bCs/>
              </w:rPr>
              <w:t>标准材料</w:t>
            </w:r>
            <w:r>
              <w:rPr>
                <w:rFonts w:hint="eastAsia" w:hAnsi="宋体"/>
                <w:bCs/>
                <w:lang w:val="en-US" w:eastAsia="zh-CN"/>
              </w:rPr>
              <w:t>以及调研材料</w:t>
            </w:r>
            <w:r>
              <w:rPr>
                <w:rFonts w:hAnsi="宋体"/>
                <w:bCs/>
              </w:rPr>
              <w:t>，</w:t>
            </w:r>
            <w:r>
              <w:rPr>
                <w:rFonts w:hint="eastAsia" w:hAnsi="宋体"/>
                <w:szCs w:val="21"/>
              </w:rPr>
              <w:t>并结合</w:t>
            </w:r>
            <w:r>
              <w:rPr>
                <w:rFonts w:hint="eastAsia" w:hAnsi="宋体"/>
                <w:szCs w:val="21"/>
                <w:lang w:val="en-US" w:eastAsia="zh-CN"/>
              </w:rPr>
              <w:t>我省技术经纪人（经理人）培育</w:t>
            </w:r>
            <w:r>
              <w:rPr>
                <w:rFonts w:hint="eastAsia" w:hAnsi="宋体"/>
                <w:szCs w:val="21"/>
                <w:lang w:eastAsia="zh-CN"/>
              </w:rPr>
              <w:t>开展情况</w:t>
            </w:r>
            <w:r>
              <w:rPr>
                <w:rFonts w:hAnsi="宋体"/>
                <w:szCs w:val="21"/>
              </w:rPr>
              <w:t>，</w:t>
            </w:r>
            <w:r>
              <w:rPr>
                <w:rFonts w:hint="eastAsia" w:hAnsi="宋体"/>
                <w:bCs/>
              </w:rPr>
              <w:t>编制小组构建</w:t>
            </w:r>
            <w:r>
              <w:rPr>
                <w:rFonts w:hint="eastAsia" w:hAnsi="宋体"/>
                <w:bCs/>
                <w:lang w:eastAsia="zh-CN"/>
              </w:rPr>
              <w:t>了</w:t>
            </w:r>
            <w:r>
              <w:rPr>
                <w:rFonts w:hint="eastAsia" w:hAnsi="宋体"/>
                <w:bCs/>
              </w:rPr>
              <w:t>标准框架，形成标准草案。</w:t>
            </w:r>
          </w:p>
          <w:p>
            <w:pPr>
              <w:pStyle w:val="16"/>
              <w:spacing w:line="360" w:lineRule="auto"/>
              <w:ind w:firstLine="422"/>
              <w:rPr>
                <w:rFonts w:hAnsi="宋体"/>
                <w:bCs/>
              </w:rPr>
            </w:pPr>
            <w:r>
              <w:rPr>
                <w:rFonts w:hint="eastAsia" w:hAnsi="宋体"/>
                <w:b/>
                <w:bCs/>
              </w:rPr>
              <w:t>二、形成标准征求意见稿。</w:t>
            </w:r>
            <w:r>
              <w:rPr>
                <w:rFonts w:hint="eastAsia" w:hAnsi="宋体"/>
              </w:rPr>
              <w:t>标准草案提出后，编制小组多次组织召开</w:t>
            </w:r>
            <w:r>
              <w:rPr>
                <w:rFonts w:hAnsi="宋体"/>
              </w:rPr>
              <w:t>标准</w:t>
            </w:r>
            <w:r>
              <w:rPr>
                <w:rFonts w:hint="eastAsia" w:hAnsi="宋体"/>
              </w:rPr>
              <w:t>讨论会，对</w:t>
            </w:r>
            <w:r>
              <w:rPr>
                <w:rFonts w:hAnsi="宋体"/>
              </w:rPr>
              <w:t>标准草案</w:t>
            </w:r>
            <w:r>
              <w:rPr>
                <w:rFonts w:hint="eastAsia" w:hAnsi="宋体"/>
              </w:rPr>
              <w:t>进行</w:t>
            </w:r>
            <w:r>
              <w:rPr>
                <w:rFonts w:hAnsi="宋体"/>
              </w:rPr>
              <w:t>修改完善</w:t>
            </w:r>
            <w:r>
              <w:rPr>
                <w:rFonts w:hint="eastAsia" w:hAnsi="宋体"/>
              </w:rPr>
              <w:t>，并编写编制说明。期间</w:t>
            </w:r>
            <w:r>
              <w:rPr>
                <w:rFonts w:hAnsi="宋体"/>
              </w:rPr>
              <w:t>，</w:t>
            </w:r>
            <w:r>
              <w:rPr>
                <w:rFonts w:hint="eastAsia" w:hAnsi="宋体"/>
              </w:rPr>
              <w:t>起草单位邀请了有关领域专家组织召开专家研讨会，对标准草案、编制说明的内容逐条进行了讨论和修改，于</w:t>
            </w:r>
            <w:r>
              <w:rPr>
                <w:rFonts w:hAnsi="宋体"/>
              </w:rPr>
              <w:t>202</w:t>
            </w:r>
            <w:r>
              <w:rPr>
                <w:rFonts w:hint="eastAsia" w:hAnsi="宋体"/>
                <w:lang w:val="en-US" w:eastAsia="zh-CN"/>
              </w:rPr>
              <w:t>4</w:t>
            </w:r>
            <w:r>
              <w:rPr>
                <w:rFonts w:hint="eastAsia" w:hAnsi="宋体"/>
              </w:rPr>
              <w:t>年</w:t>
            </w:r>
            <w:r>
              <w:rPr>
                <w:rFonts w:hint="eastAsia" w:hAnsi="宋体"/>
                <w:lang w:val="en-US" w:eastAsia="zh-CN"/>
              </w:rPr>
              <w:t>6</w:t>
            </w:r>
            <w:r>
              <w:rPr>
                <w:rFonts w:hint="eastAsia" w:hAnsi="宋体"/>
              </w:rPr>
              <w:t>月</w:t>
            </w:r>
            <w:r>
              <w:rPr>
                <w:rFonts w:hint="eastAsia" w:hAnsi="宋体"/>
                <w:lang w:val="en-US" w:eastAsia="zh-CN"/>
              </w:rPr>
              <w:t>上</w:t>
            </w:r>
            <w:r>
              <w:rPr>
                <w:rFonts w:hint="eastAsia" w:hAnsi="宋体"/>
              </w:rPr>
              <w:t>旬，完成标准征求意见稿</w:t>
            </w:r>
            <w:r>
              <w:rPr>
                <w:rFonts w:hint="eastAsia" w:hAnsi="宋体"/>
                <w:lang w:eastAsia="zh-CN"/>
              </w:rPr>
              <w:t>起草工作</w:t>
            </w:r>
            <w:r>
              <w:rPr>
                <w:rFonts w:hint="eastAsia"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vAlign w:val="center"/>
          </w:tcPr>
          <w:p>
            <w:pPr>
              <w:pStyle w:val="16"/>
              <w:adjustRightInd w:val="0"/>
              <w:spacing w:line="360" w:lineRule="auto"/>
              <w:ind w:firstLine="0" w:firstLineChars="0"/>
              <w:contextualSpacing/>
              <w:rPr>
                <w:rFonts w:hAnsi="宋体"/>
                <w:szCs w:val="21"/>
              </w:rPr>
            </w:pPr>
            <w:r>
              <w:rPr>
                <w:rFonts w:hint="eastAsia" w:hAnsi="宋体"/>
                <w:szCs w:val="21"/>
              </w:rPr>
              <w:t>2、制定标准的必要性和意义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vAlign w:val="center"/>
          </w:tcPr>
          <w:p>
            <w:pPr>
              <w:spacing w:line="360" w:lineRule="auto"/>
              <w:ind w:firstLine="422" w:firstLineChars="200"/>
              <w:rPr>
                <w:rFonts w:ascii="宋体" w:hAnsi="宋体" w:cs="宋体"/>
                <w:b/>
                <w:bCs/>
                <w:kern w:val="0"/>
              </w:rPr>
            </w:pPr>
            <w:r>
              <w:rPr>
                <w:rFonts w:hint="eastAsia" w:ascii="宋体" w:hAnsi="宋体" w:cs="宋体"/>
                <w:b/>
                <w:bCs/>
                <w:kern w:val="0"/>
              </w:rPr>
              <w:t>一、制定该标准的必要性</w:t>
            </w:r>
          </w:p>
          <w:p>
            <w:pPr>
              <w:spacing w:line="360" w:lineRule="auto"/>
              <w:ind w:firstLine="420" w:firstLineChars="200"/>
              <w:rPr>
                <w:rFonts w:hint="eastAsia" w:ascii="宋体" w:hAnsi="宋体" w:cs="宋体"/>
              </w:rPr>
            </w:pPr>
            <w:r>
              <w:rPr>
                <w:rFonts w:hint="eastAsia" w:ascii="宋体" w:hAnsi="宋体" w:cs="宋体"/>
              </w:rPr>
              <w:t>2020年，中共中央国务院发布《关于构建更加完善的要素市场化配置体制机制的意见》，提出培育发展技术经理人，建立国家技术转移人才培养体系，提高技术转移专业服务能力。2021年，中共中央国务院印发《国家标准化发展纲要》，明确推进技术经理人等标准化工作。2023年，科技部火炬中心印发《高质量培养科技成果转移转化人才行动方案》，规范技术转移从业人员能力等级培养。</w:t>
            </w:r>
          </w:p>
          <w:p>
            <w:pPr>
              <w:spacing w:line="360" w:lineRule="auto"/>
              <w:ind w:firstLine="420" w:firstLineChars="200"/>
              <w:rPr>
                <w:rFonts w:hint="eastAsia" w:ascii="宋体" w:hAnsi="宋体" w:cs="宋体"/>
              </w:rPr>
            </w:pPr>
            <w:r>
              <w:rPr>
                <w:rFonts w:hint="eastAsia" w:ascii="宋体" w:hAnsi="宋体" w:cs="宋体"/>
              </w:rPr>
              <w:t>2020年7月，安徽创新馆获批</w:t>
            </w:r>
            <w:r>
              <w:rPr>
                <w:rFonts w:hint="eastAsia" w:ascii="宋体" w:hAnsi="宋体" w:cs="宋体"/>
                <w:lang w:val="en-US" w:eastAsia="zh-CN"/>
              </w:rPr>
              <w:t>安徽省</w:t>
            </w:r>
            <w:r>
              <w:rPr>
                <w:rFonts w:hint="eastAsia" w:ascii="宋体" w:hAnsi="宋体" w:cs="宋体"/>
              </w:rPr>
              <w:t>国家技术转移人才培养基地</w:t>
            </w:r>
            <w:r>
              <w:rPr>
                <w:rFonts w:hint="eastAsia" w:ascii="宋体" w:hAnsi="宋体" w:cs="宋体"/>
                <w:lang w:eastAsia="zh-CN"/>
              </w:rPr>
              <w:t>，</w:t>
            </w:r>
            <w:r>
              <w:rPr>
                <w:rFonts w:hint="eastAsia" w:ascii="宋体" w:hAnsi="宋体" w:cs="宋体"/>
              </w:rPr>
              <w:t>截至目前，</w:t>
            </w:r>
            <w:r>
              <w:rPr>
                <w:rFonts w:hint="eastAsia" w:ascii="宋体" w:hAnsi="宋体" w:cs="宋体"/>
                <w:lang w:val="en-US" w:eastAsia="zh-CN"/>
              </w:rPr>
              <w:t>已</w:t>
            </w:r>
            <w:r>
              <w:rPr>
                <w:rFonts w:hint="eastAsia" w:ascii="宋体" w:hAnsi="宋体" w:cs="宋体"/>
              </w:rPr>
              <w:t>培养各类技术转移人才</w:t>
            </w:r>
            <w:r>
              <w:rPr>
                <w:rFonts w:hint="eastAsia" w:ascii="宋体" w:hAnsi="宋体" w:cs="宋体"/>
                <w:lang w:val="en-US" w:eastAsia="zh-CN"/>
              </w:rPr>
              <w:t>24</w:t>
            </w:r>
            <w:r>
              <w:rPr>
                <w:rFonts w:hint="eastAsia" w:ascii="宋体" w:hAnsi="宋体" w:cs="宋体"/>
              </w:rPr>
              <w:t>00多人，牵头组建技术经理人事务所和技术经纪人服务团，发起成立安徽省技术经理人协会。承担并圆满完成国家新一轮“全创改”任务，推动我省将技术经纪专业纳入职称评定范畴</w:t>
            </w:r>
            <w:r>
              <w:rPr>
                <w:rFonts w:hint="eastAsia" w:ascii="宋体" w:hAnsi="宋体" w:cs="宋体"/>
                <w:lang w:eastAsia="zh-CN"/>
              </w:rPr>
              <w:t>。</w:t>
            </w:r>
            <w:r>
              <w:rPr>
                <w:rFonts w:hint="eastAsia" w:ascii="宋体" w:hAnsi="宋体" w:cs="宋体"/>
                <w:lang w:val="en-US" w:eastAsia="zh-CN"/>
              </w:rPr>
              <w:t>但相对先发地区，安徽省技术转移人才</w:t>
            </w:r>
            <w:r>
              <w:rPr>
                <w:rFonts w:hint="eastAsia" w:ascii="宋体" w:hAnsi="宋体" w:cs="宋体"/>
              </w:rPr>
              <w:t>培育工作起步晚</w:t>
            </w:r>
            <w:r>
              <w:rPr>
                <w:rFonts w:hint="eastAsia" w:ascii="宋体" w:hAnsi="宋体" w:cs="宋体"/>
                <w:lang w:eastAsia="zh-CN"/>
              </w:rPr>
              <w:t>，</w:t>
            </w:r>
            <w:r>
              <w:rPr>
                <w:rFonts w:hint="eastAsia" w:ascii="宋体" w:hAnsi="宋体" w:cs="宋体"/>
              </w:rPr>
              <w:t>技术转移人才培养以及管理体系尚不健全，</w:t>
            </w:r>
            <w:r>
              <w:rPr>
                <w:rFonts w:hint="eastAsia" w:ascii="宋体" w:hAnsi="宋体" w:cs="宋体"/>
                <w:lang w:val="en-US" w:eastAsia="zh-CN"/>
              </w:rPr>
              <w:t>且</w:t>
            </w:r>
            <w:r>
              <w:rPr>
                <w:rFonts w:hint="eastAsia" w:ascii="宋体" w:hAnsi="宋体" w:cs="宋体"/>
              </w:rPr>
              <w:t>技术经纪人（经理人）是“懂科技、懂产业、懂资本、懂市场、懂管理”的复合型人才，培育难度大，在</w:t>
            </w:r>
            <w:r>
              <w:rPr>
                <w:rFonts w:hint="eastAsia" w:ascii="宋体" w:hAnsi="宋体" w:cs="宋体"/>
                <w:lang w:val="en-US" w:eastAsia="zh-CN"/>
              </w:rPr>
              <w:t>技术转移人才培育</w:t>
            </w:r>
            <w:r>
              <w:rPr>
                <w:rFonts w:hint="eastAsia" w:ascii="宋体" w:hAnsi="宋体" w:cs="宋体"/>
              </w:rPr>
              <w:t>操作层面还缺乏指导性的规范文件，暂无相应的国家标准、行业标准和安徽省地方标准，</w:t>
            </w:r>
            <w:r>
              <w:rPr>
                <w:rFonts w:hint="eastAsia" w:ascii="宋体" w:hAnsi="宋体" w:cs="宋体"/>
                <w:lang w:val="en-US" w:eastAsia="zh-CN"/>
              </w:rPr>
              <w:t>因此</w:t>
            </w:r>
            <w:r>
              <w:rPr>
                <w:rFonts w:hint="eastAsia" w:ascii="宋体" w:hAnsi="宋体" w:cs="宋体"/>
              </w:rPr>
              <w:t>，制定</w:t>
            </w:r>
            <w:r>
              <w:rPr>
                <w:rFonts w:hint="eastAsia" w:ascii="宋体" w:hAnsi="宋体" w:cs="宋体"/>
                <w:lang w:val="en-US" w:eastAsia="zh-CN"/>
              </w:rPr>
              <w:t>实施《技术经纪人（经理人）培育规范》，将填补我省此领域标准的空白，</w:t>
            </w:r>
            <w:r>
              <w:rPr>
                <w:rFonts w:hint="eastAsia" w:ascii="宋体" w:hAnsi="宋体" w:cs="宋体"/>
              </w:rPr>
              <w:t>为技术经纪人培育提供了“路线图”，引领行业健康持续高效发展。</w:t>
            </w:r>
          </w:p>
          <w:p>
            <w:pPr>
              <w:spacing w:line="360" w:lineRule="auto"/>
              <w:ind w:firstLine="422" w:firstLineChars="200"/>
              <w:rPr>
                <w:rFonts w:hint="eastAsia" w:ascii="宋体" w:hAnsi="宋体" w:cs="宋体"/>
                <w:b/>
                <w:bCs/>
                <w:kern w:val="0"/>
              </w:rPr>
            </w:pPr>
            <w:r>
              <w:rPr>
                <w:rFonts w:hint="eastAsia" w:ascii="宋体" w:hAnsi="宋体" w:cs="宋体"/>
                <w:b/>
                <w:bCs/>
                <w:kern w:val="0"/>
              </w:rPr>
              <w:t>二、制定该标准的意义</w:t>
            </w:r>
          </w:p>
          <w:p>
            <w:pPr>
              <w:spacing w:line="360" w:lineRule="auto"/>
              <w:ind w:firstLine="420" w:firstLineChars="200"/>
              <w:rPr>
                <w:rFonts w:hint="eastAsia" w:ascii="宋体" w:hAnsi="宋体" w:cs="宋体"/>
                <w:lang w:val="en-US" w:eastAsia="zh-CN"/>
              </w:rPr>
            </w:pPr>
            <w:r>
              <w:rPr>
                <w:rFonts w:hint="eastAsia" w:ascii="宋体" w:hAnsi="宋体" w:cs="宋体"/>
                <w:lang w:val="en-US" w:eastAsia="zh-CN"/>
              </w:rPr>
              <w:t>1.中共中央国务院印发《国家标准化发展纲要》，明确推进技术经理人等标准化工作，制定安徽省地方标准《技术经纪人（经理人）培育规范》是国家技术转移人才培养基地建设工作的一项重要内容。</w:t>
            </w:r>
          </w:p>
          <w:p>
            <w:pPr>
              <w:spacing w:line="360" w:lineRule="auto"/>
              <w:ind w:firstLine="420" w:firstLineChars="200"/>
              <w:rPr>
                <w:rFonts w:hint="eastAsia" w:ascii="宋体" w:hAnsi="宋体" w:cs="宋体"/>
                <w:lang w:val="en-US" w:eastAsia="zh-CN"/>
              </w:rPr>
            </w:pPr>
            <w:r>
              <w:rPr>
                <w:rFonts w:hint="eastAsia" w:ascii="宋体" w:hAnsi="宋体" w:cs="宋体"/>
                <w:lang w:val="en-US" w:eastAsia="zh-CN"/>
              </w:rPr>
              <w:t>2.通过对技术经纪人（经理人）培养建设、考核认证管理等方面的梳理与规范，为我省技术转移服务人员培养的具体操作层面提供了“路线图”，促进我省技术经纪人（经理人）培养工作更严谨、科学、有效。</w:t>
            </w:r>
          </w:p>
          <w:p>
            <w:pPr>
              <w:spacing w:line="360" w:lineRule="auto"/>
              <w:ind w:firstLine="420" w:firstLineChars="200"/>
              <w:rPr>
                <w:rFonts w:hint="eastAsia" w:ascii="宋体" w:hAnsi="宋体" w:cs="宋体"/>
              </w:rPr>
            </w:pPr>
            <w:r>
              <w:rPr>
                <w:rFonts w:hint="eastAsia" w:ascii="宋体" w:hAnsi="宋体" w:cs="宋体"/>
                <w:lang w:val="en-US" w:eastAsia="zh-CN"/>
              </w:rPr>
              <w:t>3.建立标准规范，</w:t>
            </w:r>
            <w:r>
              <w:rPr>
                <w:rFonts w:hint="eastAsia" w:ascii="宋体" w:hAnsi="宋体" w:cs="宋体"/>
              </w:rPr>
              <w:t>营造</w:t>
            </w:r>
            <w:r>
              <w:rPr>
                <w:rFonts w:hint="eastAsia" w:ascii="宋体" w:hAnsi="宋体" w:cs="宋体"/>
                <w:lang w:val="en-US" w:eastAsia="zh-CN"/>
              </w:rPr>
              <w:t>好的服务</w:t>
            </w:r>
            <w:r>
              <w:rPr>
                <w:rFonts w:hint="eastAsia" w:ascii="宋体" w:hAnsi="宋体" w:cs="宋体"/>
              </w:rPr>
              <w:t>环境</w:t>
            </w:r>
            <w:r>
              <w:rPr>
                <w:rFonts w:hint="eastAsia" w:ascii="宋体" w:hAnsi="宋体" w:cs="宋体"/>
                <w:lang w:eastAsia="zh-CN"/>
              </w:rPr>
              <w:t>，</w:t>
            </w:r>
            <w:r>
              <w:rPr>
                <w:rFonts w:hint="eastAsia" w:ascii="宋体" w:hAnsi="宋体" w:cs="宋体"/>
                <w:lang w:val="en-US" w:eastAsia="zh-CN"/>
              </w:rPr>
              <w:t>有助于凝聚和培养一批专业化、国际化、复合型技术转移转化人才队伍，对提高我省技术转移人才的服务水平，推动我省科技成果转化和产业化具有重要意义。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vAlign w:val="center"/>
          </w:tcPr>
          <w:p>
            <w:pPr>
              <w:pStyle w:val="16"/>
              <w:adjustRightInd w:val="0"/>
              <w:spacing w:line="360" w:lineRule="auto"/>
              <w:ind w:firstLine="0" w:firstLineChars="0"/>
              <w:contextualSpacing/>
              <w:rPr>
                <w:rFonts w:hAnsi="宋体"/>
                <w:szCs w:val="21"/>
              </w:rPr>
            </w:pPr>
            <w:r>
              <w:rPr>
                <w:rFonts w:hint="eastAsia" w:hAnsi="宋体"/>
                <w:szCs w:val="21"/>
              </w:rPr>
              <w:t>3、制定标准的原则和依据，与现行法律法规、标准的关系。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vAlign w:val="center"/>
          </w:tcPr>
          <w:p>
            <w:pPr>
              <w:spacing w:line="360" w:lineRule="auto"/>
              <w:ind w:firstLine="422" w:firstLineChars="200"/>
              <w:jc w:val="both"/>
              <w:rPr>
                <w:rFonts w:hAnsi="宋体"/>
                <w:b/>
                <w:bCs/>
              </w:rPr>
            </w:pPr>
            <w:r>
              <w:rPr>
                <w:rFonts w:hint="eastAsia" w:ascii="宋体" w:hAnsi="宋体" w:cs="宋体"/>
                <w:b/>
                <w:bCs/>
                <w:kern w:val="0"/>
              </w:rPr>
              <w:t>一、</w:t>
            </w:r>
            <w:r>
              <w:rPr>
                <w:rFonts w:hint="eastAsia" w:hAnsi="宋体" w:cs="宋体"/>
                <w:b/>
                <w:bCs/>
              </w:rPr>
              <w:t>制定该标准的原则</w:t>
            </w:r>
          </w:p>
          <w:p>
            <w:pPr>
              <w:spacing w:line="360" w:lineRule="auto"/>
              <w:ind w:firstLine="420" w:firstLineChars="200"/>
              <w:jc w:val="both"/>
              <w:rPr>
                <w:rFonts w:hAnsi="宋体"/>
              </w:rPr>
            </w:pPr>
            <w:r>
              <w:rPr>
                <w:rFonts w:hint="eastAsia" w:hAnsi="宋体" w:cs="宋体"/>
              </w:rPr>
              <w:t>制定该标准的原则：规范性、实用性、协调性、科学性。</w:t>
            </w:r>
          </w:p>
          <w:p>
            <w:pPr>
              <w:spacing w:line="360" w:lineRule="auto"/>
              <w:ind w:firstLine="422" w:firstLineChars="200"/>
              <w:jc w:val="both"/>
              <w:rPr>
                <w:rFonts w:hAnsi="宋体"/>
                <w:b/>
                <w:bCs/>
              </w:rPr>
            </w:pPr>
            <w:r>
              <w:rPr>
                <w:rFonts w:hint="eastAsia" w:ascii="宋体" w:hAnsi="宋体" w:cs="宋体"/>
                <w:b/>
                <w:bCs/>
                <w:kern w:val="0"/>
              </w:rPr>
              <w:t>二、</w:t>
            </w:r>
            <w:r>
              <w:rPr>
                <w:rFonts w:hint="eastAsia" w:hAnsi="宋体" w:cs="宋体"/>
                <w:b/>
                <w:bCs/>
              </w:rPr>
              <w:t>制定该标准的依据</w:t>
            </w:r>
          </w:p>
          <w:p>
            <w:pPr>
              <w:pStyle w:val="6"/>
              <w:spacing w:beforeAutospacing="0" w:afterAutospacing="0" w:line="360" w:lineRule="auto"/>
              <w:ind w:firstLine="420" w:firstLineChars="200"/>
              <w:jc w:val="both"/>
              <w:rPr>
                <w:rFonts w:hint="default"/>
                <w:color w:val="auto"/>
                <w:sz w:val="21"/>
                <w:szCs w:val="21"/>
              </w:rPr>
            </w:pPr>
            <w:r>
              <w:rPr>
                <w:color w:val="auto"/>
                <w:sz w:val="21"/>
                <w:szCs w:val="21"/>
              </w:rPr>
              <w:t>1.《</w:t>
            </w:r>
            <w:r>
              <w:rPr>
                <w:rFonts w:hint="eastAsia"/>
                <w:color w:val="auto"/>
                <w:sz w:val="21"/>
                <w:szCs w:val="21"/>
              </w:rPr>
              <w:t>国家技术转移专业人员能力等级培训大纲（试行）</w:t>
            </w:r>
            <w:r>
              <w:rPr>
                <w:color w:val="auto"/>
                <w:sz w:val="21"/>
                <w:szCs w:val="21"/>
              </w:rPr>
              <w:t>》；</w:t>
            </w:r>
          </w:p>
          <w:p>
            <w:pPr>
              <w:pStyle w:val="6"/>
              <w:spacing w:beforeAutospacing="0" w:afterAutospacing="0" w:line="360" w:lineRule="auto"/>
              <w:ind w:firstLine="420" w:firstLineChars="200"/>
              <w:jc w:val="both"/>
              <w:rPr>
                <w:rFonts w:hint="default"/>
                <w:sz w:val="21"/>
                <w:szCs w:val="21"/>
              </w:rPr>
            </w:pPr>
            <w:r>
              <w:rPr>
                <w:rFonts w:hint="default" w:ascii="宋体" w:hAnsi="宋体" w:eastAsia="宋体" w:cs="宋体"/>
                <w:kern w:val="2"/>
                <w:sz w:val="21"/>
                <w:szCs w:val="21"/>
                <w:lang w:val="en-US" w:eastAsia="zh-CN" w:bidi="ar-SA"/>
              </w:rPr>
              <w:t>2.《</w:t>
            </w:r>
            <w:r>
              <w:rPr>
                <w:rFonts w:hint="eastAsia" w:ascii="宋体" w:hAnsi="宋体" w:eastAsia="宋体" w:cs="宋体"/>
                <w:kern w:val="2"/>
                <w:sz w:val="21"/>
                <w:szCs w:val="21"/>
                <w:lang w:val="en-US" w:eastAsia="zh-CN" w:bidi="ar-SA"/>
              </w:rPr>
              <w:t>高质量培养科技成果转移转化人才行动方案</w:t>
            </w:r>
            <w:r>
              <w:rPr>
                <w:rFonts w:hint="default" w:ascii="宋体" w:hAnsi="宋体" w:eastAsia="宋体" w:cs="宋体"/>
                <w:kern w:val="2"/>
                <w:sz w:val="21"/>
                <w:szCs w:val="21"/>
                <w:lang w:val="en-US" w:eastAsia="zh-CN" w:bidi="ar-SA"/>
              </w:rPr>
              <w:t>》（国科火字〔2023〕70号）</w:t>
            </w:r>
            <w:r>
              <w:rPr>
                <w:sz w:val="21"/>
                <w:szCs w:val="21"/>
              </w:rPr>
              <w:t>；</w:t>
            </w:r>
          </w:p>
          <w:p>
            <w:pPr>
              <w:pStyle w:val="6"/>
              <w:spacing w:beforeAutospacing="0" w:afterAutospacing="0" w:line="360" w:lineRule="auto"/>
              <w:ind w:firstLine="420" w:firstLineChars="200"/>
              <w:jc w:val="both"/>
              <w:rPr>
                <w:rFonts w:hint="eastAsia"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3.《安徽技术经纪人培训教材》（ISBN 978-7-312-05657-4）</w:t>
            </w:r>
            <w:r>
              <w:rPr>
                <w:rFonts w:hint="eastAsia" w:ascii="宋体" w:hAnsi="宋体" w:eastAsia="宋体" w:cs="宋体"/>
                <w:kern w:val="2"/>
                <w:sz w:val="21"/>
                <w:szCs w:val="21"/>
                <w:lang w:val="en-US" w:eastAsia="zh-CN" w:bidi="ar-SA"/>
              </w:rPr>
              <w:t>；</w:t>
            </w:r>
          </w:p>
          <w:p>
            <w:pPr>
              <w:spacing w:line="360" w:lineRule="auto"/>
              <w:ind w:firstLine="422" w:firstLineChars="200"/>
              <w:jc w:val="both"/>
              <w:rPr>
                <w:rFonts w:hAnsi="宋体"/>
                <w:b/>
                <w:bCs/>
              </w:rPr>
            </w:pPr>
            <w:r>
              <w:rPr>
                <w:rFonts w:hint="eastAsia" w:ascii="宋体" w:hAnsi="宋体" w:cs="宋体"/>
                <w:b/>
                <w:bCs/>
                <w:kern w:val="0"/>
              </w:rPr>
              <w:t>三、</w:t>
            </w:r>
            <w:r>
              <w:rPr>
                <w:rFonts w:hint="eastAsia" w:hAnsi="宋体" w:cs="宋体"/>
                <w:b/>
                <w:bCs/>
              </w:rPr>
              <w:t>该标准与现行法律法规、标准的关系</w:t>
            </w:r>
          </w:p>
          <w:p>
            <w:pPr>
              <w:pStyle w:val="6"/>
              <w:spacing w:beforeAutospacing="0" w:afterAutospacing="0" w:line="360" w:lineRule="auto"/>
              <w:ind w:firstLine="420" w:firstLineChars="200"/>
              <w:jc w:val="both"/>
              <w:rPr>
                <w:rFonts w:hint="default"/>
                <w:sz w:val="21"/>
                <w:szCs w:val="21"/>
              </w:rPr>
            </w:pPr>
            <w:r>
              <w:rPr>
                <w:sz w:val="21"/>
                <w:szCs w:val="21"/>
              </w:rPr>
              <w:t>1.本标准与现行的相关法律法规不存在任何抵触；</w:t>
            </w:r>
          </w:p>
          <w:p>
            <w:pPr>
              <w:pStyle w:val="6"/>
              <w:spacing w:beforeAutospacing="0" w:afterAutospacing="0" w:line="360" w:lineRule="auto"/>
              <w:ind w:firstLine="420" w:firstLineChars="200"/>
              <w:jc w:val="both"/>
              <w:rPr>
                <w:rFonts w:hint="default"/>
                <w:sz w:val="21"/>
                <w:szCs w:val="21"/>
              </w:rPr>
            </w:pPr>
            <w:r>
              <w:rPr>
                <w:sz w:val="21"/>
                <w:szCs w:val="21"/>
              </w:rPr>
              <w:t>2.本标准依据GB/T1.1-2020的规定编写；</w:t>
            </w:r>
          </w:p>
          <w:p>
            <w:pPr>
              <w:pStyle w:val="6"/>
              <w:spacing w:beforeAutospacing="0" w:afterAutospacing="0" w:line="360" w:lineRule="auto"/>
              <w:ind w:firstLine="420" w:firstLineChars="200"/>
              <w:jc w:val="both"/>
              <w:rPr>
                <w:rFonts w:hint="default"/>
                <w:sz w:val="21"/>
                <w:szCs w:val="21"/>
              </w:rPr>
            </w:pPr>
            <w:r>
              <w:rPr>
                <w:sz w:val="21"/>
                <w:szCs w:val="21"/>
              </w:rPr>
              <w:t>3.本标准对相关标准的内容进行了补充，并进行了细化。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vAlign w:val="center"/>
          </w:tcPr>
          <w:p>
            <w:pPr>
              <w:pStyle w:val="16"/>
              <w:adjustRightInd w:val="0"/>
              <w:spacing w:line="360" w:lineRule="auto"/>
              <w:ind w:firstLine="0" w:firstLineChars="0"/>
              <w:contextualSpacing/>
              <w:rPr>
                <w:rFonts w:hAnsi="宋体"/>
                <w:szCs w:val="21"/>
              </w:rPr>
            </w:pPr>
            <w:r>
              <w:rPr>
                <w:rFonts w:hint="eastAsia" w:hAnsi="宋体"/>
                <w:szCs w:val="21"/>
              </w:rPr>
              <w:t>4、主要条款的说明，主要技术指标、参数、试验验证的论述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vAlign w:val="center"/>
          </w:tcPr>
          <w:p>
            <w:pPr>
              <w:spacing w:line="360" w:lineRule="auto"/>
              <w:ind w:firstLine="420" w:firstLineChars="200"/>
              <w:rPr>
                <w:rFonts w:ascii="宋体" w:hAnsi="宋体" w:cs="宋体"/>
              </w:rPr>
            </w:pPr>
            <w:r>
              <w:rPr>
                <w:rFonts w:hint="eastAsia" w:hAnsi="宋体"/>
              </w:rPr>
              <w:t>本文件</w:t>
            </w:r>
            <w:r>
              <w:rPr>
                <w:rFonts w:hint="eastAsia" w:hAnsi="宋体"/>
                <w:lang w:eastAsia="zh-CN"/>
              </w:rPr>
              <w:t>主要条款</w:t>
            </w:r>
            <w:r>
              <w:rPr>
                <w:rFonts w:hint="eastAsia" w:hAnsi="宋体"/>
                <w:lang w:val="en-US" w:eastAsia="zh-CN"/>
              </w:rPr>
              <w:t>包括</w:t>
            </w:r>
            <w:r>
              <w:rPr>
                <w:rFonts w:hint="eastAsia" w:hAnsi="宋体"/>
              </w:rPr>
              <w:t>：</w:t>
            </w:r>
            <w:r>
              <w:rPr>
                <w:rFonts w:hint="eastAsia" w:ascii="宋体" w:hAnsi="宋体" w:cs="宋体"/>
              </w:rPr>
              <w:t>范围、规范性引用文件、术语和定义、基本要求、能力培养、认证管理等</w:t>
            </w:r>
            <w:r>
              <w:rPr>
                <w:rFonts w:hint="eastAsia" w:ascii="宋体" w:hAnsi="宋体" w:cs="宋体"/>
                <w:lang w:val="en-US" w:eastAsia="zh-CN"/>
              </w:rPr>
              <w:t>7</w:t>
            </w:r>
            <w:r>
              <w:rPr>
                <w:rFonts w:hint="eastAsia" w:ascii="宋体" w:hAnsi="宋体" w:cs="宋体"/>
              </w:rPr>
              <w:t>项内容。</w:t>
            </w:r>
          </w:p>
          <w:p>
            <w:pPr>
              <w:spacing w:line="360" w:lineRule="auto"/>
              <w:ind w:firstLine="420" w:firstLineChars="200"/>
              <w:rPr>
                <w:rFonts w:hint="eastAsia" w:ascii="宋体" w:hAnsi="宋体" w:cs="宋体"/>
              </w:rPr>
            </w:pPr>
            <w:r>
              <w:rPr>
                <w:rFonts w:hint="eastAsia" w:ascii="宋体" w:hAnsi="宋体" w:cs="宋体"/>
              </w:rPr>
              <w:t>范围：本文件适用于对技术经纪人（经理人）知识与技能培养及组织管理的规范活动。</w:t>
            </w:r>
          </w:p>
          <w:p>
            <w:pPr>
              <w:spacing w:line="360" w:lineRule="auto"/>
              <w:ind w:firstLine="420" w:firstLineChars="200"/>
              <w:rPr>
                <w:rFonts w:ascii="宋体" w:hAnsi="宋体" w:cs="宋体"/>
              </w:rPr>
            </w:pPr>
            <w:r>
              <w:rPr>
                <w:rFonts w:hint="eastAsia" w:ascii="宋体" w:hAnsi="宋体" w:cs="宋体"/>
              </w:rPr>
              <w:t>规范性引用文件：GB/T 34670—2017  技术转移服务规范等引用规范。</w:t>
            </w:r>
          </w:p>
          <w:p>
            <w:pPr>
              <w:spacing w:line="360" w:lineRule="auto"/>
              <w:ind w:firstLine="420" w:firstLineChars="200"/>
              <w:rPr>
                <w:rFonts w:ascii="宋体" w:hAnsi="宋体" w:cs="宋体"/>
              </w:rPr>
            </w:pPr>
            <w:r>
              <w:rPr>
                <w:rFonts w:hint="eastAsia" w:ascii="宋体" w:hAnsi="宋体" w:cs="宋体"/>
              </w:rPr>
              <w:t>术语和定义：对技术转移、技术转移服务、技术经纪人（经理人）、技术经纪人服务团等术语</w:t>
            </w:r>
            <w:r>
              <w:rPr>
                <w:rFonts w:hint="eastAsia" w:ascii="宋体" w:hAnsi="宋体" w:cs="宋体"/>
                <w:lang w:val="en-US" w:eastAsia="zh-CN"/>
              </w:rPr>
              <w:t>进行</w:t>
            </w:r>
            <w:r>
              <w:rPr>
                <w:rFonts w:hint="eastAsia" w:ascii="宋体" w:hAnsi="宋体" w:cs="宋体"/>
              </w:rPr>
              <w:t>释义。</w:t>
            </w:r>
          </w:p>
          <w:p>
            <w:pPr>
              <w:spacing w:line="360" w:lineRule="auto"/>
              <w:ind w:firstLine="420" w:firstLineChars="200"/>
              <w:rPr>
                <w:rFonts w:ascii="宋体" w:hAnsi="宋体" w:cs="宋体"/>
              </w:rPr>
            </w:pPr>
            <w:r>
              <w:rPr>
                <w:rFonts w:hint="eastAsia" w:ascii="宋体" w:hAnsi="宋体" w:cs="宋体"/>
              </w:rPr>
              <w:t>基本要求：</w:t>
            </w:r>
            <w:r>
              <w:rPr>
                <w:rFonts w:hint="eastAsia" w:ascii="宋体" w:hAnsi="宋体" w:cs="宋体"/>
                <w:lang w:eastAsia="zh-CN"/>
              </w:rPr>
              <w:t>对各类技术经纪人（经理人）执业素养、分级分类、知识和能力要求进行规范。</w:t>
            </w:r>
            <w:bookmarkStart w:id="30" w:name="_GoBack"/>
            <w:bookmarkEnd w:id="30"/>
          </w:p>
          <w:p>
            <w:pPr>
              <w:spacing w:line="360" w:lineRule="auto"/>
              <w:ind w:firstLine="420" w:firstLineChars="200"/>
              <w:rPr>
                <w:rFonts w:hint="eastAsia" w:ascii="宋体" w:hAnsi="宋体" w:cs="宋体"/>
              </w:rPr>
            </w:pPr>
            <w:r>
              <w:rPr>
                <w:rFonts w:hint="eastAsia" w:ascii="宋体" w:hAnsi="宋体" w:cs="宋体"/>
              </w:rPr>
              <w:t>能力要求：对理论</w:t>
            </w:r>
            <w:r>
              <w:rPr>
                <w:rFonts w:hint="eastAsia" w:ascii="宋体" w:hAnsi="宋体" w:cs="宋体"/>
                <w:lang w:val="en-US" w:eastAsia="zh-CN"/>
              </w:rPr>
              <w:t>知识</w:t>
            </w:r>
            <w:r>
              <w:rPr>
                <w:rFonts w:hint="eastAsia" w:ascii="宋体" w:hAnsi="宋体" w:cs="宋体"/>
              </w:rPr>
              <w:t>培训、实操训练等内容进行规范。</w:t>
            </w:r>
          </w:p>
          <w:p>
            <w:pPr>
              <w:spacing w:line="360" w:lineRule="auto"/>
              <w:ind w:firstLine="420" w:firstLineChars="200"/>
              <w:rPr>
                <w:rFonts w:hint="eastAsia" w:ascii="宋体" w:hAnsi="宋体" w:cs="宋体"/>
              </w:rPr>
            </w:pPr>
            <w:r>
              <w:rPr>
                <w:rFonts w:hint="eastAsia" w:ascii="宋体" w:hAnsi="宋体" w:cs="宋体"/>
              </w:rPr>
              <w:t>培训要求：对培养机构性质、学时要求、培训形式与实施等内容进行规范。</w:t>
            </w:r>
          </w:p>
          <w:p>
            <w:pPr>
              <w:spacing w:line="360" w:lineRule="auto"/>
              <w:ind w:firstLine="420" w:firstLineChars="200"/>
            </w:pPr>
            <w:r>
              <w:rPr>
                <w:rFonts w:hint="eastAsia" w:ascii="宋体" w:hAnsi="宋体" w:cs="宋体"/>
              </w:rPr>
              <w:t>认证管理：对交易信用积分制度、技术经纪人服务团与事务所管理、技术经纪协会组织、职称评审要求等进行规范。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vAlign w:val="center"/>
          </w:tcPr>
          <w:p>
            <w:pPr>
              <w:pStyle w:val="16"/>
              <w:adjustRightInd w:val="0"/>
              <w:spacing w:line="360" w:lineRule="auto"/>
              <w:ind w:firstLine="0" w:firstLineChars="0"/>
              <w:contextualSpacing/>
              <w:rPr>
                <w:rFonts w:hAnsi="宋体"/>
                <w:szCs w:val="21"/>
              </w:rPr>
            </w:pPr>
            <w:bookmarkStart w:id="0" w:name="_Toc464905557"/>
            <w:bookmarkStart w:id="1" w:name="_Toc464905809"/>
            <w:bookmarkStart w:id="2" w:name="_Toc464905613"/>
            <w:bookmarkStart w:id="3" w:name="_Toc464902852"/>
            <w:bookmarkStart w:id="4" w:name="_Toc465074266"/>
            <w:r>
              <w:rPr>
                <w:rFonts w:hint="eastAsia" w:hAnsi="宋体"/>
                <w:szCs w:val="21"/>
              </w:rPr>
              <w:t>5、标准中如果涉及专利，应有明确的知识产权说明</w:t>
            </w:r>
            <w:bookmarkEnd w:id="0"/>
            <w:bookmarkEnd w:id="1"/>
            <w:bookmarkEnd w:id="2"/>
            <w:bookmarkEnd w:id="3"/>
            <w:bookmarkEnd w:id="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vAlign w:val="center"/>
          </w:tcPr>
          <w:p>
            <w:pPr>
              <w:pStyle w:val="16"/>
              <w:adjustRightInd w:val="0"/>
              <w:spacing w:line="360" w:lineRule="auto"/>
              <w:contextualSpacing/>
              <w:rPr>
                <w:rFonts w:hAnsi="宋体"/>
                <w:szCs w:val="21"/>
              </w:rPr>
            </w:pPr>
            <w:r>
              <w:rPr>
                <w:rFonts w:hint="eastAsia" w:hAnsi="宋体"/>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vAlign w:val="center"/>
          </w:tcPr>
          <w:p>
            <w:pPr>
              <w:pStyle w:val="16"/>
              <w:adjustRightInd w:val="0"/>
              <w:spacing w:line="360" w:lineRule="auto"/>
              <w:ind w:firstLine="0" w:firstLineChars="0"/>
              <w:contextualSpacing/>
              <w:rPr>
                <w:rFonts w:hAnsi="宋体"/>
                <w:szCs w:val="21"/>
              </w:rPr>
            </w:pPr>
            <w:bookmarkStart w:id="5" w:name="_Toc464905614"/>
            <w:bookmarkStart w:id="6" w:name="_Toc464905810"/>
            <w:bookmarkStart w:id="7" w:name="_Toc464905558"/>
            <w:bookmarkStart w:id="8" w:name="_Toc465074267"/>
            <w:bookmarkStart w:id="9" w:name="_Toc464902853"/>
            <w:r>
              <w:rPr>
                <w:rFonts w:hint="eastAsia" w:hAnsi="宋体"/>
                <w:szCs w:val="21"/>
              </w:rPr>
              <w:t>6、采用国际标准或国外先进标准的，说明采标程度，以及国内外同类标准水平的对比情况</w:t>
            </w:r>
            <w:bookmarkEnd w:id="5"/>
            <w:bookmarkEnd w:id="6"/>
            <w:bookmarkEnd w:id="7"/>
            <w:bookmarkEnd w:id="8"/>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vAlign w:val="center"/>
          </w:tcPr>
          <w:p>
            <w:pPr>
              <w:pStyle w:val="16"/>
              <w:adjustRightInd w:val="0"/>
              <w:spacing w:line="360" w:lineRule="auto"/>
              <w:contextualSpacing/>
              <w:rPr>
                <w:rFonts w:hAnsi="宋体"/>
                <w:szCs w:val="21"/>
              </w:rPr>
            </w:pPr>
            <w:r>
              <w:rPr>
                <w:rFonts w:hint="eastAsia" w:hAnsi="宋体"/>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vAlign w:val="center"/>
          </w:tcPr>
          <w:p>
            <w:pPr>
              <w:pStyle w:val="16"/>
              <w:adjustRightInd w:val="0"/>
              <w:spacing w:line="360" w:lineRule="auto"/>
              <w:ind w:firstLine="0" w:firstLineChars="0"/>
              <w:contextualSpacing/>
              <w:rPr>
                <w:rFonts w:hAnsi="宋体"/>
                <w:szCs w:val="21"/>
              </w:rPr>
            </w:pPr>
            <w:bookmarkStart w:id="10" w:name="_Toc464902854"/>
            <w:bookmarkStart w:id="11" w:name="_Toc464905559"/>
            <w:bookmarkStart w:id="12" w:name="_Toc465074268"/>
            <w:bookmarkStart w:id="13" w:name="_Toc464905615"/>
            <w:bookmarkStart w:id="14" w:name="_Toc464905811"/>
            <w:r>
              <w:rPr>
                <w:rFonts w:hint="eastAsia" w:hAnsi="宋体"/>
                <w:szCs w:val="21"/>
              </w:rPr>
              <w:t>7、重大分歧意见的处理经过和依据</w:t>
            </w:r>
            <w:bookmarkEnd w:id="10"/>
            <w:bookmarkEnd w:id="11"/>
            <w:bookmarkEnd w:id="12"/>
            <w:bookmarkEnd w:id="13"/>
            <w:bookmarkEnd w:id="1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vAlign w:val="center"/>
          </w:tcPr>
          <w:p>
            <w:pPr>
              <w:pStyle w:val="16"/>
              <w:adjustRightInd w:val="0"/>
              <w:spacing w:line="360" w:lineRule="auto"/>
              <w:contextualSpacing/>
              <w:rPr>
                <w:rFonts w:hint="eastAsia" w:hAnsi="宋体" w:eastAsia="宋体"/>
                <w:szCs w:val="21"/>
                <w:lang w:eastAsia="zh-CN"/>
              </w:rPr>
            </w:pPr>
            <w:r>
              <w:rPr>
                <w:rFonts w:hint="eastAsia" w:hAnsi="宋体"/>
                <w:szCs w:val="21"/>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vAlign w:val="center"/>
          </w:tcPr>
          <w:p>
            <w:pPr>
              <w:pStyle w:val="16"/>
              <w:adjustRightInd w:val="0"/>
              <w:spacing w:line="360" w:lineRule="auto"/>
              <w:ind w:firstLine="0" w:firstLineChars="0"/>
              <w:contextualSpacing/>
              <w:rPr>
                <w:rFonts w:hAnsi="宋体"/>
                <w:szCs w:val="21"/>
              </w:rPr>
            </w:pPr>
            <w:bookmarkStart w:id="15" w:name="_Toc464905560"/>
            <w:bookmarkStart w:id="16" w:name="_Toc464905812"/>
            <w:bookmarkStart w:id="17" w:name="_Toc465074269"/>
            <w:bookmarkStart w:id="18" w:name="_Toc464905616"/>
            <w:bookmarkStart w:id="19" w:name="_Toc464902855"/>
            <w:r>
              <w:rPr>
                <w:rFonts w:hint="eastAsia" w:hAnsi="宋体"/>
                <w:szCs w:val="21"/>
              </w:rPr>
              <w:t>8、贯彻标准的要求和措施建议（包括组织措施、技术措施、过渡办法、实施日期等）</w:t>
            </w:r>
            <w:bookmarkEnd w:id="15"/>
            <w:bookmarkEnd w:id="16"/>
            <w:bookmarkEnd w:id="17"/>
            <w:bookmarkEnd w:id="18"/>
            <w:bookmark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vAlign w:val="center"/>
          </w:tcPr>
          <w:p>
            <w:pPr>
              <w:pStyle w:val="16"/>
              <w:keepNext w:val="0"/>
              <w:keepLines w:val="0"/>
              <w:pageBreakBefore w:val="0"/>
              <w:kinsoku/>
              <w:wordWrap/>
              <w:overflowPunct/>
              <w:topLinePunct w:val="0"/>
              <w:bidi w:val="0"/>
              <w:adjustRightInd w:val="0"/>
              <w:snapToGrid/>
              <w:spacing w:line="360" w:lineRule="auto"/>
              <w:ind w:firstLine="420" w:firstLineChars="200"/>
              <w:textAlignment w:val="auto"/>
              <w:rPr>
                <w:rFonts w:hAnsi="宋体"/>
              </w:rPr>
            </w:pPr>
            <w:r>
              <w:rPr>
                <w:rFonts w:hint="eastAsia" w:hAnsi="宋体"/>
              </w:rPr>
              <w:t>标准发布后，建议采取如下一些具体措施开展标准的宣贯和实施工作：</w:t>
            </w:r>
          </w:p>
          <w:p>
            <w:pPr>
              <w:keepNext w:val="0"/>
              <w:keepLines w:val="0"/>
              <w:pageBreakBefore w:val="0"/>
              <w:numPr>
                <w:ilvl w:val="0"/>
                <w:numId w:val="0"/>
              </w:numPr>
              <w:kinsoku/>
              <w:wordWrap/>
              <w:overflowPunct/>
              <w:topLinePunct w:val="0"/>
              <w:bidi w:val="0"/>
              <w:adjustRightInd w:val="0"/>
              <w:snapToGrid/>
              <w:spacing w:line="360" w:lineRule="auto"/>
              <w:jc w:val="left"/>
              <w:textAlignment w:val="auto"/>
              <w:rPr>
                <w:rFonts w:hint="eastAsia" w:ascii="宋体" w:hAnsi="宋体" w:cs="宋体"/>
                <w:kern w:val="0"/>
                <w:lang w:val="en-US" w:eastAsia="zh-CN"/>
              </w:rPr>
            </w:pPr>
            <w:r>
              <w:rPr>
                <w:rFonts w:hint="eastAsia" w:ascii="宋体" w:hAnsi="宋体" w:cs="宋体"/>
                <w:kern w:val="0"/>
                <w:lang w:val="en-US" w:eastAsia="zh-CN"/>
              </w:rPr>
              <w:t>1.深入</w:t>
            </w:r>
            <w:r>
              <w:rPr>
                <w:rFonts w:hint="eastAsia" w:ascii="宋体" w:hAnsi="宋体" w:cs="宋体"/>
                <w:kern w:val="0"/>
              </w:rPr>
              <w:t>开展标准的培训</w:t>
            </w:r>
            <w:r>
              <w:rPr>
                <w:rFonts w:hint="eastAsia" w:ascii="宋体" w:hAnsi="宋体" w:cs="宋体"/>
                <w:kern w:val="0"/>
                <w:lang w:eastAsia="zh-CN"/>
              </w:rPr>
              <w:t>。</w:t>
            </w:r>
            <w:r>
              <w:rPr>
                <w:rFonts w:hint="eastAsia" w:ascii="宋体" w:hAnsi="宋体" w:cs="宋体"/>
                <w:kern w:val="0"/>
              </w:rPr>
              <w:t>由标准归口单位牵头，依托国家技术转移人才培养基地，通过举办培训班、研讨会和讲座等方式</w:t>
            </w:r>
            <w:r>
              <w:rPr>
                <w:rFonts w:hint="eastAsia" w:ascii="宋体" w:hAnsi="宋体" w:cs="宋体"/>
                <w:kern w:val="0"/>
                <w:lang w:val="en-US" w:eastAsia="zh-CN"/>
              </w:rPr>
              <w:t>对相关人员进行培训。</w:t>
            </w:r>
          </w:p>
          <w:p>
            <w:pPr>
              <w:keepNext w:val="0"/>
              <w:keepLines w:val="0"/>
              <w:pageBreakBefore w:val="0"/>
              <w:numPr>
                <w:ilvl w:val="0"/>
                <w:numId w:val="0"/>
              </w:numPr>
              <w:kinsoku/>
              <w:wordWrap/>
              <w:overflowPunct/>
              <w:topLinePunct w:val="0"/>
              <w:bidi w:val="0"/>
              <w:adjustRightInd w:val="0"/>
              <w:snapToGrid/>
              <w:spacing w:line="360" w:lineRule="auto"/>
              <w:jc w:val="left"/>
              <w:textAlignment w:val="auto"/>
              <w:rPr>
                <w:rFonts w:hint="eastAsia" w:ascii="宋体" w:hAnsi="宋体" w:eastAsia="宋体" w:cs="宋体"/>
                <w:kern w:val="0"/>
                <w:lang w:val="en-US" w:eastAsia="zh-CN"/>
              </w:rPr>
            </w:pPr>
            <w:r>
              <w:rPr>
                <w:rFonts w:ascii="宋体" w:hAnsi="宋体" w:cs="宋体"/>
                <w:kern w:val="0"/>
              </w:rPr>
              <w:t>2</w:t>
            </w:r>
            <w:r>
              <w:rPr>
                <w:rFonts w:hint="eastAsia" w:ascii="宋体" w:hAnsi="宋体" w:eastAsia="宋体" w:cs="宋体"/>
                <w:kern w:val="0"/>
              </w:rPr>
              <w:t>.</w:t>
            </w:r>
            <w:r>
              <w:rPr>
                <w:rFonts w:hint="eastAsia" w:ascii="宋体" w:hAnsi="宋体" w:eastAsia="宋体" w:cs="宋体"/>
                <w:kern w:val="0"/>
                <w:lang w:val="en-US" w:eastAsia="zh-CN"/>
              </w:rPr>
              <w:t>广泛开展</w:t>
            </w:r>
            <w:r>
              <w:rPr>
                <w:rFonts w:hint="eastAsia" w:ascii="宋体" w:hAnsi="宋体" w:eastAsia="宋体" w:cs="宋体"/>
                <w:kern w:val="0"/>
              </w:rPr>
              <w:t>标准的</w:t>
            </w:r>
            <w:r>
              <w:rPr>
                <w:rFonts w:hint="eastAsia" w:ascii="宋体" w:hAnsi="宋体" w:eastAsia="宋体" w:cs="宋体"/>
                <w:kern w:val="0"/>
                <w:lang w:val="en-US" w:eastAsia="zh-CN"/>
              </w:rPr>
              <w:t>宣传。</w:t>
            </w:r>
            <w:r>
              <w:rPr>
                <w:rFonts w:hint="eastAsia" w:ascii="宋体" w:hAnsi="宋体" w:eastAsia="宋体" w:cs="宋体"/>
                <w:kern w:val="0"/>
              </w:rPr>
              <w:t>结合安徽科技大市场</w:t>
            </w:r>
            <w:r>
              <w:rPr>
                <w:rFonts w:hint="eastAsia" w:ascii="宋体" w:hAnsi="宋体" w:eastAsia="宋体" w:cs="宋体"/>
                <w:kern w:val="0"/>
                <w:lang w:val="en-US" w:eastAsia="zh-CN"/>
              </w:rPr>
              <w:t>平台的各类创新活动，充分发挥电视、报纸、网络等媒体的作用，普及并宣传标准知识及具体内容。</w:t>
            </w:r>
          </w:p>
          <w:p>
            <w:pPr>
              <w:keepNext w:val="0"/>
              <w:keepLines w:val="0"/>
              <w:pageBreakBefore w:val="0"/>
              <w:numPr>
                <w:ilvl w:val="0"/>
                <w:numId w:val="0"/>
              </w:numPr>
              <w:kinsoku/>
              <w:wordWrap/>
              <w:overflowPunct/>
              <w:topLinePunct w:val="0"/>
              <w:bidi w:val="0"/>
              <w:adjustRightInd w:val="0"/>
              <w:snapToGrid/>
              <w:spacing w:line="360" w:lineRule="auto"/>
              <w:jc w:val="left"/>
              <w:textAlignment w:val="auto"/>
              <w:rPr>
                <w:rFonts w:hAnsi="宋体"/>
                <w:szCs w:val="21"/>
              </w:rPr>
            </w:pPr>
            <w:r>
              <w:rPr>
                <w:rFonts w:hint="eastAsia" w:ascii="宋体" w:hAnsi="宋体" w:eastAsia="宋体" w:cs="宋体"/>
                <w:kern w:val="0"/>
                <w:lang w:val="en-US" w:eastAsia="zh-CN"/>
              </w:rPr>
              <w:t>3.</w:t>
            </w:r>
            <w:r>
              <w:rPr>
                <w:rFonts w:hint="eastAsia" w:ascii="宋体" w:hAnsi="宋体" w:cs="宋体"/>
                <w:kern w:val="0"/>
              </w:rPr>
              <w:t>全面</w:t>
            </w:r>
            <w:r>
              <w:rPr>
                <w:rFonts w:hint="eastAsia" w:ascii="宋体" w:hAnsi="宋体" w:eastAsia="宋体" w:cs="宋体"/>
                <w:kern w:val="0"/>
                <w:lang w:val="en-US" w:eastAsia="zh-CN"/>
              </w:rPr>
              <w:t>推广标准实施。用好安徽科技大市场辐射全省的科技成果转化服务体系，依托安徽大市场分市场网络向全省范围推广实施该标准，从实操端强化标准宣贯和具体实施。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vAlign w:val="center"/>
          </w:tcPr>
          <w:p>
            <w:pPr>
              <w:pStyle w:val="16"/>
              <w:adjustRightInd w:val="0"/>
              <w:spacing w:line="360" w:lineRule="auto"/>
              <w:ind w:firstLine="0" w:firstLineChars="0"/>
              <w:contextualSpacing/>
              <w:rPr>
                <w:rFonts w:hAnsi="宋体"/>
                <w:szCs w:val="21"/>
              </w:rPr>
            </w:pPr>
            <w:bookmarkStart w:id="20" w:name="_Toc464905561"/>
            <w:bookmarkStart w:id="21" w:name="_Toc464905813"/>
            <w:bookmarkStart w:id="22" w:name="_Toc464902856"/>
            <w:bookmarkStart w:id="23" w:name="_Toc465074270"/>
            <w:bookmarkStart w:id="24" w:name="_Toc464905617"/>
            <w:r>
              <w:rPr>
                <w:rFonts w:hint="eastAsia" w:hAnsi="宋体"/>
                <w:szCs w:val="21"/>
              </w:rPr>
              <w:t>9、废止现行相关标准的建议</w:t>
            </w:r>
            <w:bookmarkEnd w:id="20"/>
            <w:bookmarkEnd w:id="21"/>
            <w:bookmarkEnd w:id="22"/>
            <w:bookmarkEnd w:id="23"/>
            <w:bookmarkEnd w:id="2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vAlign w:val="center"/>
          </w:tcPr>
          <w:p>
            <w:pPr>
              <w:pStyle w:val="16"/>
              <w:adjustRightInd w:val="0"/>
              <w:spacing w:line="360" w:lineRule="auto"/>
              <w:contextualSpacing/>
              <w:rPr>
                <w:rFonts w:hAnsi="宋体"/>
                <w:szCs w:val="21"/>
              </w:rPr>
            </w:pPr>
            <w:r>
              <w:rPr>
                <w:rFonts w:hint="eastAsia" w:hAnsi="宋体"/>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vAlign w:val="center"/>
          </w:tcPr>
          <w:p>
            <w:pPr>
              <w:pStyle w:val="16"/>
              <w:adjustRightInd w:val="0"/>
              <w:spacing w:line="360" w:lineRule="auto"/>
              <w:ind w:firstLine="0" w:firstLineChars="0"/>
              <w:contextualSpacing/>
              <w:rPr>
                <w:rFonts w:hAnsi="宋体"/>
                <w:szCs w:val="21"/>
              </w:rPr>
            </w:pPr>
            <w:bookmarkStart w:id="25" w:name="_Toc464905618"/>
            <w:bookmarkStart w:id="26" w:name="_Toc464905814"/>
            <w:bookmarkStart w:id="27" w:name="_Toc465074271"/>
            <w:bookmarkStart w:id="28" w:name="_Toc464905562"/>
            <w:bookmarkStart w:id="29" w:name="_Toc464902857"/>
            <w:r>
              <w:rPr>
                <w:rFonts w:hint="eastAsia" w:hAnsi="宋体"/>
                <w:szCs w:val="21"/>
              </w:rPr>
              <w:t>10、其它应予说明的事项</w:t>
            </w:r>
            <w:bookmarkEnd w:id="25"/>
            <w:bookmarkEnd w:id="26"/>
            <w:bookmarkEnd w:id="27"/>
            <w:bookmarkEnd w:id="28"/>
            <w:bookmarkEnd w:id="2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vAlign w:val="center"/>
          </w:tcPr>
          <w:p>
            <w:pPr>
              <w:pStyle w:val="16"/>
              <w:adjustRightInd w:val="0"/>
              <w:spacing w:line="360" w:lineRule="auto"/>
              <w:contextualSpacing/>
              <w:rPr>
                <w:rFonts w:hAnsi="宋体"/>
                <w:szCs w:val="21"/>
              </w:rPr>
            </w:pPr>
            <w:r>
              <w:rPr>
                <w:rFonts w:hint="eastAsia" w:hAnsi="宋体"/>
                <w:szCs w:val="21"/>
              </w:rPr>
              <w:t>无。</w:t>
            </w:r>
          </w:p>
        </w:tc>
      </w:tr>
    </w:tbl>
    <w:p>
      <w:pPr>
        <w:pStyle w:val="15"/>
      </w:pPr>
      <w:r>
        <w:rPr>
          <w:rFonts w:hint="eastAsia"/>
        </w:rPr>
        <w:t>没有的请填写 “无”。</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352FE7"/>
    <w:multiLevelType w:val="singleLevel"/>
    <w:tmpl w:val="EB352FE7"/>
    <w:lvl w:ilvl="0" w:tentative="0">
      <w:start w:val="1"/>
      <w:numFmt w:val="chineseCounting"/>
      <w:suff w:val="nothing"/>
      <w:lvlText w:val="%1、"/>
      <w:lvlJc w:val="left"/>
      <w:rPr>
        <w:rFonts w:hint="eastAsia"/>
      </w:rPr>
    </w:lvl>
  </w:abstractNum>
  <w:abstractNum w:abstractNumId="1">
    <w:nsid w:val="6DBF04F4"/>
    <w:multiLevelType w:val="multilevel"/>
    <w:tmpl w:val="6DBF04F4"/>
    <w:lvl w:ilvl="0" w:tentative="0">
      <w:start w:val="1"/>
      <w:numFmt w:val="none"/>
      <w:pStyle w:val="15"/>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pStyle w:val="25"/>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pStyle w:val="24"/>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NiZTk3Y2VhYjAyMTZlYTdkNzhkMjI3MGM0ZjhlYjQifQ=="/>
  </w:docVars>
  <w:rsids>
    <w:rsidRoot w:val="005F6FA5"/>
    <w:rsid w:val="00002225"/>
    <w:rsid w:val="00003A76"/>
    <w:rsid w:val="00033031"/>
    <w:rsid w:val="0005321A"/>
    <w:rsid w:val="0005336A"/>
    <w:rsid w:val="0005452A"/>
    <w:rsid w:val="000551DC"/>
    <w:rsid w:val="0005522D"/>
    <w:rsid w:val="000632EC"/>
    <w:rsid w:val="000732DB"/>
    <w:rsid w:val="00077FB6"/>
    <w:rsid w:val="0008182B"/>
    <w:rsid w:val="000878AD"/>
    <w:rsid w:val="000926EE"/>
    <w:rsid w:val="0009481B"/>
    <w:rsid w:val="000B26C4"/>
    <w:rsid w:val="000B7846"/>
    <w:rsid w:val="000E020E"/>
    <w:rsid w:val="000F3F86"/>
    <w:rsid w:val="00102BCE"/>
    <w:rsid w:val="00123756"/>
    <w:rsid w:val="00127C13"/>
    <w:rsid w:val="00131A1F"/>
    <w:rsid w:val="0014301C"/>
    <w:rsid w:val="00186078"/>
    <w:rsid w:val="0019038A"/>
    <w:rsid w:val="001919FE"/>
    <w:rsid w:val="001A6392"/>
    <w:rsid w:val="001C11C0"/>
    <w:rsid w:val="001C1BF1"/>
    <w:rsid w:val="001D6B60"/>
    <w:rsid w:val="001E383B"/>
    <w:rsid w:val="001F0A04"/>
    <w:rsid w:val="002053E2"/>
    <w:rsid w:val="00236447"/>
    <w:rsid w:val="0024078F"/>
    <w:rsid w:val="0024417F"/>
    <w:rsid w:val="002461BF"/>
    <w:rsid w:val="0026641D"/>
    <w:rsid w:val="0027182A"/>
    <w:rsid w:val="00285BE4"/>
    <w:rsid w:val="00297D36"/>
    <w:rsid w:val="002A13D8"/>
    <w:rsid w:val="002B30DB"/>
    <w:rsid w:val="002D153C"/>
    <w:rsid w:val="002D15E2"/>
    <w:rsid w:val="002D3A7E"/>
    <w:rsid w:val="002E7F0D"/>
    <w:rsid w:val="00305460"/>
    <w:rsid w:val="0032781D"/>
    <w:rsid w:val="00354221"/>
    <w:rsid w:val="00371456"/>
    <w:rsid w:val="00372A62"/>
    <w:rsid w:val="0038065C"/>
    <w:rsid w:val="00392DB1"/>
    <w:rsid w:val="00394AEE"/>
    <w:rsid w:val="003A21B7"/>
    <w:rsid w:val="003C6769"/>
    <w:rsid w:val="004004B6"/>
    <w:rsid w:val="004375A7"/>
    <w:rsid w:val="004416C3"/>
    <w:rsid w:val="004478FE"/>
    <w:rsid w:val="00453CE5"/>
    <w:rsid w:val="00472C53"/>
    <w:rsid w:val="00474C19"/>
    <w:rsid w:val="0047698C"/>
    <w:rsid w:val="004839A2"/>
    <w:rsid w:val="00497D68"/>
    <w:rsid w:val="004A15B3"/>
    <w:rsid w:val="004B2406"/>
    <w:rsid w:val="004C26BC"/>
    <w:rsid w:val="004C3BF8"/>
    <w:rsid w:val="004C5FED"/>
    <w:rsid w:val="004D2DA6"/>
    <w:rsid w:val="004D6D22"/>
    <w:rsid w:val="004E398E"/>
    <w:rsid w:val="004E725D"/>
    <w:rsid w:val="004F2B07"/>
    <w:rsid w:val="0051032A"/>
    <w:rsid w:val="00510666"/>
    <w:rsid w:val="00522ED1"/>
    <w:rsid w:val="00531D51"/>
    <w:rsid w:val="005326D1"/>
    <w:rsid w:val="00540695"/>
    <w:rsid w:val="00543AA4"/>
    <w:rsid w:val="0054681E"/>
    <w:rsid w:val="00551F8A"/>
    <w:rsid w:val="00565112"/>
    <w:rsid w:val="00591131"/>
    <w:rsid w:val="00594DF4"/>
    <w:rsid w:val="005A498E"/>
    <w:rsid w:val="005A59D9"/>
    <w:rsid w:val="005A767D"/>
    <w:rsid w:val="005C02AF"/>
    <w:rsid w:val="005D7221"/>
    <w:rsid w:val="005E10E3"/>
    <w:rsid w:val="005E49C6"/>
    <w:rsid w:val="005F0891"/>
    <w:rsid w:val="005F6FA5"/>
    <w:rsid w:val="0060072B"/>
    <w:rsid w:val="0060208C"/>
    <w:rsid w:val="00603C02"/>
    <w:rsid w:val="0060515E"/>
    <w:rsid w:val="00621156"/>
    <w:rsid w:val="00621EA8"/>
    <w:rsid w:val="006354B6"/>
    <w:rsid w:val="00641CA6"/>
    <w:rsid w:val="006455C2"/>
    <w:rsid w:val="00666B00"/>
    <w:rsid w:val="00673D2F"/>
    <w:rsid w:val="006855EB"/>
    <w:rsid w:val="0069355D"/>
    <w:rsid w:val="006A1F75"/>
    <w:rsid w:val="006A5256"/>
    <w:rsid w:val="006A6899"/>
    <w:rsid w:val="006D120E"/>
    <w:rsid w:val="006D2D71"/>
    <w:rsid w:val="006D3755"/>
    <w:rsid w:val="006F180A"/>
    <w:rsid w:val="006F4F1F"/>
    <w:rsid w:val="0070238D"/>
    <w:rsid w:val="00702DD5"/>
    <w:rsid w:val="00722A31"/>
    <w:rsid w:val="00725E0A"/>
    <w:rsid w:val="00736C85"/>
    <w:rsid w:val="0073709F"/>
    <w:rsid w:val="00744FF2"/>
    <w:rsid w:val="00745E6C"/>
    <w:rsid w:val="00755891"/>
    <w:rsid w:val="007560B9"/>
    <w:rsid w:val="00763AF5"/>
    <w:rsid w:val="007673E2"/>
    <w:rsid w:val="0077278D"/>
    <w:rsid w:val="00785060"/>
    <w:rsid w:val="00786C84"/>
    <w:rsid w:val="0079049E"/>
    <w:rsid w:val="00791F41"/>
    <w:rsid w:val="007A4504"/>
    <w:rsid w:val="007A4B4D"/>
    <w:rsid w:val="007B0F88"/>
    <w:rsid w:val="007B3624"/>
    <w:rsid w:val="007C5AD5"/>
    <w:rsid w:val="007D60B8"/>
    <w:rsid w:val="007D7C0B"/>
    <w:rsid w:val="007E3903"/>
    <w:rsid w:val="007E6966"/>
    <w:rsid w:val="007F70D1"/>
    <w:rsid w:val="00822427"/>
    <w:rsid w:val="00850E1B"/>
    <w:rsid w:val="00872877"/>
    <w:rsid w:val="00885A36"/>
    <w:rsid w:val="00886D9E"/>
    <w:rsid w:val="0089189A"/>
    <w:rsid w:val="008A18F4"/>
    <w:rsid w:val="008A3109"/>
    <w:rsid w:val="008B2093"/>
    <w:rsid w:val="008C44F4"/>
    <w:rsid w:val="008D10F2"/>
    <w:rsid w:val="008D56C2"/>
    <w:rsid w:val="008E01F8"/>
    <w:rsid w:val="008E4EC4"/>
    <w:rsid w:val="008F2BDA"/>
    <w:rsid w:val="008F3DEC"/>
    <w:rsid w:val="00911ADA"/>
    <w:rsid w:val="00915B3C"/>
    <w:rsid w:val="009172F1"/>
    <w:rsid w:val="00920CF9"/>
    <w:rsid w:val="00922D19"/>
    <w:rsid w:val="00933849"/>
    <w:rsid w:val="009507B8"/>
    <w:rsid w:val="0097537B"/>
    <w:rsid w:val="00976839"/>
    <w:rsid w:val="009943A9"/>
    <w:rsid w:val="009C5FA8"/>
    <w:rsid w:val="009D2571"/>
    <w:rsid w:val="009D53FA"/>
    <w:rsid w:val="009E63AF"/>
    <w:rsid w:val="009E6530"/>
    <w:rsid w:val="009F2DA3"/>
    <w:rsid w:val="00A00DF9"/>
    <w:rsid w:val="00A34226"/>
    <w:rsid w:val="00A477DC"/>
    <w:rsid w:val="00A630E4"/>
    <w:rsid w:val="00AC640E"/>
    <w:rsid w:val="00AC7441"/>
    <w:rsid w:val="00AF305C"/>
    <w:rsid w:val="00AF6A87"/>
    <w:rsid w:val="00B228CE"/>
    <w:rsid w:val="00B33112"/>
    <w:rsid w:val="00B4694D"/>
    <w:rsid w:val="00B61826"/>
    <w:rsid w:val="00B661A3"/>
    <w:rsid w:val="00B778FD"/>
    <w:rsid w:val="00B9503E"/>
    <w:rsid w:val="00B96B89"/>
    <w:rsid w:val="00BB12AA"/>
    <w:rsid w:val="00BB5A17"/>
    <w:rsid w:val="00BC6D0D"/>
    <w:rsid w:val="00BF2B2C"/>
    <w:rsid w:val="00C1561B"/>
    <w:rsid w:val="00C17D65"/>
    <w:rsid w:val="00C47C20"/>
    <w:rsid w:val="00C65804"/>
    <w:rsid w:val="00C67893"/>
    <w:rsid w:val="00CB00BC"/>
    <w:rsid w:val="00CD51E8"/>
    <w:rsid w:val="00CE43A1"/>
    <w:rsid w:val="00CF5757"/>
    <w:rsid w:val="00D11D7C"/>
    <w:rsid w:val="00D2649A"/>
    <w:rsid w:val="00D30D89"/>
    <w:rsid w:val="00D361F4"/>
    <w:rsid w:val="00D509CB"/>
    <w:rsid w:val="00D53272"/>
    <w:rsid w:val="00D54904"/>
    <w:rsid w:val="00D552D0"/>
    <w:rsid w:val="00D5706C"/>
    <w:rsid w:val="00D85F57"/>
    <w:rsid w:val="00D948A2"/>
    <w:rsid w:val="00D969A5"/>
    <w:rsid w:val="00DD010E"/>
    <w:rsid w:val="00DD4AB2"/>
    <w:rsid w:val="00DF37E8"/>
    <w:rsid w:val="00E1048E"/>
    <w:rsid w:val="00E267EA"/>
    <w:rsid w:val="00E27055"/>
    <w:rsid w:val="00E43504"/>
    <w:rsid w:val="00E451B9"/>
    <w:rsid w:val="00E7382A"/>
    <w:rsid w:val="00E7487C"/>
    <w:rsid w:val="00E9116E"/>
    <w:rsid w:val="00E92746"/>
    <w:rsid w:val="00EC3E94"/>
    <w:rsid w:val="00ED1330"/>
    <w:rsid w:val="00ED4BDF"/>
    <w:rsid w:val="00EE52F0"/>
    <w:rsid w:val="00EF09A4"/>
    <w:rsid w:val="00EF6E6E"/>
    <w:rsid w:val="00F17D90"/>
    <w:rsid w:val="00F24DBE"/>
    <w:rsid w:val="00F25DE2"/>
    <w:rsid w:val="00F267D4"/>
    <w:rsid w:val="00F26909"/>
    <w:rsid w:val="00F3538D"/>
    <w:rsid w:val="00F479DC"/>
    <w:rsid w:val="00F50CB1"/>
    <w:rsid w:val="00F53EAF"/>
    <w:rsid w:val="00F54EFF"/>
    <w:rsid w:val="00F61A6B"/>
    <w:rsid w:val="00F72B67"/>
    <w:rsid w:val="00F762E9"/>
    <w:rsid w:val="00F87C15"/>
    <w:rsid w:val="00FD3507"/>
    <w:rsid w:val="00FE3F26"/>
    <w:rsid w:val="00FE5F07"/>
    <w:rsid w:val="01005722"/>
    <w:rsid w:val="01D17056"/>
    <w:rsid w:val="02A27A7B"/>
    <w:rsid w:val="02A54FEE"/>
    <w:rsid w:val="02C72207"/>
    <w:rsid w:val="02D676EE"/>
    <w:rsid w:val="033A36EC"/>
    <w:rsid w:val="045F74A6"/>
    <w:rsid w:val="04E152F8"/>
    <w:rsid w:val="05024618"/>
    <w:rsid w:val="0503225F"/>
    <w:rsid w:val="05924D4E"/>
    <w:rsid w:val="05D56BC4"/>
    <w:rsid w:val="063F59C7"/>
    <w:rsid w:val="06456265"/>
    <w:rsid w:val="07532EF3"/>
    <w:rsid w:val="07612C2A"/>
    <w:rsid w:val="079726D0"/>
    <w:rsid w:val="08AE00F1"/>
    <w:rsid w:val="08B163E4"/>
    <w:rsid w:val="09630EDC"/>
    <w:rsid w:val="09AD2A01"/>
    <w:rsid w:val="0A243CB9"/>
    <w:rsid w:val="0A6D2B21"/>
    <w:rsid w:val="0A76074A"/>
    <w:rsid w:val="0A7678D4"/>
    <w:rsid w:val="0C9C688C"/>
    <w:rsid w:val="0D991370"/>
    <w:rsid w:val="0D9B3D06"/>
    <w:rsid w:val="0DA50C96"/>
    <w:rsid w:val="0FD7617F"/>
    <w:rsid w:val="10681DC0"/>
    <w:rsid w:val="10F0656F"/>
    <w:rsid w:val="113C05A7"/>
    <w:rsid w:val="11471ED3"/>
    <w:rsid w:val="131A491E"/>
    <w:rsid w:val="134753CA"/>
    <w:rsid w:val="13CB1846"/>
    <w:rsid w:val="15063F0C"/>
    <w:rsid w:val="1600509A"/>
    <w:rsid w:val="163C4AEC"/>
    <w:rsid w:val="169C6436"/>
    <w:rsid w:val="171228BD"/>
    <w:rsid w:val="17DA0FCA"/>
    <w:rsid w:val="1832169E"/>
    <w:rsid w:val="18650326"/>
    <w:rsid w:val="18A93DC6"/>
    <w:rsid w:val="19A10A1B"/>
    <w:rsid w:val="19DE5CD3"/>
    <w:rsid w:val="1A13628D"/>
    <w:rsid w:val="1AB64BE3"/>
    <w:rsid w:val="1ACC051E"/>
    <w:rsid w:val="1B070AFC"/>
    <w:rsid w:val="1B7B487D"/>
    <w:rsid w:val="1CF17B5A"/>
    <w:rsid w:val="1D161165"/>
    <w:rsid w:val="1D965CBF"/>
    <w:rsid w:val="1DD917B0"/>
    <w:rsid w:val="1ECE2E43"/>
    <w:rsid w:val="1F3F789D"/>
    <w:rsid w:val="1FC252A5"/>
    <w:rsid w:val="203A5B03"/>
    <w:rsid w:val="219E2E1A"/>
    <w:rsid w:val="22EC3398"/>
    <w:rsid w:val="22EF094D"/>
    <w:rsid w:val="231B723C"/>
    <w:rsid w:val="2369138D"/>
    <w:rsid w:val="239947B9"/>
    <w:rsid w:val="23E45A45"/>
    <w:rsid w:val="24986233"/>
    <w:rsid w:val="24A56308"/>
    <w:rsid w:val="24B403E6"/>
    <w:rsid w:val="256E4A38"/>
    <w:rsid w:val="26BF37CC"/>
    <w:rsid w:val="28401538"/>
    <w:rsid w:val="286E3DEC"/>
    <w:rsid w:val="28ED2118"/>
    <w:rsid w:val="297879B3"/>
    <w:rsid w:val="299E6F64"/>
    <w:rsid w:val="29B8610C"/>
    <w:rsid w:val="29E56DB3"/>
    <w:rsid w:val="29FB2613"/>
    <w:rsid w:val="2AAE4B32"/>
    <w:rsid w:val="2B944ACD"/>
    <w:rsid w:val="2BA8379A"/>
    <w:rsid w:val="2BCF4EEF"/>
    <w:rsid w:val="2C1005F7"/>
    <w:rsid w:val="2C154664"/>
    <w:rsid w:val="2C3D0E23"/>
    <w:rsid w:val="2C8114F5"/>
    <w:rsid w:val="2C8C6CAB"/>
    <w:rsid w:val="2D3C541C"/>
    <w:rsid w:val="2D7B1146"/>
    <w:rsid w:val="2DA7247C"/>
    <w:rsid w:val="2E061823"/>
    <w:rsid w:val="2E2A1592"/>
    <w:rsid w:val="2E2C3897"/>
    <w:rsid w:val="2E5B142A"/>
    <w:rsid w:val="2E7F1353"/>
    <w:rsid w:val="2EA332DE"/>
    <w:rsid w:val="2FE821D5"/>
    <w:rsid w:val="30146874"/>
    <w:rsid w:val="303225AF"/>
    <w:rsid w:val="30993014"/>
    <w:rsid w:val="30B208C2"/>
    <w:rsid w:val="30E03AE4"/>
    <w:rsid w:val="30F85C7F"/>
    <w:rsid w:val="314B7CC4"/>
    <w:rsid w:val="318A0E4C"/>
    <w:rsid w:val="31DC6E41"/>
    <w:rsid w:val="32262BB0"/>
    <w:rsid w:val="32C46B15"/>
    <w:rsid w:val="335156AD"/>
    <w:rsid w:val="33EA3439"/>
    <w:rsid w:val="344719A6"/>
    <w:rsid w:val="353762B2"/>
    <w:rsid w:val="35462689"/>
    <w:rsid w:val="3660453C"/>
    <w:rsid w:val="36737027"/>
    <w:rsid w:val="369E6CA5"/>
    <w:rsid w:val="37AA3502"/>
    <w:rsid w:val="380A5E9A"/>
    <w:rsid w:val="380B33EF"/>
    <w:rsid w:val="381114B1"/>
    <w:rsid w:val="38D66725"/>
    <w:rsid w:val="39B527DE"/>
    <w:rsid w:val="39C70C72"/>
    <w:rsid w:val="3A0B2D09"/>
    <w:rsid w:val="3AB80031"/>
    <w:rsid w:val="3B181BA4"/>
    <w:rsid w:val="3B732951"/>
    <w:rsid w:val="3BB84525"/>
    <w:rsid w:val="3C4124D9"/>
    <w:rsid w:val="3C823306"/>
    <w:rsid w:val="3CB25887"/>
    <w:rsid w:val="3D5B302C"/>
    <w:rsid w:val="3E412892"/>
    <w:rsid w:val="3E8D4A23"/>
    <w:rsid w:val="3EAA47B2"/>
    <w:rsid w:val="3F2D2E17"/>
    <w:rsid w:val="3F4314AF"/>
    <w:rsid w:val="3F9A0AFD"/>
    <w:rsid w:val="4010076E"/>
    <w:rsid w:val="405C00A8"/>
    <w:rsid w:val="40642692"/>
    <w:rsid w:val="40A764CD"/>
    <w:rsid w:val="40C61775"/>
    <w:rsid w:val="41720FB5"/>
    <w:rsid w:val="42067AFA"/>
    <w:rsid w:val="427654B8"/>
    <w:rsid w:val="42AC74E5"/>
    <w:rsid w:val="42AD0431"/>
    <w:rsid w:val="43282273"/>
    <w:rsid w:val="43923B16"/>
    <w:rsid w:val="43F6311C"/>
    <w:rsid w:val="44B55D88"/>
    <w:rsid w:val="44C4356C"/>
    <w:rsid w:val="456261E9"/>
    <w:rsid w:val="4601799D"/>
    <w:rsid w:val="464B20AD"/>
    <w:rsid w:val="46631548"/>
    <w:rsid w:val="467202C8"/>
    <w:rsid w:val="468974CC"/>
    <w:rsid w:val="47321912"/>
    <w:rsid w:val="47590C4D"/>
    <w:rsid w:val="479A3013"/>
    <w:rsid w:val="47F6649C"/>
    <w:rsid w:val="485778F4"/>
    <w:rsid w:val="4A470C94"/>
    <w:rsid w:val="4B855CF9"/>
    <w:rsid w:val="4BC65163"/>
    <w:rsid w:val="4BE6554E"/>
    <w:rsid w:val="4C104BA0"/>
    <w:rsid w:val="4C96586E"/>
    <w:rsid w:val="4CBE13F7"/>
    <w:rsid w:val="4D321335"/>
    <w:rsid w:val="4DAE7818"/>
    <w:rsid w:val="4DDC3E36"/>
    <w:rsid w:val="4DDD4DF0"/>
    <w:rsid w:val="4E117EDF"/>
    <w:rsid w:val="4E5B79A0"/>
    <w:rsid w:val="4E7D48BB"/>
    <w:rsid w:val="4F451B8F"/>
    <w:rsid w:val="4F6A168D"/>
    <w:rsid w:val="4F752F3B"/>
    <w:rsid w:val="50496AEF"/>
    <w:rsid w:val="50CF3D2E"/>
    <w:rsid w:val="50F11895"/>
    <w:rsid w:val="51102F00"/>
    <w:rsid w:val="5264494A"/>
    <w:rsid w:val="5267015D"/>
    <w:rsid w:val="52847EF2"/>
    <w:rsid w:val="52B04BEA"/>
    <w:rsid w:val="52CB6777"/>
    <w:rsid w:val="53BF49DF"/>
    <w:rsid w:val="53FD0BB2"/>
    <w:rsid w:val="54711325"/>
    <w:rsid w:val="55612F67"/>
    <w:rsid w:val="55933E73"/>
    <w:rsid w:val="55BE2742"/>
    <w:rsid w:val="55EE70EC"/>
    <w:rsid w:val="561C5C67"/>
    <w:rsid w:val="56433E47"/>
    <w:rsid w:val="565C6063"/>
    <w:rsid w:val="56A61F78"/>
    <w:rsid w:val="579E3400"/>
    <w:rsid w:val="58022C3B"/>
    <w:rsid w:val="584353CE"/>
    <w:rsid w:val="589C23CA"/>
    <w:rsid w:val="58D87C41"/>
    <w:rsid w:val="58E87520"/>
    <w:rsid w:val="58F77BC0"/>
    <w:rsid w:val="59361D85"/>
    <w:rsid w:val="5A69564E"/>
    <w:rsid w:val="5AE45BEE"/>
    <w:rsid w:val="5B9B762E"/>
    <w:rsid w:val="5CDA708D"/>
    <w:rsid w:val="5CEE28F3"/>
    <w:rsid w:val="5D253324"/>
    <w:rsid w:val="5DE15B9A"/>
    <w:rsid w:val="5E085510"/>
    <w:rsid w:val="5E414BA9"/>
    <w:rsid w:val="5E8805EA"/>
    <w:rsid w:val="5EE568C1"/>
    <w:rsid w:val="5F0C4566"/>
    <w:rsid w:val="5F193DF8"/>
    <w:rsid w:val="5F5B03C6"/>
    <w:rsid w:val="608E2B58"/>
    <w:rsid w:val="60A60232"/>
    <w:rsid w:val="60A961B2"/>
    <w:rsid w:val="61927DFD"/>
    <w:rsid w:val="61D32527"/>
    <w:rsid w:val="626B1FAE"/>
    <w:rsid w:val="6290055C"/>
    <w:rsid w:val="62E018F9"/>
    <w:rsid w:val="63043D0B"/>
    <w:rsid w:val="639667CB"/>
    <w:rsid w:val="640976C3"/>
    <w:rsid w:val="64453AF3"/>
    <w:rsid w:val="64656FAC"/>
    <w:rsid w:val="646C7F7F"/>
    <w:rsid w:val="65167D25"/>
    <w:rsid w:val="654E5711"/>
    <w:rsid w:val="66805D9E"/>
    <w:rsid w:val="67083A14"/>
    <w:rsid w:val="673B351C"/>
    <w:rsid w:val="678606A4"/>
    <w:rsid w:val="688E4123"/>
    <w:rsid w:val="68F3275B"/>
    <w:rsid w:val="6930064E"/>
    <w:rsid w:val="693E5A9D"/>
    <w:rsid w:val="695C1E24"/>
    <w:rsid w:val="6AC122F4"/>
    <w:rsid w:val="6B5745C5"/>
    <w:rsid w:val="6B7E6624"/>
    <w:rsid w:val="6BAF2C96"/>
    <w:rsid w:val="6CB76140"/>
    <w:rsid w:val="6DB86B68"/>
    <w:rsid w:val="6DE850B6"/>
    <w:rsid w:val="6EA840E4"/>
    <w:rsid w:val="6EC57DE2"/>
    <w:rsid w:val="703E1FF3"/>
    <w:rsid w:val="711E05CE"/>
    <w:rsid w:val="71EB2213"/>
    <w:rsid w:val="724D69D4"/>
    <w:rsid w:val="749D278A"/>
    <w:rsid w:val="74A0319C"/>
    <w:rsid w:val="74A17827"/>
    <w:rsid w:val="74D472B5"/>
    <w:rsid w:val="75662DAD"/>
    <w:rsid w:val="7581243D"/>
    <w:rsid w:val="766C7820"/>
    <w:rsid w:val="76A862E2"/>
    <w:rsid w:val="76F67020"/>
    <w:rsid w:val="770B6194"/>
    <w:rsid w:val="78290E58"/>
    <w:rsid w:val="78D96B6A"/>
    <w:rsid w:val="78F1753B"/>
    <w:rsid w:val="793752FE"/>
    <w:rsid w:val="796A795B"/>
    <w:rsid w:val="7978545E"/>
    <w:rsid w:val="79AD0025"/>
    <w:rsid w:val="7A0A674B"/>
    <w:rsid w:val="7A3A4247"/>
    <w:rsid w:val="7A5C6838"/>
    <w:rsid w:val="7AA00FBF"/>
    <w:rsid w:val="7B46421A"/>
    <w:rsid w:val="7B956193"/>
    <w:rsid w:val="7BB90271"/>
    <w:rsid w:val="7BDF264C"/>
    <w:rsid w:val="7CCB7BE4"/>
    <w:rsid w:val="7D384627"/>
    <w:rsid w:val="7E1D5E16"/>
    <w:rsid w:val="7E644D27"/>
    <w:rsid w:val="7E7D361C"/>
    <w:rsid w:val="7E8D072F"/>
    <w:rsid w:val="7F2F5280"/>
    <w:rsid w:val="7F4843F1"/>
    <w:rsid w:val="7FA40EA6"/>
    <w:rsid w:val="7FD56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99"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21"/>
    <w:autoRedefine/>
    <w:semiHidden/>
    <w:unhideWhenUsed/>
    <w:qFormat/>
    <w:uiPriority w:val="99"/>
    <w:pPr>
      <w:jc w:val="left"/>
    </w:pPr>
  </w:style>
  <w:style w:type="paragraph" w:styleId="3">
    <w:name w:val="Balloon Text"/>
    <w:basedOn w:val="1"/>
    <w:link w:val="23"/>
    <w:autoRedefine/>
    <w:semiHidden/>
    <w:unhideWhenUsed/>
    <w:qFormat/>
    <w:uiPriority w:val="99"/>
    <w:pPr>
      <w:spacing w:line="240" w:lineRule="auto"/>
    </w:pPr>
    <w:rPr>
      <w:sz w:val="18"/>
      <w:szCs w:val="18"/>
    </w:rPr>
  </w:style>
  <w:style w:type="paragraph" w:styleId="4">
    <w:name w:val="footer"/>
    <w:basedOn w:val="1"/>
    <w:link w:val="14"/>
    <w:autoRedefine/>
    <w:unhideWhenUsed/>
    <w:qFormat/>
    <w:uiPriority w:val="99"/>
    <w:pPr>
      <w:tabs>
        <w:tab w:val="center" w:pos="4153"/>
        <w:tab w:val="right" w:pos="8306"/>
      </w:tabs>
      <w:snapToGrid w:val="0"/>
      <w:jc w:val="left"/>
    </w:pPr>
    <w:rPr>
      <w:sz w:val="18"/>
      <w:szCs w:val="18"/>
    </w:rPr>
  </w:style>
  <w:style w:type="paragraph" w:styleId="5">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unhideWhenUsed/>
    <w:qFormat/>
    <w:uiPriority w:val="99"/>
    <w:pPr>
      <w:widowControl/>
      <w:spacing w:beforeAutospacing="1" w:afterAutospacing="1"/>
      <w:jc w:val="left"/>
    </w:pPr>
    <w:rPr>
      <w:rFonts w:hint="eastAsia" w:ascii="宋体" w:hAnsi="宋体"/>
      <w:kern w:val="0"/>
      <w:sz w:val="24"/>
      <w:szCs w:val="24"/>
    </w:rPr>
  </w:style>
  <w:style w:type="paragraph" w:styleId="7">
    <w:name w:val="annotation subject"/>
    <w:basedOn w:val="2"/>
    <w:next w:val="2"/>
    <w:link w:val="22"/>
    <w:autoRedefine/>
    <w:semiHidden/>
    <w:unhideWhenUsed/>
    <w:qFormat/>
    <w:uiPriority w:val="99"/>
    <w:rPr>
      <w:b/>
      <w:bCs/>
    </w:rPr>
  </w:style>
  <w:style w:type="character" w:styleId="10">
    <w:name w:val="page number"/>
    <w:basedOn w:val="9"/>
    <w:autoRedefine/>
    <w:qFormat/>
    <w:uiPriority w:val="0"/>
  </w:style>
  <w:style w:type="character" w:styleId="11">
    <w:name w:val="Emphasis"/>
    <w:basedOn w:val="9"/>
    <w:autoRedefine/>
    <w:qFormat/>
    <w:uiPriority w:val="99"/>
    <w:rPr>
      <w:i/>
    </w:rPr>
  </w:style>
  <w:style w:type="character" w:styleId="12">
    <w:name w:val="annotation reference"/>
    <w:basedOn w:val="9"/>
    <w:autoRedefine/>
    <w:semiHidden/>
    <w:unhideWhenUsed/>
    <w:qFormat/>
    <w:uiPriority w:val="99"/>
    <w:rPr>
      <w:sz w:val="21"/>
      <w:szCs w:val="21"/>
    </w:rPr>
  </w:style>
  <w:style w:type="character" w:customStyle="1" w:styleId="13">
    <w:name w:val="页眉 Char"/>
    <w:basedOn w:val="9"/>
    <w:link w:val="5"/>
    <w:autoRedefine/>
    <w:qFormat/>
    <w:uiPriority w:val="99"/>
    <w:rPr>
      <w:sz w:val="18"/>
      <w:szCs w:val="18"/>
    </w:rPr>
  </w:style>
  <w:style w:type="character" w:customStyle="1" w:styleId="14">
    <w:name w:val="页脚 Char1"/>
    <w:basedOn w:val="9"/>
    <w:link w:val="4"/>
    <w:autoRedefine/>
    <w:qFormat/>
    <w:uiPriority w:val="99"/>
    <w:rPr>
      <w:sz w:val="18"/>
      <w:szCs w:val="18"/>
    </w:rPr>
  </w:style>
  <w:style w:type="paragraph" w:customStyle="1" w:styleId="15">
    <w:name w:val="标准文件_注："/>
    <w:next w:val="1"/>
    <w:autoRedefine/>
    <w:qFormat/>
    <w:uiPriority w:val="0"/>
    <w:pPr>
      <w:widowControl w:val="0"/>
      <w:numPr>
        <w:ilvl w:val="0"/>
        <w:numId w:val="1"/>
      </w:numPr>
      <w:autoSpaceDE w:val="0"/>
      <w:autoSpaceDN w:val="0"/>
      <w:jc w:val="both"/>
    </w:pPr>
    <w:rPr>
      <w:rFonts w:ascii="宋体" w:hAnsi="Times New Roman" w:eastAsia="宋体" w:cs="Times New Roman"/>
      <w:sz w:val="18"/>
      <w:szCs w:val="18"/>
      <w:lang w:val="en-US" w:eastAsia="zh-CN" w:bidi="ar-SA"/>
    </w:rPr>
  </w:style>
  <w:style w:type="paragraph" w:customStyle="1" w:styleId="16">
    <w:name w:val="段"/>
    <w:link w:val="17"/>
    <w:autoRedefine/>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7">
    <w:name w:val="段 Char"/>
    <w:basedOn w:val="9"/>
    <w:link w:val="16"/>
    <w:autoRedefine/>
    <w:qFormat/>
    <w:uiPriority w:val="99"/>
    <w:rPr>
      <w:rFonts w:ascii="宋体" w:hAnsi="Times New Roman" w:eastAsia="宋体" w:cs="Times New Roman"/>
      <w:kern w:val="0"/>
      <w:szCs w:val="20"/>
    </w:rPr>
  </w:style>
  <w:style w:type="paragraph" w:customStyle="1" w:styleId="18">
    <w:name w:val="标准文件_段"/>
    <w:basedOn w:val="1"/>
    <w:link w:val="19"/>
    <w:qFormat/>
    <w:uiPriority w:val="0"/>
    <w:pPr>
      <w:widowControl/>
      <w:autoSpaceDE w:val="0"/>
      <w:autoSpaceDN w:val="0"/>
      <w:adjustRightInd/>
      <w:spacing w:line="240" w:lineRule="auto"/>
      <w:ind w:firstLine="200" w:firstLineChars="200"/>
    </w:pPr>
    <w:rPr>
      <w:rFonts w:hint="eastAsia" w:ascii="宋体" w:hAnsi="Times New Roman"/>
      <w:kern w:val="0"/>
      <w:szCs w:val="20"/>
    </w:rPr>
  </w:style>
  <w:style w:type="character" w:customStyle="1" w:styleId="19">
    <w:name w:val="标准文件_段 Char"/>
    <w:basedOn w:val="9"/>
    <w:link w:val="18"/>
    <w:autoRedefine/>
    <w:qFormat/>
    <w:uiPriority w:val="0"/>
    <w:rPr>
      <w:rFonts w:hint="eastAsia" w:ascii="宋体" w:hAnsi="Times New Roman" w:eastAsia="宋体" w:cs="宋体"/>
      <w:sz w:val="21"/>
    </w:rPr>
  </w:style>
  <w:style w:type="character" w:customStyle="1" w:styleId="20">
    <w:name w:val="页脚 Char"/>
    <w:autoRedefine/>
    <w:qFormat/>
    <w:uiPriority w:val="99"/>
    <w:rPr>
      <w:kern w:val="2"/>
      <w:sz w:val="18"/>
      <w:szCs w:val="18"/>
    </w:rPr>
  </w:style>
  <w:style w:type="character" w:customStyle="1" w:styleId="21">
    <w:name w:val="批注文字 Char"/>
    <w:basedOn w:val="9"/>
    <w:link w:val="2"/>
    <w:autoRedefine/>
    <w:semiHidden/>
    <w:qFormat/>
    <w:uiPriority w:val="99"/>
    <w:rPr>
      <w:rFonts w:ascii="Calibri" w:hAnsi="Calibri"/>
      <w:kern w:val="2"/>
      <w:sz w:val="21"/>
      <w:szCs w:val="21"/>
    </w:rPr>
  </w:style>
  <w:style w:type="character" w:customStyle="1" w:styleId="22">
    <w:name w:val="批注主题 Char"/>
    <w:basedOn w:val="21"/>
    <w:link w:val="7"/>
    <w:autoRedefine/>
    <w:semiHidden/>
    <w:qFormat/>
    <w:uiPriority w:val="99"/>
    <w:rPr>
      <w:rFonts w:ascii="Calibri" w:hAnsi="Calibri"/>
      <w:b/>
      <w:bCs/>
      <w:kern w:val="2"/>
      <w:sz w:val="21"/>
      <w:szCs w:val="21"/>
    </w:rPr>
  </w:style>
  <w:style w:type="character" w:customStyle="1" w:styleId="23">
    <w:name w:val="批注框文本 Char"/>
    <w:basedOn w:val="9"/>
    <w:link w:val="3"/>
    <w:semiHidden/>
    <w:qFormat/>
    <w:uiPriority w:val="99"/>
    <w:rPr>
      <w:rFonts w:ascii="Calibri" w:hAnsi="Calibri"/>
      <w:kern w:val="2"/>
      <w:sz w:val="18"/>
      <w:szCs w:val="18"/>
    </w:rPr>
  </w:style>
  <w:style w:type="paragraph" w:customStyle="1" w:styleId="24">
    <w:name w:val="五级条标题"/>
    <w:basedOn w:val="1"/>
    <w:next w:val="16"/>
    <w:autoRedefine/>
    <w:qFormat/>
    <w:uiPriority w:val="0"/>
    <w:pPr>
      <w:widowControl/>
      <w:numPr>
        <w:ilvl w:val="5"/>
        <w:numId w:val="1"/>
      </w:numPr>
      <w:adjustRightInd/>
      <w:spacing w:before="50" w:beforeLines="50" w:after="50" w:afterLines="50" w:line="240" w:lineRule="auto"/>
      <w:jc w:val="left"/>
      <w:outlineLvl w:val="6"/>
    </w:pPr>
    <w:rPr>
      <w:rFonts w:ascii="黑体" w:hAnsi="Times New Roman" w:eastAsia="黑体"/>
      <w:kern w:val="0"/>
    </w:rPr>
  </w:style>
  <w:style w:type="paragraph" w:customStyle="1" w:styleId="25">
    <w:name w:val="三级条标题"/>
    <w:basedOn w:val="1"/>
    <w:next w:val="16"/>
    <w:qFormat/>
    <w:uiPriority w:val="0"/>
    <w:pPr>
      <w:widowControl/>
      <w:numPr>
        <w:ilvl w:val="3"/>
        <w:numId w:val="1"/>
      </w:numPr>
      <w:adjustRightInd/>
      <w:spacing w:before="50" w:beforeLines="50" w:after="50" w:afterLines="50" w:line="240" w:lineRule="auto"/>
      <w:jc w:val="left"/>
      <w:outlineLvl w:val="4"/>
    </w:pPr>
    <w:rPr>
      <w:rFonts w:ascii="黑体" w:hAnsi="Times New Roman" w:eastAsia="黑体"/>
      <w:kern w:val="0"/>
    </w:rPr>
  </w:style>
  <w:style w:type="paragraph" w:customStyle="1" w:styleId="26">
    <w:name w:val="Table Paragraph"/>
    <w:basedOn w:val="1"/>
    <w:autoRedefine/>
    <w:qFormat/>
    <w:uiPriority w:val="1"/>
  </w:style>
  <w:style w:type="paragraph" w:customStyle="1" w:styleId="27">
    <w:name w:val="BodyText1I"/>
    <w:basedOn w:val="28"/>
    <w:autoRedefine/>
    <w:qFormat/>
    <w:uiPriority w:val="0"/>
    <w:pPr>
      <w:ind w:firstLine="420" w:firstLineChars="100"/>
    </w:pPr>
  </w:style>
  <w:style w:type="paragraph" w:customStyle="1" w:styleId="28">
    <w:name w:val="BodyText"/>
    <w:basedOn w:val="1"/>
    <w:autoRedefine/>
    <w:qFormat/>
    <w:uiPriority w:val="0"/>
    <w:pPr>
      <w:widowControl/>
      <w:spacing w:after="120"/>
      <w:textAlignment w:val="baseline"/>
    </w:pPr>
    <w:rPr>
      <w:rFonts w:ascii="Times New Roman" w:hAnsi="Times New Roman" w:eastAsia="宋体"/>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63DFC-7AB5-4878-A58B-231D560941D2}">
  <ds:schemaRefs/>
</ds:datastoreItem>
</file>

<file path=docProps/app.xml><?xml version="1.0" encoding="utf-8"?>
<Properties xmlns="http://schemas.openxmlformats.org/officeDocument/2006/extended-properties" xmlns:vt="http://schemas.openxmlformats.org/officeDocument/2006/docPropsVTypes">
  <Template>Normal.dotm</Template>
  <Pages>4</Pages>
  <Words>2586</Words>
  <Characters>2723</Characters>
  <Lines>20</Lines>
  <Paragraphs>5</Paragraphs>
  <TotalTime>2</TotalTime>
  <ScaleCrop>false</ScaleCrop>
  <LinksUpToDate>false</LinksUpToDate>
  <CharactersWithSpaces>2734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2023-06-13T05:57:00Z</dcterms:created>
  <dc:creator>PC</dc:creator>
  <cp:lastModifiedBy>cola</cp:lastModifiedBy>
  <cp:lastPrinted>2023-12-19T06:20:00Z</cp:lastPrinted>
  <dcterms:modified xsi:type="dcterms:W3CDTF">2024-07-15T03:03:11Z</dcterms:modified>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7C0379C9C1C94F8CB420BDCB36801618_13</vt:lpwstr>
  </property>
</Properties>
</file>