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FFB6F8">
      <w:pPr>
        <w:spacing w:line="360" w:lineRule="auto"/>
        <w:jc w:val="center"/>
        <w:rPr>
          <w:rFonts w:ascii="华文中宋" w:hAnsi="华文中宋" w:eastAsia="华文中宋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>安徽省地方标准编制说明</w:t>
      </w:r>
    </w:p>
    <w:tbl>
      <w:tblPr>
        <w:tblStyle w:val="2"/>
        <w:tblW w:w="95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4"/>
        <w:gridCol w:w="1322"/>
        <w:gridCol w:w="3308"/>
        <w:gridCol w:w="1404"/>
        <w:gridCol w:w="790"/>
        <w:gridCol w:w="2052"/>
      </w:tblGrid>
      <w:tr w14:paraId="3DE13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016" w:type="dxa"/>
            <w:gridSpan w:val="2"/>
            <w:vAlign w:val="center"/>
          </w:tcPr>
          <w:p w14:paraId="649099C5">
            <w:pPr>
              <w:pStyle w:val="4"/>
            </w:pPr>
            <w:r>
              <w:rPr>
                <w:rFonts w:hint="eastAsia"/>
              </w:rPr>
              <w:t>标准名称</w:t>
            </w:r>
          </w:p>
        </w:tc>
        <w:tc>
          <w:tcPr>
            <w:tcW w:w="7554" w:type="dxa"/>
            <w:gridSpan w:val="4"/>
            <w:vAlign w:val="center"/>
          </w:tcPr>
          <w:p w14:paraId="68452725">
            <w:pPr>
              <w:pStyle w:val="4"/>
              <w:ind w:left="0" w:leftChars="0" w:firstLine="0" w:firstLineChars="0"/>
            </w:pPr>
            <w:r>
              <w:rPr>
                <w:rFonts w:hint="eastAsia"/>
              </w:rPr>
              <w:t>青年集体交友活动服务规范</w:t>
            </w:r>
          </w:p>
        </w:tc>
      </w:tr>
      <w:tr w14:paraId="0E719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016" w:type="dxa"/>
            <w:gridSpan w:val="2"/>
            <w:vAlign w:val="center"/>
          </w:tcPr>
          <w:p w14:paraId="28239147">
            <w:pPr>
              <w:pStyle w:val="4"/>
            </w:pPr>
            <w:r>
              <w:rPr>
                <w:rFonts w:hint="eastAsia"/>
              </w:rPr>
              <w:t>任务来源</w:t>
            </w:r>
          </w:p>
          <w:p w14:paraId="01917B65">
            <w:pPr>
              <w:pStyle w:val="4"/>
              <w:ind w:left="0" w:leftChars="0" w:firstLine="0" w:firstLineChars="0"/>
              <w:jc w:val="center"/>
            </w:pPr>
            <w:r>
              <w:rPr>
                <w:rFonts w:hint="eastAsia"/>
              </w:rPr>
              <w:t>（项目计划号）</w:t>
            </w:r>
          </w:p>
        </w:tc>
        <w:tc>
          <w:tcPr>
            <w:tcW w:w="7554" w:type="dxa"/>
            <w:gridSpan w:val="4"/>
            <w:vAlign w:val="center"/>
          </w:tcPr>
          <w:p w14:paraId="253CE657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2023-3-119</w:t>
            </w:r>
          </w:p>
        </w:tc>
      </w:tr>
      <w:tr w14:paraId="3F55C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016" w:type="dxa"/>
            <w:gridSpan w:val="2"/>
            <w:vAlign w:val="center"/>
          </w:tcPr>
          <w:p w14:paraId="0152626A">
            <w:pPr>
              <w:pStyle w:val="4"/>
              <w:ind w:left="0" w:leftChars="0" w:firstLine="0" w:firstLineChars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第一起草单位</w:t>
            </w:r>
          </w:p>
          <w:p w14:paraId="4A18E760">
            <w:pPr>
              <w:pStyle w:val="4"/>
              <w:ind w:left="0" w:leftChars="0" w:firstLine="0" w:firstLineChars="0"/>
              <w:jc w:val="center"/>
            </w:pPr>
            <w:r>
              <w:rPr>
                <w:rFonts w:hint="eastAsia"/>
              </w:rPr>
              <w:t>（盖章）</w:t>
            </w:r>
          </w:p>
        </w:tc>
        <w:tc>
          <w:tcPr>
            <w:tcW w:w="7554" w:type="dxa"/>
            <w:gridSpan w:val="4"/>
            <w:vAlign w:val="center"/>
          </w:tcPr>
          <w:p w14:paraId="2626FB0E">
            <w:pPr>
              <w:pStyle w:val="4"/>
              <w:ind w:left="0" w:leftChars="0" w:firstLine="0" w:firstLineChars="0"/>
            </w:pPr>
            <w:r>
              <w:rPr>
                <w:rFonts w:hint="eastAsia"/>
              </w:rPr>
              <w:t>安徽肥肥网络传媒有限责任公司</w:t>
            </w:r>
          </w:p>
        </w:tc>
      </w:tr>
      <w:tr w14:paraId="25BD7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016" w:type="dxa"/>
            <w:gridSpan w:val="2"/>
            <w:vAlign w:val="center"/>
          </w:tcPr>
          <w:p w14:paraId="0355F582">
            <w:pPr>
              <w:pStyle w:val="4"/>
            </w:pPr>
            <w:r>
              <w:rPr>
                <w:rFonts w:hint="eastAsia"/>
              </w:rPr>
              <w:t>单位地址</w:t>
            </w:r>
          </w:p>
        </w:tc>
        <w:tc>
          <w:tcPr>
            <w:tcW w:w="7554" w:type="dxa"/>
            <w:gridSpan w:val="4"/>
            <w:vAlign w:val="center"/>
          </w:tcPr>
          <w:p w14:paraId="045AD5FE">
            <w:pPr>
              <w:pStyle w:val="4"/>
              <w:ind w:left="0" w:leftChars="0" w:firstLine="0" w:firstLineChars="0"/>
            </w:pPr>
            <w:r>
              <w:rPr>
                <w:rFonts w:hint="eastAsia"/>
              </w:rPr>
              <w:t>安徽省合肥市经开区芙蓉路268号合肥创新创业园4B栋</w:t>
            </w:r>
          </w:p>
        </w:tc>
      </w:tr>
      <w:tr w14:paraId="391B9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016" w:type="dxa"/>
            <w:gridSpan w:val="2"/>
            <w:vAlign w:val="center"/>
          </w:tcPr>
          <w:p w14:paraId="1D66CF79">
            <w:pPr>
              <w:pStyle w:val="4"/>
              <w:ind w:left="0" w:leftChars="0" w:firstLine="0" w:firstLineChars="0"/>
              <w:jc w:val="center"/>
            </w:pPr>
            <w:r>
              <w:rPr>
                <w:rFonts w:hint="eastAsia"/>
              </w:rPr>
              <w:t>参与起草单位</w:t>
            </w:r>
          </w:p>
        </w:tc>
        <w:tc>
          <w:tcPr>
            <w:tcW w:w="7554" w:type="dxa"/>
            <w:gridSpan w:val="4"/>
            <w:vAlign w:val="center"/>
          </w:tcPr>
          <w:p w14:paraId="58DFA0B1">
            <w:pPr>
              <w:pStyle w:val="4"/>
              <w:ind w:left="0" w:leftChars="0" w:firstLine="0" w:firstLineChars="0"/>
            </w:pPr>
            <w:r>
              <w:rPr>
                <w:rFonts w:hint="eastAsia"/>
              </w:rPr>
              <w:t>安徽省新的社会阶层人士联谊会、合肥花漾爱妮文化传播有限公司、安徽索罗营销策划有限责任公司</w:t>
            </w:r>
          </w:p>
        </w:tc>
      </w:tr>
      <w:tr w14:paraId="28496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6090EB1E">
            <w:pPr>
              <w:pStyle w:val="4"/>
            </w:pPr>
            <w:r>
              <w:rPr>
                <w:rFonts w:hint="eastAsia"/>
              </w:rPr>
              <w:t>标准起草人（全部起草人，应与标准文本前言中起草人排序一致）</w:t>
            </w:r>
          </w:p>
        </w:tc>
      </w:tr>
      <w:tr w14:paraId="08769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vAlign w:val="center"/>
          </w:tcPr>
          <w:p w14:paraId="4849AD68">
            <w:pPr>
              <w:pStyle w:val="4"/>
              <w:ind w:firstLine="0" w:firstLineChars="0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322" w:type="dxa"/>
            <w:vAlign w:val="center"/>
          </w:tcPr>
          <w:p w14:paraId="0061CC93">
            <w:pPr>
              <w:pStyle w:val="4"/>
              <w:ind w:left="0" w:leftChars="0" w:firstLine="0" w:firstLineChars="0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3308" w:type="dxa"/>
            <w:vAlign w:val="center"/>
          </w:tcPr>
          <w:p w14:paraId="3B1DA8AF">
            <w:pPr>
              <w:pStyle w:val="4"/>
              <w:ind w:left="0" w:leftChars="0" w:firstLine="0" w:firstLineChars="0"/>
              <w:jc w:val="center"/>
            </w:pPr>
            <w:r>
              <w:rPr>
                <w:rFonts w:hint="eastAsia"/>
              </w:rPr>
              <w:t>单位</w:t>
            </w:r>
          </w:p>
        </w:tc>
        <w:tc>
          <w:tcPr>
            <w:tcW w:w="1404" w:type="dxa"/>
            <w:vAlign w:val="center"/>
          </w:tcPr>
          <w:p w14:paraId="54B1F111">
            <w:pPr>
              <w:pStyle w:val="4"/>
              <w:ind w:firstLine="0" w:firstLineChars="0"/>
              <w:jc w:val="center"/>
            </w:pPr>
            <w:r>
              <w:rPr>
                <w:rFonts w:hint="eastAsia"/>
              </w:rPr>
              <w:t>职务</w:t>
            </w:r>
          </w:p>
        </w:tc>
        <w:tc>
          <w:tcPr>
            <w:tcW w:w="790" w:type="dxa"/>
            <w:vAlign w:val="center"/>
          </w:tcPr>
          <w:p w14:paraId="0AA5F038">
            <w:pPr>
              <w:pStyle w:val="4"/>
              <w:ind w:left="0" w:leftChars="0" w:firstLine="0" w:firstLineChars="0"/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2052" w:type="dxa"/>
            <w:vAlign w:val="center"/>
          </w:tcPr>
          <w:p w14:paraId="3FB57C90">
            <w:pPr>
              <w:pStyle w:val="4"/>
              <w:ind w:left="0" w:leftChars="0" w:firstLine="0" w:firstLineChars="0"/>
              <w:jc w:val="center"/>
            </w:pPr>
            <w:r>
              <w:rPr>
                <w:rFonts w:hint="eastAsia"/>
              </w:rPr>
              <w:t>电话</w:t>
            </w:r>
          </w:p>
        </w:tc>
      </w:tr>
      <w:tr w14:paraId="5A313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vAlign w:val="center"/>
          </w:tcPr>
          <w:p w14:paraId="18ED2E8B">
            <w:pPr>
              <w:pStyle w:val="4"/>
              <w:ind w:left="0" w:leftChars="0" w:firstLine="0" w:firstLineChars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322" w:type="dxa"/>
            <w:vAlign w:val="center"/>
          </w:tcPr>
          <w:p w14:paraId="1583D8C5">
            <w:pPr>
              <w:pStyle w:val="4"/>
              <w:ind w:left="0" w:leftChars="0" w:firstLine="0" w:firstLineChars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周强</w:t>
            </w:r>
          </w:p>
        </w:tc>
        <w:tc>
          <w:tcPr>
            <w:tcW w:w="3308" w:type="dxa"/>
            <w:vAlign w:val="center"/>
          </w:tcPr>
          <w:p w14:paraId="389FC94B">
            <w:pPr>
              <w:pStyle w:val="4"/>
              <w:ind w:left="0" w:leftChars="0" w:firstLine="0" w:firstLineChars="0"/>
            </w:pPr>
            <w:r>
              <w:rPr>
                <w:rFonts w:hint="eastAsia"/>
              </w:rPr>
              <w:t>安徽肥肥网络传媒有限责任公司</w:t>
            </w:r>
          </w:p>
        </w:tc>
        <w:tc>
          <w:tcPr>
            <w:tcW w:w="1404" w:type="dxa"/>
            <w:vAlign w:val="center"/>
          </w:tcPr>
          <w:p w14:paraId="3867BCE1">
            <w:pPr>
              <w:pStyle w:val="4"/>
              <w:adjustRightInd w:val="0"/>
              <w:spacing w:line="360" w:lineRule="auto"/>
              <w:ind w:firstLine="0" w:firstLineChars="0"/>
              <w:contextualSpacing/>
              <w:jc w:val="center"/>
            </w:pPr>
            <w:r>
              <w:rPr>
                <w:rFonts w:hint="eastAsia" w:hAnsi="宋体"/>
                <w:szCs w:val="21"/>
                <w:lang w:eastAsia="zh-CN"/>
              </w:rPr>
              <w:t>总经理</w:t>
            </w:r>
          </w:p>
        </w:tc>
        <w:tc>
          <w:tcPr>
            <w:tcW w:w="790" w:type="dxa"/>
            <w:vAlign w:val="center"/>
          </w:tcPr>
          <w:p w14:paraId="1E4B3E7C">
            <w:pPr>
              <w:pStyle w:val="4"/>
              <w:ind w:left="0" w:leftChars="0" w:firstLine="0" w:firstLineChars="0"/>
              <w:jc w:val="center"/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2052" w:type="dxa"/>
            <w:vAlign w:val="center"/>
          </w:tcPr>
          <w:p w14:paraId="6AA8F679">
            <w:pPr>
              <w:pStyle w:val="4"/>
              <w:ind w:left="0" w:leftChars="0" w:firstLine="0" w:firstLineChars="0"/>
              <w:jc w:val="center"/>
            </w:pPr>
            <w:r>
              <w:rPr>
                <w:rFonts w:hint="eastAsia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8656152169</w:t>
            </w:r>
          </w:p>
        </w:tc>
      </w:tr>
      <w:tr w14:paraId="2B160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vAlign w:val="center"/>
          </w:tcPr>
          <w:p w14:paraId="21EF1373">
            <w:pPr>
              <w:pStyle w:val="4"/>
              <w:ind w:left="0" w:leftChars="0" w:firstLine="0" w:firstLineChars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322" w:type="dxa"/>
            <w:vAlign w:val="center"/>
          </w:tcPr>
          <w:p w14:paraId="3A739D67">
            <w:pPr>
              <w:pStyle w:val="4"/>
              <w:ind w:left="0" w:leftChars="0" w:firstLine="0" w:firstLineChars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周涛宏</w:t>
            </w:r>
          </w:p>
        </w:tc>
        <w:tc>
          <w:tcPr>
            <w:tcW w:w="3308" w:type="dxa"/>
            <w:vAlign w:val="center"/>
          </w:tcPr>
          <w:p w14:paraId="38662847">
            <w:pPr>
              <w:pStyle w:val="4"/>
              <w:ind w:left="0" w:leftChars="0" w:firstLine="0" w:firstLineChars="0"/>
            </w:pPr>
            <w:r>
              <w:rPr>
                <w:rFonts w:hint="eastAsia"/>
              </w:rPr>
              <w:t>安徽肥肥网络传媒有限责任公司</w:t>
            </w:r>
          </w:p>
        </w:tc>
        <w:tc>
          <w:tcPr>
            <w:tcW w:w="1404" w:type="dxa"/>
            <w:vAlign w:val="center"/>
          </w:tcPr>
          <w:p w14:paraId="58B8CE07">
            <w:pPr>
              <w:pStyle w:val="4"/>
              <w:adjustRightInd w:val="0"/>
              <w:spacing w:line="360" w:lineRule="auto"/>
              <w:ind w:firstLine="0" w:firstLineChars="0"/>
              <w:contextualSpacing/>
              <w:jc w:val="center"/>
            </w:pPr>
            <w:r>
              <w:rPr>
                <w:rFonts w:hint="eastAsia" w:hAnsi="宋体"/>
                <w:szCs w:val="21"/>
                <w:lang w:eastAsia="zh-CN"/>
              </w:rPr>
              <w:t>部门负责人</w:t>
            </w:r>
          </w:p>
        </w:tc>
        <w:tc>
          <w:tcPr>
            <w:tcW w:w="790" w:type="dxa"/>
            <w:vAlign w:val="center"/>
          </w:tcPr>
          <w:p w14:paraId="02E22AF0">
            <w:pPr>
              <w:pStyle w:val="4"/>
              <w:ind w:left="0" w:leftChars="0" w:firstLine="0" w:firstLineChars="0"/>
              <w:jc w:val="center"/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2052" w:type="dxa"/>
            <w:vAlign w:val="center"/>
          </w:tcPr>
          <w:p w14:paraId="78970FCE">
            <w:pPr>
              <w:pStyle w:val="4"/>
              <w:ind w:left="0" w:leftChars="0" w:firstLine="0" w:firstLineChars="0"/>
              <w:jc w:val="center"/>
            </w:pPr>
            <w:r>
              <w:rPr>
                <w:rFonts w:hint="eastAsia" w:hAnsi="宋体"/>
                <w:szCs w:val="21"/>
              </w:rPr>
              <w:t>1</w:t>
            </w:r>
            <w:r>
              <w:rPr>
                <w:rFonts w:hint="eastAsia" w:hAnsi="宋体"/>
                <w:szCs w:val="21"/>
                <w:lang w:val="en-US" w:eastAsia="zh-CN"/>
              </w:rPr>
              <w:t>5395089987</w:t>
            </w:r>
          </w:p>
        </w:tc>
      </w:tr>
      <w:tr w14:paraId="2902D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vAlign w:val="center"/>
          </w:tcPr>
          <w:p w14:paraId="7F05F338">
            <w:pPr>
              <w:pStyle w:val="4"/>
              <w:ind w:left="0" w:leftChars="0" w:firstLine="0" w:firstLineChars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322" w:type="dxa"/>
            <w:vAlign w:val="center"/>
          </w:tcPr>
          <w:p w14:paraId="6CC1393B">
            <w:pPr>
              <w:pStyle w:val="4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赵森林</w:t>
            </w:r>
          </w:p>
        </w:tc>
        <w:tc>
          <w:tcPr>
            <w:tcW w:w="3308" w:type="dxa"/>
            <w:vAlign w:val="center"/>
          </w:tcPr>
          <w:p w14:paraId="3A6A9F81">
            <w:pPr>
              <w:pStyle w:val="4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安徽肥肥网络传媒有限责任公司</w:t>
            </w:r>
          </w:p>
        </w:tc>
        <w:tc>
          <w:tcPr>
            <w:tcW w:w="1404" w:type="dxa"/>
            <w:vAlign w:val="center"/>
          </w:tcPr>
          <w:p w14:paraId="5E9F76C5">
            <w:pPr>
              <w:pStyle w:val="4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int="eastAsia" w:hAnsi="宋体"/>
                <w:szCs w:val="21"/>
                <w:lang w:eastAsia="zh-CN"/>
              </w:rPr>
            </w:pPr>
            <w:r>
              <w:rPr>
                <w:rFonts w:hint="eastAsia" w:hAnsi="宋体"/>
                <w:szCs w:val="21"/>
                <w:lang w:eastAsia="zh-CN"/>
              </w:rPr>
              <w:t>部门负责人</w:t>
            </w:r>
          </w:p>
        </w:tc>
        <w:tc>
          <w:tcPr>
            <w:tcW w:w="790" w:type="dxa"/>
            <w:vAlign w:val="center"/>
          </w:tcPr>
          <w:p w14:paraId="3E8211BA">
            <w:pPr>
              <w:spacing w:line="360" w:lineRule="auto"/>
              <w:contextualSpacing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2052" w:type="dxa"/>
            <w:vAlign w:val="center"/>
          </w:tcPr>
          <w:p w14:paraId="6D6A21A2">
            <w:pPr>
              <w:pStyle w:val="4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3966668703</w:t>
            </w:r>
          </w:p>
        </w:tc>
      </w:tr>
      <w:tr w14:paraId="192AE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vAlign w:val="center"/>
          </w:tcPr>
          <w:p w14:paraId="43A6B9AB">
            <w:pPr>
              <w:pStyle w:val="4"/>
              <w:ind w:left="0" w:leftChars="0" w:firstLine="0" w:firstLineChars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322" w:type="dxa"/>
            <w:vAlign w:val="center"/>
          </w:tcPr>
          <w:p w14:paraId="5183F365">
            <w:pPr>
              <w:pStyle w:val="4"/>
              <w:ind w:left="0" w:leftChars="0" w:firstLine="0" w:firstLineChars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汪海</w:t>
            </w:r>
          </w:p>
        </w:tc>
        <w:tc>
          <w:tcPr>
            <w:tcW w:w="3308" w:type="dxa"/>
            <w:vAlign w:val="center"/>
          </w:tcPr>
          <w:p w14:paraId="224F3E1A">
            <w:pPr>
              <w:pStyle w:val="4"/>
              <w:ind w:left="0" w:leftChars="0" w:firstLine="0" w:firstLineChars="0"/>
            </w:pPr>
            <w:r>
              <w:rPr>
                <w:rFonts w:hint="eastAsia"/>
              </w:rPr>
              <w:t>安徽省新的社会阶层人士联谊会</w:t>
            </w:r>
          </w:p>
        </w:tc>
        <w:tc>
          <w:tcPr>
            <w:tcW w:w="1404" w:type="dxa"/>
            <w:vAlign w:val="center"/>
          </w:tcPr>
          <w:p w14:paraId="5E5F2EEC">
            <w:pPr>
              <w:pStyle w:val="4"/>
              <w:ind w:left="0" w:leftChars="0" w:firstLine="0" w:firstLineChars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会长</w:t>
            </w:r>
          </w:p>
        </w:tc>
        <w:tc>
          <w:tcPr>
            <w:tcW w:w="790" w:type="dxa"/>
            <w:vAlign w:val="center"/>
          </w:tcPr>
          <w:p w14:paraId="639158B8">
            <w:pPr>
              <w:pStyle w:val="4"/>
              <w:ind w:left="0" w:leftChars="0" w:firstLine="0" w:firstLineChars="0"/>
              <w:jc w:val="center"/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2052" w:type="dxa"/>
            <w:vAlign w:val="center"/>
          </w:tcPr>
          <w:p w14:paraId="34E65EBC">
            <w:pPr>
              <w:pStyle w:val="4"/>
              <w:ind w:left="0" w:leftChars="0" w:firstLine="0" w:firstLineChars="0"/>
              <w:jc w:val="center"/>
            </w:pPr>
            <w:r>
              <w:rPr>
                <w:rFonts w:hint="eastAsia" w:hAnsi="宋体"/>
                <w:szCs w:val="21"/>
                <w:lang w:val="en-US" w:eastAsia="zh-CN"/>
              </w:rPr>
              <w:t>13956995873</w:t>
            </w:r>
          </w:p>
        </w:tc>
      </w:tr>
      <w:tr w14:paraId="575CA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vAlign w:val="center"/>
          </w:tcPr>
          <w:p w14:paraId="7342377D">
            <w:pPr>
              <w:pStyle w:val="4"/>
              <w:ind w:left="0" w:leftChars="0" w:firstLine="0" w:firstLineChars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322" w:type="dxa"/>
            <w:vAlign w:val="center"/>
          </w:tcPr>
          <w:p w14:paraId="211E3B0E">
            <w:pPr>
              <w:pStyle w:val="4"/>
              <w:ind w:left="0" w:leftChars="0" w:firstLine="0" w:firstLineChars="0"/>
              <w:jc w:val="center"/>
            </w:pPr>
            <w:r>
              <w:rPr>
                <w:rFonts w:hint="eastAsia"/>
              </w:rPr>
              <w:t>刘莉</w:t>
            </w:r>
          </w:p>
        </w:tc>
        <w:tc>
          <w:tcPr>
            <w:tcW w:w="3308" w:type="dxa"/>
            <w:vAlign w:val="center"/>
          </w:tcPr>
          <w:p w14:paraId="48D1DCBB">
            <w:pPr>
              <w:pStyle w:val="4"/>
              <w:ind w:left="0" w:leftChars="0" w:firstLine="0" w:firstLineChars="0"/>
            </w:pPr>
            <w:r>
              <w:rPr>
                <w:rFonts w:hint="eastAsia"/>
              </w:rPr>
              <w:t>合肥花漾爱妮文化传播有限公司</w:t>
            </w:r>
          </w:p>
        </w:tc>
        <w:tc>
          <w:tcPr>
            <w:tcW w:w="1404" w:type="dxa"/>
            <w:vAlign w:val="center"/>
          </w:tcPr>
          <w:p w14:paraId="555BB289">
            <w:pPr>
              <w:pStyle w:val="4"/>
              <w:tabs>
                <w:tab w:val="left" w:pos="599"/>
                <w:tab w:val="clear" w:pos="4201"/>
              </w:tabs>
              <w:ind w:left="0" w:leftChars="0" w:firstLine="0" w:firstLineChars="0"/>
              <w:jc w:val="center"/>
            </w:pPr>
            <w:r>
              <w:rPr>
                <w:rFonts w:hint="eastAsia"/>
                <w:lang w:eastAsia="zh-CN"/>
              </w:rPr>
              <w:t>总经理</w:t>
            </w:r>
          </w:p>
        </w:tc>
        <w:tc>
          <w:tcPr>
            <w:tcW w:w="790" w:type="dxa"/>
            <w:vAlign w:val="center"/>
          </w:tcPr>
          <w:p w14:paraId="4EC8C1C6">
            <w:pPr>
              <w:pStyle w:val="4"/>
              <w:ind w:left="0" w:leftChars="0" w:firstLine="0" w:firstLineChars="0"/>
              <w:jc w:val="center"/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2052" w:type="dxa"/>
            <w:vAlign w:val="center"/>
          </w:tcPr>
          <w:p w14:paraId="2F44CBDD">
            <w:pPr>
              <w:pStyle w:val="4"/>
              <w:ind w:left="0" w:leftChars="0" w:firstLine="0" w:firstLineChars="0"/>
              <w:jc w:val="center"/>
            </w:pPr>
            <w:r>
              <w:rPr>
                <w:rFonts w:hint="eastAsia"/>
              </w:rPr>
              <w:t>13965074068</w:t>
            </w:r>
          </w:p>
        </w:tc>
      </w:tr>
      <w:tr w14:paraId="57C61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vAlign w:val="center"/>
          </w:tcPr>
          <w:p w14:paraId="051CB4A6">
            <w:pPr>
              <w:pStyle w:val="4"/>
              <w:ind w:left="0" w:leftChars="0" w:firstLine="0" w:firstLineChars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322" w:type="dxa"/>
            <w:vAlign w:val="center"/>
          </w:tcPr>
          <w:p w14:paraId="6EA54DED">
            <w:pPr>
              <w:pStyle w:val="4"/>
              <w:ind w:left="0" w:leftChars="0" w:firstLine="0" w:firstLineChars="0"/>
              <w:jc w:val="center"/>
            </w:pPr>
            <w:r>
              <w:rPr>
                <w:rFonts w:hint="eastAsia"/>
                <w:lang w:eastAsia="zh-CN"/>
              </w:rPr>
              <w:t>叶书龙</w:t>
            </w:r>
          </w:p>
        </w:tc>
        <w:tc>
          <w:tcPr>
            <w:tcW w:w="3308" w:type="dxa"/>
            <w:vAlign w:val="center"/>
          </w:tcPr>
          <w:p w14:paraId="7642144F">
            <w:pPr>
              <w:pStyle w:val="4"/>
              <w:ind w:left="0" w:leftChars="0" w:firstLine="0" w:firstLineChars="0"/>
            </w:pPr>
            <w:r>
              <w:rPr>
                <w:rFonts w:hint="eastAsia"/>
              </w:rPr>
              <w:t>安徽索罗营销策划有限责任公司</w:t>
            </w:r>
          </w:p>
        </w:tc>
        <w:tc>
          <w:tcPr>
            <w:tcW w:w="1404" w:type="dxa"/>
            <w:vAlign w:val="center"/>
          </w:tcPr>
          <w:p w14:paraId="116A5D2A">
            <w:pPr>
              <w:pStyle w:val="4"/>
              <w:ind w:left="0" w:leftChars="0" w:firstLine="0" w:firstLineChars="0"/>
              <w:jc w:val="center"/>
            </w:pPr>
            <w:r>
              <w:rPr>
                <w:rFonts w:hint="eastAsia"/>
                <w:lang w:eastAsia="zh-CN"/>
              </w:rPr>
              <w:t>总经理</w:t>
            </w:r>
          </w:p>
        </w:tc>
        <w:tc>
          <w:tcPr>
            <w:tcW w:w="790" w:type="dxa"/>
            <w:vAlign w:val="center"/>
          </w:tcPr>
          <w:p w14:paraId="582D0AB5">
            <w:pPr>
              <w:pStyle w:val="4"/>
              <w:ind w:left="0" w:leftChars="0" w:firstLine="0" w:firstLineChars="0"/>
              <w:jc w:val="center"/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2052" w:type="dxa"/>
            <w:vAlign w:val="center"/>
          </w:tcPr>
          <w:p w14:paraId="0B302B58">
            <w:pPr>
              <w:pStyle w:val="4"/>
              <w:ind w:left="0" w:leftChars="0" w:firstLine="0" w:firstLineChars="0"/>
              <w:jc w:val="center"/>
            </w:pPr>
            <w:r>
              <w:rPr>
                <w:rFonts w:hint="eastAsia"/>
              </w:rPr>
              <w:t>18919674140</w:t>
            </w:r>
          </w:p>
        </w:tc>
      </w:tr>
      <w:tr w14:paraId="06E74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74B14978">
            <w:pPr>
              <w:pStyle w:val="4"/>
            </w:pPr>
            <w:r>
              <w:rPr>
                <w:rFonts w:hint="eastAsia"/>
              </w:rPr>
              <w:t>编制情况</w:t>
            </w:r>
          </w:p>
        </w:tc>
      </w:tr>
      <w:tr w14:paraId="42A06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115E12E9">
            <w:pPr>
              <w:pStyle w:val="4"/>
            </w:pPr>
            <w:r>
              <w:rPr>
                <w:rFonts w:hint="eastAsia"/>
              </w:rPr>
              <w:t>1、编制过程简介</w:t>
            </w:r>
          </w:p>
        </w:tc>
      </w:tr>
      <w:tr w14:paraId="4A2CF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260900D6">
            <w:pPr>
              <w:pStyle w:val="4"/>
            </w:pPr>
            <w:r>
              <w:rPr>
                <w:rFonts w:hint="eastAsia"/>
                <w:lang w:val="en-US" w:eastAsia="zh-CN"/>
              </w:rPr>
              <w:t>2023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>12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日，收到《关于下达</w:t>
            </w:r>
            <w:r>
              <w:rPr>
                <w:rFonts w:hint="eastAsia"/>
                <w:lang w:val="en-US" w:eastAsia="zh-CN"/>
              </w:rPr>
              <w:t>2023</w:t>
            </w:r>
            <w:r>
              <w:rPr>
                <w:rFonts w:hint="eastAsia"/>
              </w:rPr>
              <w:t>年第</w:t>
            </w:r>
            <w:r>
              <w:rPr>
                <w:rFonts w:hint="eastAsia"/>
                <w:lang w:val="en-US" w:eastAsia="zh-CN"/>
              </w:rPr>
              <w:t>三</w:t>
            </w:r>
            <w:r>
              <w:rPr>
                <w:rFonts w:hint="eastAsia"/>
              </w:rPr>
              <w:t>批安徽省地方标准制修订计划的通知》后，安徽肥肥网络传媒有限责任公司</w:t>
            </w:r>
            <w:r>
              <w:rPr>
                <w:rFonts w:hint="eastAsia"/>
                <w:lang w:val="en-US" w:eastAsia="zh-CN"/>
              </w:rPr>
              <w:t>的周涛宏组织安徽省新的社会阶层人士联谊会、合肥花漾爱妮文化传播有限公司、安徽索罗营销策划有限责任公司的骨干人员</w:t>
            </w:r>
            <w:r>
              <w:rPr>
                <w:rFonts w:hint="eastAsia"/>
              </w:rPr>
              <w:t>成立标准编制小组。</w:t>
            </w:r>
          </w:p>
          <w:p w14:paraId="7725B4A9">
            <w:pPr>
              <w:pStyle w:val="4"/>
            </w:pPr>
            <w:r>
              <w:rPr>
                <w:rFonts w:hint="eastAsia"/>
              </w:rPr>
              <w:t>标准起草过程：</w:t>
            </w:r>
          </w:p>
          <w:p w14:paraId="308635DF">
            <w:pPr>
              <w:pStyle w:val="4"/>
              <w:rPr>
                <w:rFonts w:hint="eastAsia"/>
              </w:rPr>
            </w:pPr>
            <w:r>
              <w:rPr>
                <w:rFonts w:hint="eastAsia"/>
              </w:rPr>
              <w:t>(1)标准编制小组确定了分工，同时对标准的格式、内容深入学习，编写过程中进行了大量的调研走访，结合法律法规及相关标准要求，严格按照GB/T1.1-2020《标准化工作导则第1部分:标准化文件的结构和起草规则》所规定的结构和起草规则进行编写，形成了初步草稿。</w:t>
            </w:r>
          </w:p>
          <w:p w14:paraId="1ABC191D">
            <w:pPr>
              <w:pStyle w:val="4"/>
              <w:rPr>
                <w:rFonts w:hint="eastAsia"/>
              </w:rPr>
            </w:pPr>
            <w:r>
              <w:rPr>
                <w:rFonts w:hint="eastAsia"/>
              </w:rPr>
              <w:t>(2)调研阶段:在安徽省范围内开展调研工作，通过实地调研、问卷调查、专家函询等方式，了解青年交友活动的流程、要求和注意事项，对前期的标准草案初稿进行完善，针对标准草案开展多次专家论证，完善标准草案，形成内部讨论稿。</w:t>
            </w:r>
          </w:p>
          <w:p w14:paraId="6AC38D59">
            <w:pPr>
              <w:pStyle w:val="4"/>
              <w:rPr>
                <w:rFonts w:hint="eastAsia"/>
              </w:rPr>
            </w:pPr>
            <w:r>
              <w:rPr>
                <w:rFonts w:hint="eastAsia"/>
              </w:rPr>
              <w:t>(3)标准研讨阶段:标准起草小组</w:t>
            </w:r>
            <w:r>
              <w:rPr>
                <w:rFonts w:hint="eastAsia"/>
                <w:lang w:eastAsia="zh-CN"/>
              </w:rPr>
              <w:t>根据</w:t>
            </w:r>
            <w:r>
              <w:rPr>
                <w:rFonts w:hint="eastAsia"/>
              </w:rPr>
              <w:t>相关文件要求，结合自身实际，严格执行法律法规及政策文件，完成标准初稿。标准起草小组组织了内部讨论，经多次反复讨论修改后，完成本标准初稿。标准起草小组对标准初稿修改形成标准征求意见稿，开展征求意见。</w:t>
            </w:r>
          </w:p>
          <w:p w14:paraId="54489D56">
            <w:pPr>
              <w:pStyle w:val="4"/>
            </w:pPr>
            <w:r>
              <w:rPr>
                <w:rFonts w:hint="eastAsia"/>
              </w:rPr>
              <w:t>(3)2024年3月，由我单位组织专家召开了《青年集体交友活动服务规范》专家研讨会，对该标准的初稿进行了讨论。标准编制小组结合专家意见，形成标准征求意见稿。</w:t>
            </w:r>
          </w:p>
          <w:p w14:paraId="22F69401">
            <w:pPr>
              <w:pStyle w:val="4"/>
            </w:pPr>
            <w:r>
              <w:rPr>
                <w:rFonts w:hint="eastAsia"/>
              </w:rPr>
              <w:t>征求意见情况：</w:t>
            </w:r>
            <w:r>
              <w:t xml:space="preserve"> </w:t>
            </w:r>
          </w:p>
          <w:p w14:paraId="38D20A3E">
            <w:pPr>
              <w:pStyle w:val="4"/>
            </w:pPr>
            <w:r>
              <w:rPr>
                <w:rFonts w:hint="eastAsia"/>
              </w:rPr>
              <w:t>审查情况：</w:t>
            </w:r>
            <w:r>
              <w:t xml:space="preserve"> </w:t>
            </w:r>
          </w:p>
          <w:p w14:paraId="4BEA6B31">
            <w:pPr>
              <w:pStyle w:val="4"/>
            </w:pPr>
            <w:r>
              <w:rPr>
                <w:rFonts w:hint="eastAsia"/>
              </w:rPr>
              <w:t>报批情况：</w:t>
            </w:r>
            <w:r>
              <w:t xml:space="preserve"> </w:t>
            </w:r>
          </w:p>
          <w:p w14:paraId="35EA5B4D">
            <w:pPr>
              <w:pStyle w:val="4"/>
            </w:pPr>
          </w:p>
        </w:tc>
      </w:tr>
      <w:tr w14:paraId="7181B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525D2016">
            <w:pPr>
              <w:pStyle w:val="4"/>
            </w:pPr>
            <w:r>
              <w:rPr>
                <w:rFonts w:hint="eastAsia"/>
              </w:rPr>
              <w:t>2、制定标准的必要性和意义</w:t>
            </w:r>
          </w:p>
        </w:tc>
      </w:tr>
      <w:tr w14:paraId="78F13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46749133">
            <w:pPr>
              <w:pStyle w:val="4"/>
            </w:pPr>
            <w:r>
              <w:rPr>
                <w:rFonts w:hint="eastAsia"/>
              </w:rPr>
              <w:t>必要性：</w:t>
            </w:r>
          </w:p>
          <w:p w14:paraId="687E616F">
            <w:pPr>
              <w:pStyle w:val="4"/>
              <w:rPr>
                <w:rFonts w:hint="eastAsia"/>
              </w:rPr>
            </w:pPr>
            <w:r>
              <w:rPr>
                <w:rFonts w:hint="eastAsia"/>
              </w:rPr>
              <w:t>青年婚恋交友是重要的民生问题，事关青年个人幸福和长远发展，事关社会和谐稳定和国家持续发展。在《中长期青年发展规划(2016-2025年)》中，将青年婚恋作为十大重点领域之一。近几年，由于青年工作、生活的方式跟以往相比发生了很大的变化，一些青年存在择偶范围狭窄、婚恋问题困难的实际情况。</w:t>
            </w:r>
          </w:p>
          <w:p w14:paraId="2DEBA582">
            <w:pPr>
              <w:pStyle w:val="4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为积极引导青年树立文明、健康、理性的婚恋观，有效服务广大青年婚恋交友的现实需求，安徽省各地各级团组织开展了大量的生动实践和有益探索，主动搭建单身青年展示自我、交流感情、缔结友谊、寻觅知音的平台，积极创造条件拓宽其交友渠道，努力提升适婚单身青年群体的幸福指数，形成了一批符合青年特点、具有自身特色、值得学习借鉴的工作案例。制定《青年集体交友活动服务规范》标准</w:t>
            </w:r>
            <w:r>
              <w:rPr>
                <w:rFonts w:hint="eastAsia"/>
                <w:lang w:val="en-US" w:eastAsia="zh-CN"/>
              </w:rPr>
              <w:t>可以提高各社会团体举办的交友活动的服务质量和服务水平，提高青年此类相亲活动参与程度，一定程度上缓解青年择偶范围窄、婚恋困难的问题。</w:t>
            </w:r>
          </w:p>
          <w:p w14:paraId="4EC28FCE">
            <w:pPr>
              <w:pStyle w:val="4"/>
              <w:rPr>
                <w:rFonts w:hint="eastAsia"/>
              </w:rPr>
            </w:pPr>
            <w:r>
              <w:rPr>
                <w:rFonts w:hint="eastAsia"/>
              </w:rPr>
              <w:t>意义：</w:t>
            </w:r>
          </w:p>
          <w:p w14:paraId="076967B3">
            <w:pPr>
              <w:pStyle w:val="4"/>
              <w:rPr>
                <w:rFonts w:hint="eastAsia"/>
              </w:rPr>
            </w:pPr>
            <w:r>
              <w:rPr>
                <w:rFonts w:hint="eastAsia"/>
              </w:rPr>
              <w:t>制定《青年集体交友活动服务规范》标准的目的是为了更好的规范青年相亲交友活动，提升活动品质，为相亲交友活动的前期准备、中期执行、后期总结提供正确的工作流程和工作方法，帮助活动组织者高效、顺畅的举办相亲交友活动。</w:t>
            </w:r>
          </w:p>
          <w:p w14:paraId="2E20FBC7">
            <w:pPr>
              <w:pStyle w:val="4"/>
            </w:pPr>
            <w:r>
              <w:rPr>
                <w:rFonts w:hint="eastAsia"/>
              </w:rPr>
              <w:t>同时，通过《青年集体交友活动服务规范》标准的实施，将为安徽省内青年相亲交友活动高质量地举办提供指引，为参与的各位适婚单身青年群体提供更有品质的体验。</w:t>
            </w:r>
          </w:p>
        </w:tc>
      </w:tr>
      <w:tr w14:paraId="1DC4F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3FA45530">
            <w:pPr>
              <w:pStyle w:val="4"/>
            </w:pPr>
            <w:r>
              <w:rPr>
                <w:rFonts w:hint="eastAsia"/>
              </w:rPr>
              <w:t>3、制定标准的原则和依据，与现行法律法规、标准的关系</w:t>
            </w:r>
          </w:p>
        </w:tc>
      </w:tr>
      <w:tr w14:paraId="7AD0E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61F7EDF7">
            <w:pPr>
              <w:pStyle w:val="4"/>
              <w:rPr>
                <w:rFonts w:hint="eastAsia"/>
              </w:rPr>
            </w:pPr>
            <w:r>
              <w:rPr>
                <w:rFonts w:hint="eastAsia"/>
              </w:rPr>
              <w:t>(一)标准编制原则</w:t>
            </w:r>
          </w:p>
          <w:p w14:paraId="6E9BF2AF">
            <w:pPr>
              <w:pStyle w:val="4"/>
            </w:pPr>
            <w:r>
              <w:rPr>
                <w:rFonts w:hint="eastAsia"/>
              </w:rPr>
              <w:t>本标准在制定时主要遵循以下原则:</w:t>
            </w:r>
          </w:p>
          <w:p w14:paraId="075D8741">
            <w:pPr>
              <w:pStyle w:val="4"/>
              <w:rPr>
                <w:rFonts w:hint="eastAsia"/>
              </w:rPr>
            </w:pPr>
            <w:r>
              <w:rPr>
                <w:rFonts w:hint="eastAsia"/>
              </w:rPr>
              <w:t>1.依法原则</w:t>
            </w:r>
          </w:p>
          <w:p w14:paraId="6D274BA2">
            <w:pPr>
              <w:pStyle w:val="4"/>
              <w:rPr>
                <w:rFonts w:hint="eastAsia"/>
              </w:rPr>
            </w:pPr>
            <w:r>
              <w:rPr>
                <w:rFonts w:hint="eastAsia"/>
              </w:rPr>
              <w:t>标准的内容不应与现行的法律、法规相冲突。本标准在制定过程中，对涉及青年交友</w:t>
            </w:r>
            <w:r>
              <w:rPr>
                <w:rFonts w:hint="eastAsia"/>
                <w:lang w:val="en-US" w:eastAsia="zh-CN"/>
              </w:rPr>
              <w:t>婚恋</w:t>
            </w:r>
            <w:r>
              <w:rPr>
                <w:rFonts w:hint="eastAsia"/>
              </w:rPr>
              <w:t>方面的相关法律、法规和规范性文件进行了充分研究，并严格遵守其规定。</w:t>
            </w:r>
          </w:p>
          <w:p w14:paraId="71B7643A">
            <w:pPr>
              <w:pStyle w:val="4"/>
              <w:rPr>
                <w:rFonts w:hint="eastAsia"/>
              </w:rPr>
            </w:pPr>
            <w:r>
              <w:rPr>
                <w:rFonts w:hint="eastAsia"/>
              </w:rPr>
              <w:t>2.科学性</w:t>
            </w:r>
          </w:p>
          <w:p w14:paraId="1A2FB623">
            <w:pPr>
              <w:pStyle w:val="4"/>
              <w:rPr>
                <w:rFonts w:hint="eastAsia"/>
              </w:rPr>
            </w:pPr>
            <w:r>
              <w:rPr>
                <w:rFonts w:hint="eastAsia"/>
              </w:rPr>
              <w:t>标准的科学性包括技术内容的科学性和研制过程的科学性两个方面。标准的制定</w:t>
            </w:r>
            <w:r>
              <w:rPr>
                <w:rFonts w:hint="eastAsia"/>
                <w:lang w:val="en-US" w:eastAsia="zh-CN"/>
              </w:rPr>
              <w:t>是</w:t>
            </w:r>
            <w:r>
              <w:rPr>
                <w:rFonts w:hint="eastAsia"/>
              </w:rPr>
              <w:t>以</w:t>
            </w:r>
            <w:r>
              <w:rPr>
                <w:rFonts w:hint="eastAsia"/>
                <w:lang w:val="en-US" w:eastAsia="zh-CN"/>
              </w:rPr>
              <w:t>省内举办的</w:t>
            </w:r>
            <w:r>
              <w:rPr>
                <w:rFonts w:hint="eastAsia"/>
              </w:rPr>
              <w:t>青年交</w:t>
            </w:r>
            <w:r>
              <w:rPr>
                <w:rFonts w:hint="eastAsia"/>
                <w:lang w:val="en-US" w:eastAsia="zh-CN"/>
              </w:rPr>
              <w:t>友活动</w:t>
            </w:r>
            <w:r>
              <w:rPr>
                <w:rFonts w:hint="eastAsia"/>
              </w:rPr>
              <w:t>为基础，对青年交友</w:t>
            </w:r>
            <w:r>
              <w:rPr>
                <w:rFonts w:hint="eastAsia"/>
                <w:lang w:val="en-US" w:eastAsia="zh-CN"/>
              </w:rPr>
              <w:t>活动的整个过程</w:t>
            </w:r>
            <w:r>
              <w:rPr>
                <w:rFonts w:hint="eastAsia"/>
              </w:rPr>
              <w:t>进行总结、归纳，确保各项条款符合青年交友的特性与</w:t>
            </w:r>
            <w:r>
              <w:rPr>
                <w:rFonts w:hint="eastAsia"/>
                <w:lang w:val="en-US" w:eastAsia="zh-CN"/>
              </w:rPr>
              <w:t>要求</w:t>
            </w:r>
            <w:r>
              <w:rPr>
                <w:rFonts w:hint="eastAsia"/>
              </w:rPr>
              <w:t>，从而保证本标准技术内容的科学性。本标准的制定过程严格遵循我</w:t>
            </w:r>
            <w:r>
              <w:rPr>
                <w:rFonts w:hint="eastAsia"/>
                <w:lang w:val="en-US" w:eastAsia="zh-CN"/>
              </w:rPr>
              <w:t>省</w:t>
            </w:r>
            <w:r>
              <w:rPr>
                <w:rFonts w:hint="eastAsia"/>
              </w:rPr>
              <w:t>地方标准制定程序要求，从而保证标准研制过程的科学性。</w:t>
            </w:r>
          </w:p>
          <w:p w14:paraId="5DFD9497">
            <w:pPr>
              <w:pStyle w:val="4"/>
              <w:rPr>
                <w:rFonts w:hint="eastAsia"/>
              </w:rPr>
            </w:pPr>
            <w:r>
              <w:rPr>
                <w:rFonts w:hint="eastAsia"/>
              </w:rPr>
              <w:t>3.协调性</w:t>
            </w:r>
          </w:p>
          <w:p w14:paraId="31BEC426">
            <w:pPr>
              <w:pStyle w:val="4"/>
              <w:rPr>
                <w:rFonts w:hint="eastAsia"/>
              </w:rPr>
            </w:pPr>
            <w:r>
              <w:rPr>
                <w:rFonts w:hint="eastAsia"/>
              </w:rPr>
              <w:t>本标准在制定过程中，广泛检索法律法规和各级标准，避免本标准与现行法律法规及国家、行业和安徽省地方标准间产生重复、交叉或矛盾，保证了本标准与国家、行业和安徽省地方标准之间协调一致。</w:t>
            </w:r>
          </w:p>
          <w:p w14:paraId="604F0A77">
            <w:pPr>
              <w:pStyle w:val="4"/>
              <w:rPr>
                <w:rFonts w:hint="eastAsia"/>
              </w:rPr>
            </w:pPr>
            <w:r>
              <w:rPr>
                <w:rFonts w:hint="eastAsia"/>
              </w:rPr>
              <w:t>4.规范性</w:t>
            </w:r>
          </w:p>
          <w:p w14:paraId="56D413D4">
            <w:pPr>
              <w:pStyle w:val="4"/>
              <w:rPr>
                <w:rFonts w:hint="eastAsia"/>
              </w:rPr>
            </w:pPr>
            <w:r>
              <w:rPr>
                <w:rFonts w:hint="eastAsia"/>
              </w:rPr>
              <w:t>本标准按照安徽省地方标准制定程序和GB/T1.1-2020进行编写，保证了标准在格式结构和内容等方面的规范性。</w:t>
            </w:r>
          </w:p>
          <w:p w14:paraId="6954C363">
            <w:pPr>
              <w:pStyle w:val="4"/>
              <w:rPr>
                <w:rFonts w:hint="eastAsia"/>
              </w:rPr>
            </w:pPr>
            <w:r>
              <w:rPr>
                <w:rFonts w:hint="eastAsia"/>
              </w:rPr>
              <w:t>5.适用性</w:t>
            </w:r>
          </w:p>
          <w:p w14:paraId="78A3DC58">
            <w:pPr>
              <w:pStyle w:val="4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本标准在制定过程中充分考虑各条款的设置</w:t>
            </w:r>
            <w:r>
              <w:rPr>
                <w:rFonts w:hint="eastAsia"/>
                <w:lang w:val="en-US" w:eastAsia="zh-CN"/>
              </w:rPr>
              <w:t>应便于使用者使用，条款编制简单、清晰、明了。</w:t>
            </w:r>
          </w:p>
          <w:p w14:paraId="04ED2B8B">
            <w:pPr>
              <w:pStyle w:val="4"/>
              <w:rPr>
                <w:rFonts w:hint="eastAsia"/>
              </w:rPr>
            </w:pPr>
            <w:r>
              <w:rPr>
                <w:rFonts w:hint="eastAsia"/>
              </w:rPr>
              <w:t>(二)标准主要内容的依据</w:t>
            </w:r>
          </w:p>
          <w:p w14:paraId="76E4CBE2">
            <w:pPr>
              <w:pStyle w:val="4"/>
              <w:rPr>
                <w:rFonts w:hint="eastAsia"/>
              </w:rPr>
            </w:pPr>
            <w:r>
              <w:rPr>
                <w:rFonts w:hint="eastAsia"/>
              </w:rPr>
              <w:t>(1)本标准中</w:t>
            </w:r>
            <w:r>
              <w:rPr>
                <w:rFonts w:hint="eastAsia"/>
                <w:lang w:val="en-US" w:eastAsia="zh-CN"/>
              </w:rPr>
              <w:t>各要素</w:t>
            </w:r>
            <w:r>
              <w:rPr>
                <w:rFonts w:hint="eastAsia"/>
              </w:rPr>
              <w:t>的确定与标准内容的编制，结合了</w:t>
            </w:r>
            <w:r>
              <w:rPr>
                <w:rFonts w:hint="eastAsia"/>
                <w:lang w:val="en-US" w:eastAsia="zh-CN"/>
              </w:rPr>
              <w:t>活动举办</w:t>
            </w:r>
            <w:r>
              <w:rPr>
                <w:rFonts w:hint="eastAsia"/>
              </w:rPr>
              <w:t>的</w:t>
            </w:r>
            <w:r>
              <w:rPr>
                <w:rFonts w:hint="eastAsia"/>
                <w:lang w:val="en-US" w:eastAsia="zh-CN"/>
              </w:rPr>
              <w:t>实际情况和注意事项</w:t>
            </w:r>
            <w:r>
              <w:rPr>
                <w:rFonts w:hint="eastAsia"/>
              </w:rPr>
              <w:t>。</w:t>
            </w:r>
          </w:p>
          <w:p w14:paraId="034D62D4">
            <w:pPr>
              <w:pStyle w:val="4"/>
              <w:rPr>
                <w:rFonts w:hint="eastAsia"/>
              </w:rPr>
            </w:pPr>
            <w:r>
              <w:rPr>
                <w:rFonts w:hint="eastAsia"/>
              </w:rPr>
              <w:t>(2)本标准根据GB/T1.1-2020《标准化工作导则第1部分:标准化文件的结构和起草规则》的规定起草。</w:t>
            </w:r>
          </w:p>
          <w:p w14:paraId="6EDAED3A">
            <w:pPr>
              <w:pStyle w:val="4"/>
              <w:rPr>
                <w:rFonts w:hint="eastAsia"/>
              </w:rPr>
            </w:pPr>
            <w:r>
              <w:rPr>
                <w:rFonts w:hint="eastAsia"/>
              </w:rPr>
              <w:t>(三)与现有法律法规、相关标准的关系</w:t>
            </w:r>
          </w:p>
          <w:p w14:paraId="073EA9DF">
            <w:pPr>
              <w:pStyle w:val="4"/>
            </w:pPr>
            <w:r>
              <w:rPr>
                <w:rFonts w:hint="eastAsia"/>
              </w:rPr>
              <w:t>本标准符合现行法律、法规要求，与强制性(国家、行业、地方)标准协调一致、无冲突和矛盾。</w:t>
            </w:r>
          </w:p>
        </w:tc>
      </w:tr>
      <w:tr w14:paraId="72204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4892C266">
            <w:pPr>
              <w:pStyle w:val="4"/>
            </w:pPr>
            <w:r>
              <w:rPr>
                <w:rFonts w:hint="eastAsia"/>
              </w:rPr>
              <w:t>4、主要条款的说明，主要技术指标、参数、试验验证的论述（</w:t>
            </w:r>
            <w:r>
              <w:rPr>
                <w:rFonts w:hint="eastAsia"/>
                <w:b/>
              </w:rPr>
              <w:t>详细说明</w:t>
            </w:r>
            <w:r>
              <w:rPr>
                <w:rFonts w:hint="eastAsia"/>
              </w:rPr>
              <w:t>）</w:t>
            </w:r>
          </w:p>
        </w:tc>
      </w:tr>
      <w:tr w14:paraId="1D388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6DA316D2">
            <w:pPr>
              <w:pStyle w:val="4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本标准分为七章，规定了青年集体交友活动的基本要求、活动准备、现场服务、服务评价与改进。</w:t>
            </w:r>
          </w:p>
          <w:p w14:paraId="2201D655">
            <w:pPr>
              <w:pStyle w:val="4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主要技术内容如下：</w:t>
            </w:r>
          </w:p>
          <w:p w14:paraId="68F1753A">
            <w:pPr>
              <w:pStyle w:val="4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规定了基本要求，包括服务机构的要求和服务人员的要求。</w:t>
            </w:r>
          </w:p>
          <w:p w14:paraId="0A887F00">
            <w:pPr>
              <w:pStyle w:val="4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规定了活动准备，包括制定方案、确定场地、信息发布、活动报名、物资布置等方面。</w:t>
            </w:r>
          </w:p>
          <w:p w14:paraId="3BF67760">
            <w:pPr>
              <w:pStyle w:val="4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规定了现场服务，包括签到、交友</w:t>
            </w:r>
            <w:bookmarkStart w:id="30" w:name="_GoBack"/>
            <w:bookmarkEnd w:id="30"/>
            <w:r>
              <w:rPr>
                <w:rFonts w:hint="eastAsia"/>
                <w:lang w:val="en-US" w:eastAsia="zh-CN"/>
              </w:rPr>
              <w:t>、撤场等方面。</w:t>
            </w:r>
          </w:p>
          <w:p w14:paraId="21D71DA6">
            <w:pPr>
              <w:pStyle w:val="4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规定了服务评价与改进，包括建立评估机制、开展各种形式的评价及制定改进方案。</w:t>
            </w:r>
          </w:p>
        </w:tc>
      </w:tr>
      <w:tr w14:paraId="60C84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0E422F91">
            <w:pPr>
              <w:pStyle w:val="4"/>
            </w:pPr>
            <w:bookmarkStart w:id="0" w:name="_Toc465074266"/>
            <w:bookmarkStart w:id="1" w:name="_Toc464905613"/>
            <w:bookmarkStart w:id="2" w:name="_Toc464905809"/>
            <w:bookmarkStart w:id="3" w:name="_Toc464902852"/>
            <w:bookmarkStart w:id="4" w:name="_Toc464905557"/>
            <w:r>
              <w:rPr>
                <w:rFonts w:hint="eastAsia"/>
              </w:rPr>
              <w:t>5、标准中如果涉及专利，应有明确的知识产权说明</w:t>
            </w:r>
            <w:bookmarkEnd w:id="0"/>
            <w:bookmarkEnd w:id="1"/>
            <w:bookmarkEnd w:id="2"/>
            <w:bookmarkEnd w:id="3"/>
            <w:bookmarkEnd w:id="4"/>
          </w:p>
        </w:tc>
      </w:tr>
      <w:tr w14:paraId="781A5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7853E931">
            <w:pPr>
              <w:pStyle w:val="4"/>
            </w:pPr>
            <w:r>
              <w:rPr>
                <w:rFonts w:hint="eastAsia"/>
              </w:rPr>
              <w:t>无。</w:t>
            </w:r>
          </w:p>
        </w:tc>
      </w:tr>
      <w:tr w14:paraId="7FA6B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0D3DE40B">
            <w:pPr>
              <w:pStyle w:val="4"/>
            </w:pPr>
            <w:bookmarkStart w:id="5" w:name="_Toc464902853"/>
            <w:bookmarkStart w:id="6" w:name="_Toc465074267"/>
            <w:bookmarkStart w:id="7" w:name="_Toc464905614"/>
            <w:bookmarkStart w:id="8" w:name="_Toc464905558"/>
            <w:bookmarkStart w:id="9" w:name="_Toc464905810"/>
            <w:r>
              <w:rPr>
                <w:rFonts w:hint="eastAsia"/>
              </w:rPr>
              <w:t>6、采用国际标准或国外先进标准的，说明采标程度，以及国内外同类标准水平的对比情况</w:t>
            </w:r>
            <w:bookmarkEnd w:id="5"/>
            <w:bookmarkEnd w:id="6"/>
            <w:bookmarkEnd w:id="7"/>
            <w:bookmarkEnd w:id="8"/>
            <w:bookmarkEnd w:id="9"/>
          </w:p>
        </w:tc>
      </w:tr>
      <w:tr w14:paraId="56E0B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6B2E4A6E">
            <w:pPr>
              <w:pStyle w:val="4"/>
            </w:pPr>
            <w:r>
              <w:rPr>
                <w:rFonts w:hint="eastAsia"/>
              </w:rPr>
              <w:t>无。</w:t>
            </w:r>
          </w:p>
        </w:tc>
      </w:tr>
      <w:tr w14:paraId="714D6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4D29C885">
            <w:pPr>
              <w:pStyle w:val="4"/>
            </w:pPr>
            <w:bookmarkStart w:id="10" w:name="_Toc464905559"/>
            <w:bookmarkStart w:id="11" w:name="_Toc464905615"/>
            <w:bookmarkStart w:id="12" w:name="_Toc464902854"/>
            <w:bookmarkStart w:id="13" w:name="_Toc464905811"/>
            <w:bookmarkStart w:id="14" w:name="_Toc465074268"/>
            <w:r>
              <w:rPr>
                <w:rFonts w:hint="eastAsia"/>
              </w:rPr>
              <w:t>7、重大分歧意见的处理经过和依据</w:t>
            </w:r>
            <w:bookmarkEnd w:id="10"/>
            <w:bookmarkEnd w:id="11"/>
            <w:bookmarkEnd w:id="12"/>
            <w:bookmarkEnd w:id="13"/>
            <w:bookmarkEnd w:id="14"/>
          </w:p>
        </w:tc>
      </w:tr>
      <w:tr w14:paraId="53840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03822CDE">
            <w:pPr>
              <w:pStyle w:val="4"/>
            </w:pPr>
            <w:r>
              <w:rPr>
                <w:rFonts w:hint="eastAsia"/>
              </w:rPr>
              <w:t>无。</w:t>
            </w:r>
          </w:p>
        </w:tc>
      </w:tr>
      <w:tr w14:paraId="5CE2F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6A4FBEC2">
            <w:pPr>
              <w:pStyle w:val="4"/>
            </w:pPr>
            <w:bookmarkStart w:id="15" w:name="_Toc464905812"/>
            <w:bookmarkStart w:id="16" w:name="_Toc464902855"/>
            <w:bookmarkStart w:id="17" w:name="_Toc464905560"/>
            <w:bookmarkStart w:id="18" w:name="_Toc464905616"/>
            <w:bookmarkStart w:id="19" w:name="_Toc465074269"/>
            <w:r>
              <w:rPr>
                <w:rFonts w:hint="eastAsia"/>
              </w:rPr>
              <w:t>8、贯彻标准的要求和措施建议（包括组织措施、技术措施、过渡办法、实施日期等）</w:t>
            </w:r>
            <w:bookmarkEnd w:id="15"/>
            <w:bookmarkEnd w:id="16"/>
            <w:bookmarkEnd w:id="17"/>
            <w:bookmarkEnd w:id="18"/>
            <w:bookmarkEnd w:id="19"/>
          </w:p>
        </w:tc>
      </w:tr>
      <w:tr w14:paraId="2D139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27F57F91">
            <w:pPr>
              <w:pStyle w:val="4"/>
              <w:rPr>
                <w:rFonts w:hint="eastAsia"/>
              </w:rPr>
            </w:pPr>
            <w:r>
              <w:rPr>
                <w:rFonts w:hint="eastAsia"/>
              </w:rPr>
              <w:t>组织措施:</w:t>
            </w:r>
          </w:p>
          <w:p w14:paraId="437AA8A0">
            <w:pPr>
              <w:pStyle w:val="4"/>
              <w:rPr>
                <w:rFonts w:hint="eastAsia"/>
              </w:rPr>
            </w:pPr>
            <w:r>
              <w:rPr>
                <w:rFonts w:hint="eastAsia"/>
              </w:rPr>
              <w:t>建议标准批准发布后，在省市场监督管理局和省民政厅的部署下，配合开展标准的宣贯培训工作，积极推动标准实施和应用。</w:t>
            </w:r>
          </w:p>
          <w:p w14:paraId="79221EA1">
            <w:pPr>
              <w:pStyle w:val="4"/>
              <w:rPr>
                <w:rFonts w:hint="eastAsia"/>
              </w:rPr>
            </w:pPr>
            <w:r>
              <w:rPr>
                <w:rFonts w:hint="eastAsia"/>
              </w:rPr>
              <w:t>技术措施:</w:t>
            </w:r>
          </w:p>
          <w:p w14:paraId="04EFF71D">
            <w:pPr>
              <w:pStyle w:val="4"/>
              <w:rPr>
                <w:rFonts w:hint="eastAsia"/>
              </w:rPr>
            </w:pPr>
            <w:r>
              <w:rPr>
                <w:rFonts w:hint="eastAsia"/>
              </w:rPr>
              <w:t>通过标准的实施、监督、评价和改进活动，推动标准有效运用。</w:t>
            </w:r>
          </w:p>
          <w:p w14:paraId="221E37BC">
            <w:pPr>
              <w:pStyle w:val="4"/>
              <w:rPr>
                <w:rFonts w:hint="eastAsia"/>
              </w:rPr>
            </w:pPr>
            <w:r>
              <w:rPr>
                <w:rFonts w:hint="eastAsia"/>
              </w:rPr>
              <w:t>过渡办法:</w:t>
            </w:r>
          </w:p>
          <w:p w14:paraId="3D8D6960">
            <w:pPr>
              <w:pStyle w:val="4"/>
              <w:rPr>
                <w:rFonts w:hint="eastAsia"/>
              </w:rPr>
            </w:pPr>
            <w:r>
              <w:rPr>
                <w:rFonts w:hint="eastAsia"/>
              </w:rPr>
              <w:t>由相关主管部门联合各级相关部门及全省范围内的</w:t>
            </w:r>
            <w:r>
              <w:rPr>
                <w:rFonts w:hint="eastAsia"/>
                <w:lang w:val="en-US" w:eastAsia="zh-CN"/>
              </w:rPr>
              <w:t>社会团体</w:t>
            </w:r>
            <w:r>
              <w:rPr>
                <w:rFonts w:hint="eastAsia"/>
              </w:rPr>
              <w:t>开展交流活动，并给予不少于1个月的过渡期。</w:t>
            </w:r>
          </w:p>
          <w:p w14:paraId="33CC0C0F">
            <w:pPr>
              <w:pStyle w:val="4"/>
              <w:rPr>
                <w:rFonts w:hint="eastAsia"/>
              </w:rPr>
            </w:pPr>
            <w:r>
              <w:rPr>
                <w:rFonts w:hint="eastAsia"/>
              </w:rPr>
              <w:t>实施日期:</w:t>
            </w:r>
          </w:p>
          <w:p w14:paraId="73F940A7">
            <w:pPr>
              <w:pStyle w:val="4"/>
            </w:pPr>
            <w:r>
              <w:rPr>
                <w:rFonts w:hint="eastAsia"/>
                <w:lang w:val="en-US" w:eastAsia="zh-CN"/>
              </w:rPr>
              <w:t>建议标准批准发布后一个月内进行实施。</w:t>
            </w:r>
          </w:p>
        </w:tc>
      </w:tr>
      <w:tr w14:paraId="4DC53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06B1395B">
            <w:pPr>
              <w:pStyle w:val="4"/>
            </w:pPr>
            <w:bookmarkStart w:id="20" w:name="_Toc465074270"/>
            <w:bookmarkStart w:id="21" w:name="_Toc464905561"/>
            <w:bookmarkStart w:id="22" w:name="_Toc464902856"/>
            <w:bookmarkStart w:id="23" w:name="_Toc464905617"/>
            <w:bookmarkStart w:id="24" w:name="_Toc464905813"/>
            <w:r>
              <w:rPr>
                <w:rFonts w:hint="eastAsia"/>
              </w:rPr>
              <w:t>9、废止现行相关标准的建议</w:t>
            </w:r>
            <w:bookmarkEnd w:id="20"/>
            <w:bookmarkEnd w:id="21"/>
            <w:bookmarkEnd w:id="22"/>
            <w:bookmarkEnd w:id="23"/>
            <w:bookmarkEnd w:id="24"/>
          </w:p>
        </w:tc>
      </w:tr>
      <w:tr w14:paraId="4A6AB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620FCC88">
            <w:pPr>
              <w:pStyle w:val="4"/>
            </w:pPr>
            <w:r>
              <w:rPr>
                <w:rFonts w:hint="eastAsia"/>
              </w:rPr>
              <w:t>无。</w:t>
            </w:r>
          </w:p>
        </w:tc>
      </w:tr>
      <w:tr w14:paraId="5C431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4B11527D">
            <w:pPr>
              <w:pStyle w:val="4"/>
            </w:pPr>
            <w:bookmarkStart w:id="25" w:name="_Toc464902857"/>
            <w:bookmarkStart w:id="26" w:name="_Toc465074271"/>
            <w:bookmarkStart w:id="27" w:name="_Toc464905562"/>
            <w:bookmarkStart w:id="28" w:name="_Toc464905618"/>
            <w:bookmarkStart w:id="29" w:name="_Toc464905814"/>
            <w:r>
              <w:rPr>
                <w:rFonts w:hint="eastAsia"/>
              </w:rPr>
              <w:t>10、其它应予说明的事项</w:t>
            </w:r>
            <w:bookmarkEnd w:id="25"/>
            <w:bookmarkEnd w:id="26"/>
            <w:bookmarkEnd w:id="27"/>
            <w:bookmarkEnd w:id="28"/>
            <w:bookmarkEnd w:id="29"/>
          </w:p>
        </w:tc>
      </w:tr>
      <w:tr w14:paraId="54083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75AE8EAB">
            <w:pPr>
              <w:pStyle w:val="4"/>
            </w:pPr>
            <w:r>
              <w:rPr>
                <w:rFonts w:hint="eastAsia"/>
              </w:rPr>
              <w:t>无。</w:t>
            </w:r>
          </w:p>
        </w:tc>
      </w:tr>
    </w:tbl>
    <w:p w14:paraId="658FB890">
      <w:pPr>
        <w:pStyle w:val="5"/>
      </w:pPr>
      <w:r>
        <w:rPr>
          <w:rFonts w:hint="eastAsia"/>
        </w:rPr>
        <w:t>没有的请填写 “无”。</w:t>
      </w:r>
    </w:p>
    <w:p w14:paraId="31EFD90A">
      <w:pPr>
        <w:pStyle w:val="6"/>
        <w:ind w:firstLine="420"/>
      </w:pPr>
    </w:p>
    <w:p w14:paraId="41553534"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2EFFB3">
    <w:pPr>
      <w:pStyle w:val="9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8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FCB25D"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DBF04F4"/>
    <w:multiLevelType w:val="multilevel"/>
    <w:tmpl w:val="6DBF04F4"/>
    <w:lvl w:ilvl="0" w:tentative="0">
      <w:start w:val="1"/>
      <w:numFmt w:val="none"/>
      <w:pStyle w:val="5"/>
      <w:lvlText w:val="%1注："/>
      <w:lvlJc w:val="left"/>
      <w:pPr>
        <w:ind w:left="737" w:hanging="374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1OGQ0ZGQyNGIyMjI0NWM1OWM1MTU4NGI2ZTUzZTcifQ=="/>
  </w:docVars>
  <w:rsids>
    <w:rsidRoot w:val="008043B8"/>
    <w:rsid w:val="001A739E"/>
    <w:rsid w:val="00213783"/>
    <w:rsid w:val="006C51ED"/>
    <w:rsid w:val="008043B8"/>
    <w:rsid w:val="00B72AC4"/>
    <w:rsid w:val="0ED71555"/>
    <w:rsid w:val="0F7C3099"/>
    <w:rsid w:val="118E356C"/>
    <w:rsid w:val="1217557B"/>
    <w:rsid w:val="16321697"/>
    <w:rsid w:val="17227B15"/>
    <w:rsid w:val="1E2F7187"/>
    <w:rsid w:val="232034D0"/>
    <w:rsid w:val="273F52C1"/>
    <w:rsid w:val="3A93580E"/>
    <w:rsid w:val="47C27E5E"/>
    <w:rsid w:val="58BA48D8"/>
    <w:rsid w:val="5B6B4A53"/>
    <w:rsid w:val="6FDC440C"/>
    <w:rsid w:val="74AC4202"/>
    <w:rsid w:val="7D952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spacing w:line="400" w:lineRule="exact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段"/>
    <w:autoRedefine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line="360" w:lineRule="auto"/>
      <w:ind w:firstLine="420" w:firstLineChars="200"/>
      <w:contextualSpacing/>
      <w:jc w:val="both"/>
    </w:pPr>
    <w:rPr>
      <w:rFonts w:ascii="宋体" w:hAnsi="宋体" w:eastAsia="宋体" w:cs="Times New Roman"/>
      <w:sz w:val="21"/>
      <w:szCs w:val="21"/>
      <w:lang w:val="en-US" w:eastAsia="zh-CN" w:bidi="ar-SA"/>
    </w:rPr>
  </w:style>
  <w:style w:type="paragraph" w:customStyle="1" w:styleId="5">
    <w:name w:val="标准文件_注："/>
    <w:next w:val="6"/>
    <w:autoRedefine/>
    <w:qFormat/>
    <w:uiPriority w:val="0"/>
    <w:pPr>
      <w:widowControl w:val="0"/>
      <w:numPr>
        <w:ilvl w:val="0"/>
        <w:numId w:val="1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6">
    <w:name w:val="标准文件_段"/>
    <w:autoRedefine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7">
    <w:name w:val="标准文件_页眉奇数页"/>
    <w:next w:val="1"/>
    <w:autoRedefine/>
    <w:qFormat/>
    <w:uiPriority w:val="0"/>
    <w:pPr>
      <w:tabs>
        <w:tab w:val="center" w:pos="4154"/>
        <w:tab w:val="right" w:pos="8306"/>
      </w:tabs>
      <w:spacing w:after="120"/>
      <w:jc w:val="right"/>
    </w:pPr>
    <w:rPr>
      <w:rFonts w:ascii="黑体" w:hAnsi="宋体" w:eastAsia="黑体" w:cs="Times New Roman"/>
      <w:sz w:val="21"/>
      <w:lang w:val="en-US" w:eastAsia="zh-CN" w:bidi="ar-SA"/>
    </w:rPr>
  </w:style>
  <w:style w:type="paragraph" w:customStyle="1" w:styleId="8">
    <w:name w:val="标准文件_页眉偶数页"/>
    <w:basedOn w:val="7"/>
    <w:next w:val="1"/>
    <w:autoRedefine/>
    <w:qFormat/>
    <w:uiPriority w:val="0"/>
    <w:pPr>
      <w:jc w:val="left"/>
    </w:pPr>
  </w:style>
  <w:style w:type="paragraph" w:customStyle="1" w:styleId="9">
    <w:name w:val="标准文件_页脚奇数页"/>
    <w:autoRedefine/>
    <w:qFormat/>
    <w:uiPriority w:val="0"/>
    <w:pPr>
      <w:ind w:right="227"/>
      <w:jc w:val="right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0">
    <w:name w:val="标准文件_页脚偶数页"/>
    <w:autoRedefine/>
    <w:qFormat/>
    <w:uiPriority w:val="0"/>
    <w:pPr>
      <w:ind w:left="227"/>
    </w:pPr>
    <w:rPr>
      <w:rFonts w:ascii="宋体" w:hAnsi="Times New Roman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2603</Words>
  <Characters>2746</Characters>
  <Lines>16</Lines>
  <Paragraphs>4</Paragraphs>
  <TotalTime>0</TotalTime>
  <ScaleCrop>false</ScaleCrop>
  <LinksUpToDate>false</LinksUpToDate>
  <CharactersWithSpaces>2750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2024-03-27T03:46:00Z</dcterms:created>
  <dc:creator>xiao'mi'wu</dc:creator>
  <cp:lastModifiedBy>周涛宏</cp:lastModifiedBy>
  <dcterms:modified xsi:type="dcterms:W3CDTF">2024-07-03T06:32:38Z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29AD1AFF2B51420B9C21C4738CC288AC_12</vt:lpwstr>
  </property>
</Properties>
</file>