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val="0"/>
        <w:snapToGrid w:val="0"/>
        <w:spacing w:before="0" w:line="336" w:lineRule="auto"/>
        <w:ind w:left="0"/>
        <w:jc w:val="left"/>
        <w:textAlignment w:val="baseline"/>
        <w:rPr>
          <w:rFonts w:ascii="黑体" w:hAnsi="黑体" w:eastAsia="黑体" w:cs="黑体"/>
          <w:snapToGrid w:val="0"/>
          <w:color w:val="000000"/>
          <w:spacing w:val="0"/>
          <w:kern w:val="0"/>
          <w:sz w:val="31"/>
          <w:szCs w:val="31"/>
          <w:lang w:eastAsia="zh-CN"/>
        </w:rPr>
      </w:pPr>
      <w:r>
        <w:rPr>
          <w:rFonts w:ascii="黑体" w:hAnsi="黑体" w:eastAsia="黑体" w:cs="黑体"/>
          <w:snapToGrid w:val="0"/>
          <w:color w:val="000000"/>
          <w:spacing w:val="0"/>
          <w:kern w:val="0"/>
          <w:sz w:val="31"/>
          <w:szCs w:val="31"/>
          <w:lang w:eastAsia="zh-CN"/>
        </w:rPr>
        <w:t>附件1</w:t>
      </w:r>
    </w:p>
    <w:p>
      <w:pPr>
        <w:keepNext w:val="0"/>
        <w:keepLines w:val="0"/>
        <w:pageBreakBefore w:val="0"/>
        <w:widowControl w:val="0"/>
        <w:kinsoku/>
        <w:wordWrap/>
        <w:overflowPunct/>
        <w:topLinePunct w:val="0"/>
        <w:autoSpaceDE/>
        <w:autoSpaceDN/>
        <w:bidi w:val="0"/>
        <w:adjustRightInd w:val="0"/>
        <w:snapToGrid w:val="0"/>
        <w:spacing w:before="0" w:line="240" w:lineRule="auto"/>
        <w:ind w:left="0"/>
        <w:jc w:val="center"/>
        <w:textAlignment w:val="baseline"/>
        <w:rPr>
          <w:rFonts w:hint="eastAsia" w:ascii="方正小标宋_GBK" w:hAnsi="方正小标宋_GBK" w:eastAsia="方正小标宋_GBK" w:cs="方正小标宋_GBK"/>
          <w:snapToGrid w:val="0"/>
          <w:color w:val="000000"/>
          <w:spacing w:val="0"/>
          <w:kern w:val="0"/>
          <w:sz w:val="44"/>
          <w:szCs w:val="44"/>
          <w:lang w:eastAsia="zh-CN"/>
        </w:rPr>
      </w:pPr>
      <w:r>
        <w:rPr>
          <w:rFonts w:hint="eastAsia" w:ascii="方正小标宋_GBK" w:hAnsi="方正小标宋_GBK" w:eastAsia="方正小标宋_GBK" w:cs="方正小标宋_GBK"/>
          <w:snapToGrid w:val="0"/>
          <w:color w:val="000000"/>
          <w:spacing w:val="0"/>
          <w:kern w:val="0"/>
          <w:sz w:val="44"/>
          <w:szCs w:val="44"/>
          <w:lang w:eastAsia="zh-CN"/>
        </w:rPr>
        <w:t>海南省听力障碍患儿干预项目诊断</w:t>
      </w:r>
    </w:p>
    <w:p>
      <w:pPr>
        <w:keepNext w:val="0"/>
        <w:keepLines w:val="0"/>
        <w:pageBreakBefore w:val="0"/>
        <w:widowControl w:val="0"/>
        <w:kinsoku/>
        <w:wordWrap/>
        <w:overflowPunct/>
        <w:topLinePunct w:val="0"/>
        <w:autoSpaceDE/>
        <w:autoSpaceDN/>
        <w:bidi w:val="0"/>
        <w:adjustRightInd w:val="0"/>
        <w:snapToGrid w:val="0"/>
        <w:spacing w:before="0" w:line="240" w:lineRule="auto"/>
        <w:ind w:left="0"/>
        <w:jc w:val="center"/>
        <w:textAlignment w:val="baseline"/>
        <w:rPr>
          <w:rFonts w:hint="eastAsia" w:ascii="方正小标宋_GBK" w:hAnsi="方正小标宋_GBK" w:eastAsia="方正小标宋_GBK" w:cs="方正小标宋_GBK"/>
          <w:snapToGrid w:val="0"/>
          <w:color w:val="000000"/>
          <w:spacing w:val="0"/>
          <w:kern w:val="0"/>
          <w:sz w:val="44"/>
          <w:szCs w:val="44"/>
          <w:lang w:eastAsia="zh-CN"/>
        </w:rPr>
      </w:pPr>
      <w:r>
        <w:rPr>
          <w:rFonts w:hint="eastAsia" w:ascii="方正小标宋_GBK" w:hAnsi="方正小标宋_GBK" w:eastAsia="方正小标宋_GBK" w:cs="方正小标宋_GBK"/>
          <w:snapToGrid w:val="0"/>
          <w:color w:val="000000"/>
          <w:spacing w:val="0"/>
          <w:kern w:val="0"/>
          <w:sz w:val="44"/>
          <w:szCs w:val="44"/>
          <w:lang w:eastAsia="zh-CN"/>
        </w:rPr>
        <w:t>服务纳入与排除标准</w:t>
      </w:r>
    </w:p>
    <w:p>
      <w:pPr>
        <w:kinsoku/>
        <w:autoSpaceDE/>
        <w:autoSpaceDN/>
        <w:adjustRightInd w:val="0"/>
        <w:snapToGrid w:val="0"/>
        <w:spacing w:before="0" w:line="336" w:lineRule="auto"/>
        <w:ind w:left="0" w:firstLine="633" w:firstLineChars="198"/>
        <w:textAlignment w:val="baseline"/>
        <w:rPr>
          <w:rFonts w:ascii="仿宋" w:hAnsi="仿宋" w:eastAsia="仿宋" w:cs="仿宋"/>
          <w:snapToGrid w:val="0"/>
          <w:color w:val="000000"/>
          <w:spacing w:val="0"/>
          <w:sz w:val="32"/>
          <w:szCs w:val="32"/>
          <w:lang w:val="en-US" w:eastAsia="zh-CN" w:bidi="ar-SA"/>
        </w:rPr>
      </w:pPr>
    </w:p>
    <w:p>
      <w:pPr>
        <w:kinsoku/>
        <w:autoSpaceDE/>
        <w:autoSpaceDN/>
        <w:adjustRightInd w:val="0"/>
        <w:snapToGrid w:val="0"/>
        <w:spacing w:before="0" w:line="336" w:lineRule="auto"/>
        <w:ind w:left="0" w:firstLine="633" w:firstLineChars="198"/>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0"/>
          <w:sz w:val="32"/>
          <w:szCs w:val="32"/>
          <w:lang w:val="en-US" w:eastAsia="zh-CN" w:bidi="ar-SA"/>
        </w:rPr>
        <w:t>病例纳入标准：</w:t>
      </w:r>
    </w:p>
    <w:p>
      <w:pPr>
        <w:keepNext w:val="0"/>
        <w:keepLines w:val="0"/>
        <w:pageBreakBefore w:val="0"/>
        <w:widowControl/>
        <w:kinsoku/>
        <w:wordWrap/>
        <w:overflowPunct/>
        <w:topLinePunct w:val="0"/>
        <w:autoSpaceDE/>
        <w:autoSpaceDN/>
        <w:bidi w:val="0"/>
        <w:adjustRightInd w:val="0"/>
        <w:snapToGrid w:val="0"/>
        <w:spacing w:before="0" w:line="336" w:lineRule="auto"/>
        <w:ind w:left="0" w:right="0" w:firstLine="633" w:firstLineChars="198"/>
        <w:textAlignment w:val="baseline"/>
        <w:rPr>
          <w:rFonts w:ascii="仿宋" w:hAnsi="仿宋" w:eastAsia="仿宋" w:cs="仿宋"/>
          <w:snapToGrid w:val="0"/>
          <w:color w:val="000000"/>
          <w:spacing w:val="0"/>
          <w:position w:val="0"/>
          <w:sz w:val="32"/>
          <w:szCs w:val="32"/>
          <w:lang w:val="en-US" w:eastAsia="zh-CN" w:bidi="ar-SA"/>
        </w:rPr>
      </w:pPr>
      <w:r>
        <w:rPr>
          <w:rFonts w:ascii="仿宋" w:hAnsi="仿宋" w:eastAsia="仿宋" w:cs="仿宋"/>
          <w:snapToGrid w:val="0"/>
          <w:color w:val="000000"/>
          <w:spacing w:val="0"/>
          <w:position w:val="0"/>
          <w:sz w:val="32"/>
          <w:szCs w:val="32"/>
          <w:lang w:val="en-US" w:eastAsia="zh-CN" w:bidi="ar-SA"/>
        </w:rPr>
        <w:t>1.</w:t>
      </w:r>
      <w:r>
        <w:rPr>
          <w:rFonts w:hint="default" w:ascii="仿宋" w:hAnsi="仿宋" w:eastAsia="仿宋" w:cs="仿宋"/>
          <w:snapToGrid w:val="0"/>
          <w:color w:val="000000"/>
          <w:spacing w:val="0"/>
          <w:position w:val="0"/>
          <w:sz w:val="32"/>
          <w:szCs w:val="32"/>
          <w:lang w:val="en-US" w:eastAsia="zh-CN" w:bidi="ar-SA"/>
        </w:rPr>
        <w:t>对听力筛查双侧复筛未通过者，接受进一步听力诊断且确诊双耳听力障碍者。</w:t>
      </w:r>
    </w:p>
    <w:p>
      <w:pPr>
        <w:kinsoku/>
        <w:autoSpaceDE/>
        <w:autoSpaceDN/>
        <w:adjustRightInd w:val="0"/>
        <w:snapToGrid w:val="0"/>
        <w:spacing w:before="0" w:line="336" w:lineRule="auto"/>
        <w:ind w:left="0" w:right="0" w:firstLine="633" w:firstLineChars="198"/>
        <w:textAlignment w:val="baseline"/>
        <w:rPr>
          <w:rFonts w:ascii="仿宋" w:hAnsi="仿宋" w:eastAsia="仿宋" w:cs="仿宋"/>
          <w:snapToGrid w:val="0"/>
          <w:color w:val="000000"/>
          <w:spacing w:val="0"/>
          <w:position w:val="0"/>
          <w:sz w:val="32"/>
          <w:szCs w:val="32"/>
          <w:lang w:val="en-US" w:eastAsia="zh-CN" w:bidi="ar-SA"/>
        </w:rPr>
      </w:pPr>
      <w:r>
        <w:rPr>
          <w:rFonts w:ascii="仿宋" w:hAnsi="仿宋" w:eastAsia="仿宋" w:cs="仿宋"/>
          <w:snapToGrid w:val="0"/>
          <w:color w:val="000000"/>
          <w:spacing w:val="0"/>
          <w:position w:val="0"/>
          <w:sz w:val="32"/>
          <w:szCs w:val="32"/>
          <w:lang w:val="en-US" w:eastAsia="zh-CN" w:bidi="ar-SA"/>
        </w:rPr>
        <w:t>2.其</w:t>
      </w:r>
      <w:bookmarkStart w:id="0" w:name="_GoBack"/>
      <w:bookmarkEnd w:id="0"/>
      <w:r>
        <w:rPr>
          <w:rFonts w:ascii="仿宋" w:hAnsi="仿宋" w:eastAsia="仿宋" w:cs="仿宋"/>
          <w:snapToGrid w:val="0"/>
          <w:color w:val="000000"/>
          <w:spacing w:val="0"/>
          <w:position w:val="0"/>
          <w:sz w:val="32"/>
          <w:szCs w:val="32"/>
          <w:lang w:val="en-US" w:eastAsia="zh-CN" w:bidi="ar-SA"/>
        </w:rPr>
        <w:t>他临床发现疑似</w:t>
      </w:r>
      <w:r>
        <w:rPr>
          <w:rFonts w:hint="default" w:ascii="仿宋" w:hAnsi="仿宋" w:eastAsia="仿宋" w:cs="仿宋"/>
          <w:snapToGrid w:val="0"/>
          <w:color w:val="000000"/>
          <w:spacing w:val="0"/>
          <w:position w:val="0"/>
          <w:sz w:val="32"/>
          <w:szCs w:val="32"/>
          <w:lang w:val="en-US" w:eastAsia="zh-CN" w:bidi="ar-SA"/>
        </w:rPr>
        <w:t>或迟发性</w:t>
      </w:r>
      <w:r>
        <w:rPr>
          <w:rFonts w:ascii="仿宋" w:hAnsi="仿宋" w:eastAsia="仿宋" w:cs="仿宋"/>
          <w:snapToGrid w:val="0"/>
          <w:color w:val="000000"/>
          <w:spacing w:val="0"/>
          <w:position w:val="0"/>
          <w:sz w:val="32"/>
          <w:szCs w:val="32"/>
          <w:lang w:val="en-US" w:eastAsia="zh-CN" w:bidi="ar-SA"/>
        </w:rPr>
        <w:t>双侧听力异常病例。</w:t>
      </w:r>
    </w:p>
    <w:p>
      <w:pPr>
        <w:kinsoku/>
        <w:autoSpaceDE/>
        <w:autoSpaceDN/>
        <w:adjustRightInd w:val="0"/>
        <w:snapToGrid w:val="0"/>
        <w:spacing w:before="0" w:line="336" w:lineRule="auto"/>
        <w:ind w:left="0" w:firstLine="633" w:firstLineChars="198"/>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0"/>
          <w:sz w:val="32"/>
          <w:szCs w:val="32"/>
          <w:lang w:val="en-US" w:eastAsia="zh-CN" w:bidi="ar-SA"/>
        </w:rPr>
        <w:t>病例排除标准：</w:t>
      </w:r>
    </w:p>
    <w:p>
      <w:pPr>
        <w:keepNext w:val="0"/>
        <w:keepLines w:val="0"/>
        <w:pageBreakBefore w:val="0"/>
        <w:numPr>
          <w:ilvl w:val="0"/>
          <w:numId w:val="1"/>
        </w:numPr>
        <w:kinsoku/>
        <w:wordWrap/>
        <w:overflowPunct/>
        <w:topLinePunct w:val="0"/>
        <w:autoSpaceDE/>
        <w:autoSpaceDN/>
        <w:bidi w:val="0"/>
        <w:adjustRightInd w:val="0"/>
        <w:snapToGrid w:val="0"/>
        <w:spacing w:before="0" w:line="336" w:lineRule="auto"/>
        <w:ind w:left="0" w:leftChars="0" w:firstLine="633" w:firstLineChars="198"/>
        <w:textAlignment w:val="baseline"/>
        <w:rPr>
          <w:rFonts w:ascii="仿宋" w:hAnsi="仿宋" w:eastAsia="仿宋" w:cs="仿宋"/>
          <w:snapToGrid w:val="0"/>
          <w:color w:val="000000"/>
          <w:spacing w:val="0"/>
          <w:sz w:val="32"/>
          <w:szCs w:val="32"/>
          <w:lang w:val="en-US" w:eastAsia="zh-CN" w:bidi="ar-SA"/>
        </w:rPr>
      </w:pPr>
      <w:r>
        <w:rPr>
          <w:rFonts w:ascii="仿宋" w:hAnsi="仿宋" w:eastAsia="仿宋" w:cs="仿宋"/>
          <w:snapToGrid w:val="0"/>
          <w:color w:val="000000"/>
          <w:spacing w:val="0"/>
          <w:sz w:val="32"/>
          <w:szCs w:val="32"/>
          <w:lang w:val="en-US" w:eastAsia="zh-CN" w:bidi="ar-SA"/>
        </w:rPr>
        <w:t>无语言基础的</w:t>
      </w:r>
      <w:r>
        <w:rPr>
          <w:rFonts w:hint="eastAsia" w:ascii="仿宋" w:hAnsi="仿宋" w:eastAsia="仿宋" w:cs="仿宋"/>
          <w:snapToGrid w:val="0"/>
          <w:color w:val="000000"/>
          <w:spacing w:val="0"/>
          <w:sz w:val="32"/>
          <w:szCs w:val="32"/>
          <w:lang w:val="en-US" w:eastAsia="zh-CN" w:bidi="ar-SA"/>
        </w:rPr>
        <w:t>6岁</w:t>
      </w:r>
      <w:r>
        <w:rPr>
          <w:rFonts w:ascii="仿宋" w:hAnsi="仿宋" w:eastAsia="仿宋" w:cs="仿宋"/>
          <w:snapToGrid w:val="0"/>
          <w:color w:val="000000"/>
          <w:spacing w:val="0"/>
          <w:sz w:val="32"/>
          <w:szCs w:val="32"/>
          <w:lang w:val="en-US" w:eastAsia="zh-CN" w:bidi="ar-SA"/>
        </w:rPr>
        <w:t>以上患</w:t>
      </w:r>
      <w:r>
        <w:rPr>
          <w:rFonts w:hint="eastAsia" w:ascii="仿宋" w:hAnsi="仿宋" w:eastAsia="仿宋" w:cs="仿宋"/>
          <w:snapToGrid w:val="0"/>
          <w:color w:val="000000"/>
          <w:spacing w:val="0"/>
          <w:sz w:val="32"/>
          <w:szCs w:val="32"/>
          <w:lang w:val="en-US" w:eastAsia="zh-CN" w:bidi="ar-SA"/>
        </w:rPr>
        <w:t>儿</w:t>
      </w:r>
      <w:r>
        <w:rPr>
          <w:rFonts w:ascii="仿宋" w:hAnsi="仿宋" w:eastAsia="仿宋" w:cs="仿宋"/>
          <w:snapToGrid w:val="0"/>
          <w:color w:val="000000"/>
          <w:spacing w:val="0"/>
          <w:sz w:val="32"/>
          <w:szCs w:val="32"/>
          <w:lang w:val="en-US" w:eastAsia="zh-CN" w:bidi="ar-SA"/>
        </w:rPr>
        <w:t>；</w:t>
      </w:r>
    </w:p>
    <w:p>
      <w:pPr>
        <w:keepNext w:val="0"/>
        <w:keepLines w:val="0"/>
        <w:pageBreakBefore w:val="0"/>
        <w:numPr>
          <w:ilvl w:val="0"/>
          <w:numId w:val="1"/>
        </w:numPr>
        <w:kinsoku/>
        <w:wordWrap/>
        <w:overflowPunct/>
        <w:topLinePunct w:val="0"/>
        <w:autoSpaceDE/>
        <w:autoSpaceDN/>
        <w:bidi w:val="0"/>
        <w:adjustRightInd w:val="0"/>
        <w:snapToGrid w:val="0"/>
        <w:spacing w:before="0" w:line="336" w:lineRule="auto"/>
        <w:ind w:left="0" w:leftChars="0" w:firstLine="633" w:firstLineChars="198"/>
        <w:textAlignment w:val="baseline"/>
        <w:rPr>
          <w:rFonts w:hint="eastAsia" w:ascii="仿宋" w:hAnsi="仿宋" w:eastAsia="仿宋" w:cs="仿宋"/>
          <w:snapToGrid w:val="0"/>
          <w:color w:val="000000"/>
          <w:spacing w:val="0"/>
          <w:sz w:val="32"/>
          <w:szCs w:val="32"/>
          <w:lang w:val="en-US" w:eastAsia="zh-CN" w:bidi="ar-SA"/>
        </w:rPr>
      </w:pPr>
      <w:r>
        <w:rPr>
          <w:rFonts w:hint="eastAsia" w:ascii="仿宋" w:hAnsi="仿宋" w:eastAsia="仿宋" w:cs="仿宋"/>
          <w:snapToGrid w:val="0"/>
          <w:color w:val="000000"/>
          <w:spacing w:val="0"/>
          <w:sz w:val="32"/>
          <w:szCs w:val="32"/>
          <w:lang w:val="en-US" w:eastAsia="zh-CN" w:bidi="ar-SA"/>
        </w:rPr>
        <w:t>严重的精神疾病、内耳严重畸形、听神经缺如和中耳化脓</w:t>
      </w:r>
    </w:p>
    <w:p>
      <w:pPr>
        <w:keepNext w:val="0"/>
        <w:keepLines w:val="0"/>
        <w:pageBreakBefore w:val="0"/>
        <w:numPr>
          <w:ilvl w:val="0"/>
          <w:numId w:val="1"/>
        </w:numPr>
        <w:kinsoku/>
        <w:wordWrap/>
        <w:overflowPunct/>
        <w:topLinePunct w:val="0"/>
        <w:autoSpaceDE/>
        <w:autoSpaceDN/>
        <w:bidi w:val="0"/>
        <w:adjustRightInd w:val="0"/>
        <w:snapToGrid w:val="0"/>
        <w:spacing w:before="0" w:line="336" w:lineRule="auto"/>
        <w:ind w:left="0" w:leftChars="0" w:firstLine="633" w:firstLineChars="198"/>
        <w:textAlignment w:val="baseline"/>
        <w:rPr>
          <w:rFonts w:ascii="仿宋" w:hAnsi="仿宋" w:eastAsia="仿宋" w:cs="仿宋"/>
          <w:snapToGrid w:val="0"/>
          <w:color w:val="000000"/>
          <w:sz w:val="32"/>
          <w:szCs w:val="32"/>
          <w:lang w:val="en-US" w:eastAsia="zh-CN" w:bidi="ar-SA"/>
        </w:rPr>
      </w:pPr>
      <w:r>
        <w:rPr>
          <w:rFonts w:hint="eastAsia" w:ascii="仿宋" w:hAnsi="仿宋" w:eastAsia="仿宋" w:cs="仿宋"/>
          <w:snapToGrid w:val="0"/>
          <w:color w:val="000000"/>
          <w:spacing w:val="0"/>
          <w:sz w:val="32"/>
          <w:szCs w:val="32"/>
          <w:lang w:val="en-US" w:eastAsia="zh-CN" w:bidi="ar-SA"/>
        </w:rPr>
        <w:t>性炎症尚未得到控制的患儿</w:t>
      </w:r>
    </w:p>
    <w:p>
      <w:pPr>
        <w:keepNext w:val="0"/>
        <w:keepLines w:val="0"/>
        <w:pageBreakBefore w:val="0"/>
        <w:numPr>
          <w:ilvl w:val="0"/>
          <w:numId w:val="1"/>
        </w:numPr>
        <w:kinsoku/>
        <w:wordWrap/>
        <w:overflowPunct/>
        <w:topLinePunct w:val="0"/>
        <w:autoSpaceDE/>
        <w:autoSpaceDN/>
        <w:bidi w:val="0"/>
        <w:adjustRightInd w:val="0"/>
        <w:snapToGrid w:val="0"/>
        <w:spacing w:before="0" w:line="336" w:lineRule="auto"/>
        <w:ind w:left="0" w:leftChars="0" w:firstLine="633" w:firstLineChars="198"/>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0"/>
          <w:sz w:val="32"/>
          <w:szCs w:val="32"/>
          <w:lang w:val="en-US" w:eastAsia="zh-CN" w:bidi="ar-SA"/>
        </w:rPr>
        <w:t>单侧聋患</w:t>
      </w:r>
      <w:r>
        <w:rPr>
          <w:rFonts w:hint="eastAsia" w:ascii="仿宋" w:hAnsi="仿宋" w:eastAsia="仿宋" w:cs="仿宋"/>
          <w:snapToGrid w:val="0"/>
          <w:color w:val="000000"/>
          <w:spacing w:val="0"/>
          <w:sz w:val="32"/>
          <w:szCs w:val="32"/>
          <w:lang w:val="en-US" w:eastAsia="zh-CN" w:bidi="ar-SA"/>
        </w:rPr>
        <w:t>儿</w:t>
      </w:r>
      <w:r>
        <w:rPr>
          <w:rFonts w:ascii="仿宋" w:hAnsi="仿宋" w:eastAsia="仿宋" w:cs="仿宋"/>
          <w:snapToGrid w:val="0"/>
          <w:color w:val="000000"/>
          <w:spacing w:val="0"/>
          <w:sz w:val="32"/>
          <w:szCs w:val="32"/>
          <w:lang w:val="en-US" w:eastAsia="zh-CN" w:bidi="ar-SA"/>
        </w:rPr>
        <w:t>；</w:t>
      </w:r>
    </w:p>
    <w:p>
      <w:pPr>
        <w:keepNext w:val="0"/>
        <w:keepLines w:val="0"/>
        <w:pageBreakBefore w:val="0"/>
        <w:numPr>
          <w:ilvl w:val="0"/>
          <w:numId w:val="1"/>
        </w:numPr>
        <w:kinsoku/>
        <w:wordWrap/>
        <w:overflowPunct/>
        <w:topLinePunct w:val="0"/>
        <w:autoSpaceDE/>
        <w:autoSpaceDN/>
        <w:bidi w:val="0"/>
        <w:adjustRightInd w:val="0"/>
        <w:snapToGrid w:val="0"/>
        <w:spacing w:before="0" w:line="336" w:lineRule="auto"/>
        <w:ind w:left="0" w:leftChars="0" w:firstLine="633" w:firstLineChars="198"/>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0"/>
          <w:sz w:val="32"/>
          <w:szCs w:val="32"/>
          <w:lang w:val="en-US" w:eastAsia="zh-CN" w:bidi="ar-SA"/>
        </w:rPr>
        <w:t>非本省户籍患</w:t>
      </w:r>
      <w:r>
        <w:rPr>
          <w:rFonts w:hint="eastAsia" w:ascii="仿宋" w:hAnsi="仿宋" w:eastAsia="仿宋" w:cs="仿宋"/>
          <w:snapToGrid w:val="0"/>
          <w:color w:val="000000"/>
          <w:spacing w:val="0"/>
          <w:sz w:val="32"/>
          <w:szCs w:val="32"/>
          <w:lang w:val="en-US" w:eastAsia="zh-CN" w:bidi="ar-SA"/>
        </w:rPr>
        <w:t>儿</w:t>
      </w:r>
      <w:r>
        <w:rPr>
          <w:rFonts w:ascii="仿宋" w:hAnsi="仿宋" w:eastAsia="仿宋" w:cs="仿宋"/>
          <w:snapToGrid w:val="0"/>
          <w:color w:val="000000"/>
          <w:spacing w:val="0"/>
          <w:sz w:val="32"/>
          <w:szCs w:val="32"/>
          <w:lang w:val="en-US" w:eastAsia="zh-CN" w:bidi="ar-SA"/>
        </w:rPr>
        <w:t>。</w:t>
      </w:r>
    </w:p>
    <w:p>
      <w:pPr>
        <w:kinsoku/>
        <w:autoSpaceDE/>
        <w:autoSpaceDN/>
        <w:adjustRightInd w:val="0"/>
        <w:snapToGrid w:val="0"/>
        <w:spacing w:before="0" w:line="336" w:lineRule="auto"/>
        <w:ind w:left="0" w:right="0" w:firstLine="633" w:firstLineChars="198"/>
        <w:jc w:val="both"/>
        <w:textAlignment w:val="baseline"/>
        <w:rPr>
          <w:sz w:val="32"/>
          <w:szCs w:val="32"/>
        </w:rPr>
      </w:pPr>
      <w:r>
        <w:rPr>
          <w:rFonts w:ascii="仿宋" w:hAnsi="仿宋" w:eastAsia="仿宋" w:cs="仿宋"/>
          <w:snapToGrid w:val="0"/>
          <w:color w:val="000000"/>
          <w:spacing w:val="0"/>
          <w:sz w:val="32"/>
          <w:szCs w:val="32"/>
          <w:lang w:val="en-US" w:eastAsia="zh-CN" w:bidi="ar-SA"/>
        </w:rPr>
        <w:t>申请听力与言语康复专项救助的患</w:t>
      </w:r>
      <w:r>
        <w:rPr>
          <w:rFonts w:hint="eastAsia" w:ascii="仿宋" w:hAnsi="仿宋" w:eastAsia="仿宋" w:cs="仿宋"/>
          <w:snapToGrid w:val="0"/>
          <w:color w:val="000000"/>
          <w:spacing w:val="0"/>
          <w:sz w:val="32"/>
          <w:szCs w:val="32"/>
          <w:lang w:val="en-US" w:eastAsia="zh-CN" w:bidi="ar-SA"/>
        </w:rPr>
        <w:t>儿</w:t>
      </w:r>
      <w:r>
        <w:rPr>
          <w:rFonts w:ascii="仿宋" w:hAnsi="仿宋" w:eastAsia="仿宋" w:cs="仿宋"/>
          <w:snapToGrid w:val="0"/>
          <w:color w:val="000000"/>
          <w:spacing w:val="0"/>
          <w:sz w:val="32"/>
          <w:szCs w:val="32"/>
          <w:lang w:val="en-US" w:eastAsia="zh-CN" w:bidi="ar-SA"/>
        </w:rPr>
        <w:t>需同时经过其申请救助的医疗机构听力学和听力与言语康复学专家进行确认后方可申请听力与言语康复专项救助。</w:t>
      </w:r>
    </w:p>
    <w:sectPr>
      <w:footerReference r:id="rId3" w:type="default"/>
      <w:pgSz w:w="11906" w:h="16838"/>
      <w:pgMar w:top="2041" w:right="1474" w:bottom="1701" w:left="1474" w:header="851" w:footer="113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w:t>
    </w:r>
    <w:r>
      <w:rPr>
        <w:rFonts w:ascii="宋体" w:hAnsi="宋体" w:eastAsia="宋体" w:cs="宋体"/>
        <w:snapToGrid w:val="0"/>
        <w:color w:val="000000"/>
        <w:spacing w:val="7"/>
        <w:kern w:val="0"/>
        <w:sz w:val="24"/>
        <w:szCs w:val="24"/>
        <w:lang w:eastAsia="en-US"/>
      </w:rPr>
      <w:t xml:space="preserve"> </w:t>
    </w:r>
    <w:r>
      <w:rPr>
        <w:rFonts w:ascii="Times New Roman" w:hAnsi="Times New Roman" w:eastAsia="Times New Roman" w:cs="Times New Roman"/>
        <w:snapToGrid w:val="0"/>
        <w:color w:val="000000"/>
        <w:spacing w:val="-5"/>
        <w:kern w:val="0"/>
        <w:sz w:val="28"/>
        <w:szCs w:val="28"/>
        <w:lang w:eastAsia="en-US"/>
      </w:rPr>
      <w:t>2</w:t>
    </w:r>
    <w:r>
      <w:rPr>
        <w:rFonts w:ascii="Times New Roman" w:hAnsi="Times New Roman" w:eastAsia="Times New Roman" w:cs="Times New Roman"/>
        <w:snapToGrid w:val="0"/>
        <w:color w:val="000000"/>
        <w:spacing w:val="58"/>
        <w:kern w:val="0"/>
        <w:sz w:val="28"/>
        <w:szCs w:val="28"/>
        <w:lang w:eastAsia="en-US"/>
      </w:rPr>
      <w:t xml:space="preserve"> </w:t>
    </w:r>
    <w:r>
      <w:rPr>
        <w:rFonts w:ascii="宋体" w:hAnsi="宋体" w:eastAsia="宋体" w:cs="宋体"/>
        <w:snapToGrid w:val="0"/>
        <w:color w:val="000000"/>
        <w:spacing w:val="-5"/>
        <w:kern w:val="0"/>
        <w:sz w:val="24"/>
        <w:szCs w:val="24"/>
        <w:lang w:eastAsia="en-US"/>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C4FB"/>
    <w:multiLevelType w:val="singleLevel"/>
    <w:tmpl w:val="58FFC4F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9F7808C"/>
    <w:rsid w:val="7D754FA9"/>
    <w:rsid w:val="7DAF9341"/>
    <w:rsid w:val="AFBBDEF3"/>
    <w:rsid w:val="B7759F1E"/>
    <w:rsid w:val="BDBDF7DF"/>
    <w:rsid w:val="BDFEAD51"/>
    <w:rsid w:val="CF1F6E97"/>
    <w:rsid w:val="E9F7808C"/>
    <w:rsid w:val="EE4C9EC8"/>
    <w:rsid w:val="EFFFC09F"/>
    <w:rsid w:val="FE7FDC3A"/>
    <w:rsid w:val="FEDB4A97"/>
    <w:rsid w:val="FFEFE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2024-05-16T00:43:00Z</dcterms:created>
  <dc:creator>uos</dc:creator>
  <cp:lastModifiedBy>ruijie</cp:lastModifiedBy>
  <dcterms:modified xsi:type="dcterms:W3CDTF">2024-05-17T15:22:25Z</dcterms:modified>
  <dc:title>附件 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FA83455E5A3AEC70B105476699067C17</vt:lpwstr>
  </property>
</Properties>
</file>