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lang w:eastAsia="zh-CN"/>
          <w14:textFill>
            <w14:solidFill>
              <w14:schemeClr w14:val="tx1"/>
            </w14:solidFill>
          </w14:textFill>
        </w:rPr>
        <w:t>江西省药品网络销售监督管理办法实施细则（征求意见稿）起草说明</w:t>
      </w:r>
    </w:p>
    <w:p>
      <w:pPr>
        <w:keepNext w:val="0"/>
        <w:keepLines w:val="0"/>
        <w:pageBreakBefore w:val="0"/>
        <w:numPr>
          <w:ilvl w:val="0"/>
          <w:numId w:val="0"/>
        </w:numPr>
        <w:kinsoku/>
        <w:overflowPunct/>
        <w:topLinePunct w:val="0"/>
        <w:autoSpaceDE/>
        <w:autoSpaceDN/>
        <w:bidi w:val="0"/>
        <w:adjustRightInd/>
        <w:snapToGrid/>
        <w:spacing w:line="576" w:lineRule="exact"/>
        <w:jc w:val="center"/>
        <w:textAlignment w:val="auto"/>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为贯彻落实习近平总书记关于药品监管“四个最严”要求，强化我省药品网络销售监督管理，保障公众用药安全，统筹群众购药便利性并结合江西省药品安全监管实际，药品经营处组织起草了《江西省药品网络销售监督管理办法实施细则（征求意见稿）》，现就</w:t>
      </w:r>
      <w:r>
        <w:rPr>
          <w:rFonts w:eastAsia="仿宋_GB2312"/>
          <w:color w:val="000000" w:themeColor="text1"/>
          <w:sz w:val="32"/>
          <w:szCs w:val="32"/>
          <w14:textFill>
            <w14:solidFill>
              <w14:schemeClr w14:val="tx1"/>
            </w14:solidFill>
          </w14:textFill>
        </w:rPr>
        <w:t>有关情况说明如下。</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一、起草</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背景</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近年来，随着电子商务的迅猛发展，江西省互联网药品经营活动呈现高速发展趋势，我省消费者网购药品趋势日益增强，从事互联网售药业务的企业大幅增加，药品网络销售违法违规行为呈现高发的态势，互联网药品销售监管面临新问题新挑战。因此，急需对《药品网络销售监督管理办法》的有关规定进行细化，制定符合我省网售药品监管实际的细则。</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《实施细则》的起草，立足我省互联网药品销售监管需求和产业发展实际，紧密结合《</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药品网络销售监督管理办法</w:t>
      </w:r>
      <w:r>
        <w:rPr>
          <w:rFonts w:hint="eastAsia" w:ascii="仿宋" w:hAnsi="仿宋" w:eastAsia="仿宋" w:cs="仿宋"/>
          <w:color w:val="000000" w:themeColor="text1"/>
          <w:kern w:val="0"/>
          <w:sz w:val="32"/>
          <w:szCs w:val="32"/>
          <w:lang w:val="en-US" w:eastAsia="zh-CN" w:bidi="ar"/>
          <w14:textFill>
            <w14:solidFill>
              <w14:schemeClr w14:val="tx1"/>
            </w14:solidFill>
          </w14:textFill>
        </w:rPr>
        <w:t>》要求，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充分考虑共性和特性的问题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制定针对江西省互联网药品销售</w:t>
      </w:r>
      <w:r>
        <w:rPr>
          <w:rFonts w:hint="eastAsia" w:ascii="Times New Roman" w:hAnsi="Times New Roman" w:eastAsia="仿宋_GB2312" w:cs="Times New Roman"/>
          <w:color w:val="000000" w:themeColor="text1"/>
          <w:sz w:val="32"/>
          <w:szCs w:val="32"/>
          <w14:textFill>
            <w14:solidFill>
              <w14:schemeClr w14:val="tx1"/>
            </w14:solidFill>
          </w14:textFill>
        </w:rPr>
        <w:t>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点</w:t>
      </w:r>
      <w:r>
        <w:rPr>
          <w:rFonts w:hint="eastAsia" w:ascii="Times New Roman" w:hAnsi="Times New Roman" w:eastAsia="仿宋_GB2312" w:cs="Times New Roman"/>
          <w:color w:val="000000" w:themeColor="text1"/>
          <w:sz w:val="32"/>
          <w:szCs w:val="32"/>
          <w14:textFill>
            <w14:solidFill>
              <w14:schemeClr w14:val="tx1"/>
            </w14:solidFill>
          </w14:textFill>
        </w:rPr>
        <w:t>发展的配套文件，进一步明确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药品</w:t>
      </w:r>
      <w:r>
        <w:rPr>
          <w:rFonts w:hint="eastAsia" w:ascii="Times New Roman" w:hAnsi="Times New Roman" w:eastAsia="仿宋_GB2312" w:cs="Times New Roman"/>
          <w:color w:val="000000" w:themeColor="text1"/>
          <w:sz w:val="32"/>
          <w:szCs w:val="32"/>
          <w14:textFill>
            <w14:solidFill>
              <w14:schemeClr w14:val="tx1"/>
            </w14:solidFill>
          </w14:textFill>
        </w:rPr>
        <w:t>网络销售主体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和第三方平台的</w:t>
      </w:r>
      <w:r>
        <w:rPr>
          <w:rFonts w:hint="eastAsia" w:ascii="Times New Roman" w:hAnsi="Times New Roman" w:eastAsia="仿宋_GB2312" w:cs="Times New Roman"/>
          <w:color w:val="000000" w:themeColor="text1"/>
          <w:sz w:val="32"/>
          <w:szCs w:val="32"/>
          <w14:textFill>
            <w14:solidFill>
              <w14:schemeClr w14:val="tx1"/>
            </w14:solidFill>
          </w14:textFill>
        </w:rPr>
        <w:t>责任，强化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药品</w:t>
      </w:r>
      <w:r>
        <w:rPr>
          <w:rFonts w:hint="eastAsia" w:ascii="Times New Roman" w:hAnsi="Times New Roman" w:eastAsia="仿宋_GB2312" w:cs="Times New Roman"/>
          <w:color w:val="000000" w:themeColor="text1"/>
          <w:sz w:val="32"/>
          <w:szCs w:val="32"/>
          <w14:textFill>
            <w14:solidFill>
              <w14:schemeClr w14:val="tx1"/>
            </w14:solidFill>
          </w14:textFill>
        </w:rPr>
        <w:t>网络销售监管手段和措施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不断规范经营行为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严厉打击网络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药品</w:t>
      </w:r>
      <w:r>
        <w:rPr>
          <w:rFonts w:hint="eastAsia" w:ascii="Times New Roman" w:hAnsi="Times New Roman" w:eastAsia="仿宋_GB2312" w:cs="Times New Roman"/>
          <w:color w:val="000000" w:themeColor="text1"/>
          <w:sz w:val="32"/>
          <w:szCs w:val="32"/>
          <w14:textFill>
            <w14:solidFill>
              <w14:schemeClr w14:val="tx1"/>
            </w14:solidFill>
          </w14:textFill>
        </w:rPr>
        <w:t>销售违规行为</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t>作出更加细致的规定。</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二、起草依据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2"/>
        <w:rPr>
          <w:rFonts w:hint="default"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结合江西省医药电商发展现状及监管实际，开展《江西省药品网络销售监督管理办法实施细则》研究制定工作，主要法律法规依据如下：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2"/>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1.《中华人民共和国药品管理法》；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2"/>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2.《药品网络销售监督管理办法》（国家市场监督管理总局令第58号）；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2"/>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3.《药品经营和使用质量监督管理办法》（国家市场监督管理总局令第84号）；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2"/>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4.《药品经营质量管理规范》（原国家食品药品监督管理总局令第28号）；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2"/>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5.《国家药监局关于发布药品网络销售禁止清单（第一版）的公告》（2022年 第111号）；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2"/>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6.《国家药监局关于规范药品网络销售备案和报告工作的公告》（2022年第112号）；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2"/>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7.《国家药监局综合司关于规范处方药网络销售信息展示的通知》（药监综药管函〔2023〕333号）；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2"/>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8.《国家药监局综合司关于印发〈药品网络销售违法违规线索核查处置工作规定〉的通知》（药监综药管函〔2023〕440号）；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2"/>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9.《国家药监局综合司关于印发药品网络交易第三方平台检查指南（试行）的通知》（药监综药管函〔2023〕691号）；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2"/>
        <w:rPr>
          <w:rFonts w:hint="eastAsia" w:ascii="仿宋" w:hAnsi="仿宋" w:eastAsia="仿宋" w:cs="仿宋"/>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10.《药品经营质量管理规范附录6：药品零售配送质量管理》。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kern w:val="2"/>
          <w:sz w:val="32"/>
          <w:szCs w:val="32"/>
          <w:shd w:val="clear" w:fill="FFFFFF"/>
          <w:lang w:val="en-US" w:eastAsia="zh-CN" w:bidi="ar-SA"/>
          <w14:textFill>
            <w14:solidFill>
              <w14:schemeClr w14:val="tx1"/>
            </w14:solidFill>
          </w14:textFill>
        </w:rPr>
        <w:t>三、主要内容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5"/>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实施细则</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》主要内容分为五章，共</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五十</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5"/>
        <w:jc w:val="both"/>
        <w:textAlignment w:val="auto"/>
        <w:rPr>
          <w:rFonts w:hint="eastAsia" w:ascii="楷体" w:hAnsi="楷体" w:eastAsia="楷体" w:cs="楷体"/>
          <w:b/>
          <w:bCs/>
          <w:i w:val="0"/>
          <w:caps w:val="0"/>
          <w:color w:val="000000" w:themeColor="text1"/>
          <w:spacing w:val="0"/>
          <w:sz w:val="32"/>
          <w:szCs w:val="32"/>
          <w:shd w:val="clear" w:fill="FFFFFF"/>
          <w14:textFill>
            <w14:solidFill>
              <w14:schemeClr w14:val="tx1"/>
            </w14:solidFill>
          </w14:textFill>
        </w:rPr>
      </w:pPr>
      <w:r>
        <w:rPr>
          <w:rFonts w:hint="eastAsia" w:ascii="楷体" w:hAnsi="楷体" w:eastAsia="楷体" w:cs="楷体"/>
          <w:b/>
          <w:bCs/>
          <w:i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b/>
          <w:bCs/>
          <w:i w:val="0"/>
          <w:caps w:val="0"/>
          <w:color w:val="000000" w:themeColor="text1"/>
          <w:spacing w:val="0"/>
          <w:sz w:val="32"/>
          <w:szCs w:val="32"/>
          <w:shd w:val="clear" w:fill="FFFFFF"/>
          <w:lang w:val="en-US" w:eastAsia="zh-CN"/>
          <w14:textFill>
            <w14:solidFill>
              <w14:schemeClr w14:val="tx1"/>
            </w14:solidFill>
          </w14:textFill>
        </w:rPr>
        <w:t>一</w:t>
      </w:r>
      <w:r>
        <w:rPr>
          <w:rFonts w:hint="eastAsia" w:ascii="楷体" w:hAnsi="楷体" w:eastAsia="楷体" w:cs="楷体"/>
          <w:b/>
          <w:bCs/>
          <w:i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b/>
          <w:bCs/>
          <w:i w:val="0"/>
          <w:caps w:val="0"/>
          <w:color w:val="000000" w:themeColor="text1"/>
          <w:spacing w:val="0"/>
          <w:sz w:val="32"/>
          <w:szCs w:val="32"/>
          <w:shd w:val="clear" w:fill="FFFFFF"/>
          <w14:textFill>
            <w14:solidFill>
              <w14:schemeClr w14:val="tx1"/>
            </w14:solidFill>
          </w14:textFill>
        </w:rPr>
        <w:t>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5"/>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明确了制定依据及基本准则。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5"/>
        <w:jc w:val="both"/>
        <w:textAlignment w:val="auto"/>
        <w:rPr>
          <w:rFonts w:hint="eastAsia" w:ascii="楷体" w:hAnsi="楷体" w:eastAsia="楷体" w:cs="楷体"/>
          <w:b/>
          <w:bCs/>
          <w:i w:val="0"/>
          <w:caps w:val="0"/>
          <w:color w:val="000000" w:themeColor="text1"/>
          <w:spacing w:val="0"/>
          <w:sz w:val="32"/>
          <w:szCs w:val="32"/>
          <w:shd w:val="clear" w:fill="FFFFFF"/>
          <w:lang w:eastAsia="zh-CN"/>
          <w14:textFill>
            <w14:solidFill>
              <w14:schemeClr w14:val="tx1"/>
            </w14:solidFill>
          </w14:textFill>
        </w:rPr>
      </w:pPr>
      <w:r>
        <w:rPr>
          <w:rFonts w:hint="eastAsia" w:ascii="楷体" w:hAnsi="楷体" w:eastAsia="楷体" w:cs="楷体"/>
          <w:b/>
          <w:bCs/>
          <w:i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b/>
          <w:bCs/>
          <w:i w:val="0"/>
          <w:caps w:val="0"/>
          <w:color w:val="000000" w:themeColor="text1"/>
          <w:spacing w:val="0"/>
          <w:sz w:val="32"/>
          <w:szCs w:val="32"/>
          <w:shd w:val="clear" w:fill="FFFFFF"/>
          <w:lang w:val="en-US" w:eastAsia="zh-CN"/>
          <w14:textFill>
            <w14:solidFill>
              <w14:schemeClr w14:val="tx1"/>
            </w14:solidFill>
          </w14:textFill>
        </w:rPr>
        <w:t>二</w:t>
      </w:r>
      <w:r>
        <w:rPr>
          <w:rFonts w:hint="eastAsia" w:ascii="楷体" w:hAnsi="楷体" w:eastAsia="楷体" w:cs="楷体"/>
          <w:b/>
          <w:bCs/>
          <w:i w:val="0"/>
          <w:caps w:val="0"/>
          <w:color w:val="000000" w:themeColor="text1"/>
          <w:spacing w:val="0"/>
          <w:sz w:val="32"/>
          <w:szCs w:val="32"/>
          <w:shd w:val="clear" w:fill="FFFFFF"/>
          <w:lang w:eastAsia="zh-CN"/>
          <w14:textFill>
            <w14:solidFill>
              <w14:schemeClr w14:val="tx1"/>
            </w14:solidFill>
          </w14:textFill>
        </w:rPr>
        <w:t>）药品网络销售企业管理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细化</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完善</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了</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我省药品网络销售活动的有关</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规定</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要求</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对我省从事药品网络销售的企业应当具备</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的</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条件</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，开展药品网络销售报告进行了明确规定；对药品网络销售、处方药网络销售等有关规定</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作</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了</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进一步细化</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；同时</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对在线药学服务、信息公示、记录保存、风险控制等要求进行细化明确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；对药品网络销售企业履行义务进行了规定</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5"/>
        <w:jc w:val="both"/>
        <w:textAlignment w:val="auto"/>
        <w:rPr>
          <w:rFonts w:hint="eastAsia" w:ascii="楷体" w:hAnsi="楷体" w:eastAsia="楷体" w:cs="楷体"/>
          <w:b/>
          <w:bCs/>
          <w:i w:val="0"/>
          <w:caps w:val="0"/>
          <w:color w:val="000000" w:themeColor="text1"/>
          <w:spacing w:val="0"/>
          <w:sz w:val="32"/>
          <w:szCs w:val="32"/>
          <w:shd w:val="clear" w:fill="FFFFFF"/>
          <w:lang w:eastAsia="zh-CN"/>
          <w14:textFill>
            <w14:solidFill>
              <w14:schemeClr w14:val="tx1"/>
            </w14:solidFill>
          </w14:textFill>
        </w:rPr>
      </w:pPr>
      <w:r>
        <w:rPr>
          <w:rFonts w:hint="eastAsia" w:ascii="楷体" w:hAnsi="楷体" w:eastAsia="楷体" w:cs="楷体"/>
          <w:b/>
          <w:bCs/>
          <w:i w:val="0"/>
          <w:caps w:val="0"/>
          <w:color w:val="000000" w:themeColor="text1"/>
          <w:spacing w:val="0"/>
          <w:sz w:val="32"/>
          <w:szCs w:val="32"/>
          <w:shd w:val="clear" w:fill="FFFFFF"/>
          <w:lang w:eastAsia="zh-CN"/>
          <w14:textFill>
            <w14:solidFill>
              <w14:schemeClr w14:val="tx1"/>
            </w14:solidFill>
          </w14:textFill>
        </w:rPr>
        <w:t>（</w:t>
      </w:r>
      <w:r>
        <w:rPr>
          <w:rFonts w:hint="eastAsia" w:ascii="楷体" w:hAnsi="楷体" w:eastAsia="楷体" w:cs="楷体"/>
          <w:b/>
          <w:bCs/>
          <w:i w:val="0"/>
          <w:caps w:val="0"/>
          <w:color w:val="000000" w:themeColor="text1"/>
          <w:spacing w:val="0"/>
          <w:sz w:val="32"/>
          <w:szCs w:val="32"/>
          <w:shd w:val="clear" w:fill="FFFFFF"/>
          <w:lang w:val="en-US" w:eastAsia="zh-CN"/>
          <w14:textFill>
            <w14:solidFill>
              <w14:schemeClr w14:val="tx1"/>
            </w14:solidFill>
          </w14:textFill>
        </w:rPr>
        <w:t>三</w:t>
      </w:r>
      <w:r>
        <w:rPr>
          <w:rFonts w:hint="eastAsia" w:ascii="楷体" w:hAnsi="楷体" w:eastAsia="楷体" w:cs="楷体"/>
          <w:b/>
          <w:bCs/>
          <w:i w:val="0"/>
          <w:caps w:val="0"/>
          <w:color w:val="000000" w:themeColor="text1"/>
          <w:spacing w:val="0"/>
          <w:sz w:val="32"/>
          <w:szCs w:val="32"/>
          <w:shd w:val="clear" w:fill="FFFFFF"/>
          <w:lang w:eastAsia="zh-CN"/>
          <w14:textFill>
            <w14:solidFill>
              <w14:schemeClr w14:val="tx1"/>
            </w14:solidFill>
          </w14:textFill>
        </w:rPr>
        <w:t>）第三方平台管理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对</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我省药品网络交易第三方平台的有关规定要求</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进行了</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细化。对第三方平台应当具备的条件，第三方平台制度管理、第三方平台备案程序及提交材料等内容作了进一步明确；对第三方平台信息公示、药品信息展示、入驻企业审核、记录保存、检查监控和报告、配合监管、数据信息共享和协同治理等方面进行了细化明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5"/>
        <w:jc w:val="both"/>
        <w:textAlignment w:val="auto"/>
        <w:rPr>
          <w:rFonts w:hint="eastAsia" w:ascii="楷体" w:hAnsi="楷体" w:eastAsia="楷体" w:cs="楷体"/>
          <w:b/>
          <w:bCs/>
          <w:i w:val="0"/>
          <w:caps w:val="0"/>
          <w:color w:val="000000" w:themeColor="text1"/>
          <w:spacing w:val="0"/>
          <w:sz w:val="32"/>
          <w:szCs w:val="32"/>
          <w:shd w:val="clear" w:fill="FFFFFF"/>
          <w:lang w:eastAsia="zh-CN"/>
          <w14:textFill>
            <w14:solidFill>
              <w14:schemeClr w14:val="tx1"/>
            </w14:solidFill>
          </w14:textFill>
        </w:rPr>
      </w:pPr>
      <w:r>
        <w:rPr>
          <w:rFonts w:hint="eastAsia" w:ascii="楷体" w:hAnsi="楷体" w:eastAsia="楷体" w:cs="楷体"/>
          <w:b/>
          <w:bCs/>
          <w:i w:val="0"/>
          <w:caps w:val="0"/>
          <w:color w:val="000000" w:themeColor="text1"/>
          <w:spacing w:val="0"/>
          <w:sz w:val="32"/>
          <w:szCs w:val="32"/>
          <w:shd w:val="clear" w:fill="FFFFFF"/>
          <w:lang w:val="en-US" w:eastAsia="zh-CN"/>
          <w14:textFill>
            <w14:solidFill>
              <w14:schemeClr w14:val="tx1"/>
            </w14:solidFill>
          </w14:textFill>
        </w:rPr>
        <w:t>(四）</w:t>
      </w:r>
      <w:r>
        <w:rPr>
          <w:rFonts w:hint="eastAsia" w:ascii="楷体" w:hAnsi="楷体" w:eastAsia="楷体" w:cs="楷体"/>
          <w:b/>
          <w:bCs/>
          <w:i w:val="0"/>
          <w:caps w:val="0"/>
          <w:color w:val="000000" w:themeColor="text1"/>
          <w:spacing w:val="0"/>
          <w:sz w:val="32"/>
          <w:szCs w:val="32"/>
          <w:shd w:val="clear" w:fill="FFFFFF"/>
          <w:lang w:eastAsia="zh-CN"/>
          <w14:textFill>
            <w14:solidFill>
              <w14:schemeClr w14:val="tx1"/>
            </w14:solidFill>
          </w14:textFill>
        </w:rPr>
        <w:t> 监督管理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Calibri"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主要对省、市、县三级监管部门在药品网络销售监管中的监管职责、监督检查要求、线索核查处置等予以</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完善</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，明确了监督检查、监测处置、检查处理结果等具体要求。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5"/>
        <w:jc w:val="both"/>
        <w:textAlignment w:val="auto"/>
        <w:rPr>
          <w:rFonts w:hint="eastAsia" w:ascii="楷体" w:hAnsi="楷体" w:eastAsia="楷体" w:cs="楷体"/>
          <w:b/>
          <w:bCs/>
          <w:i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b/>
          <w:bCs/>
          <w:i w:val="0"/>
          <w:caps w:val="0"/>
          <w:color w:val="000000" w:themeColor="text1"/>
          <w:spacing w:val="0"/>
          <w:sz w:val="32"/>
          <w:szCs w:val="32"/>
          <w:shd w:val="clear" w:fill="FFFFFF"/>
          <w:lang w:val="en-US" w:eastAsia="zh-CN"/>
          <w14:textFill>
            <w14:solidFill>
              <w14:schemeClr w14:val="tx1"/>
            </w14:solidFill>
          </w14:textFill>
        </w:rPr>
        <w:t>(五）附则</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明确了《实施细则》的法规解释以及生效实施的时间。</w:t>
      </w: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r>
        <w:rPr>
          <w:rStyle w:val="9"/>
          <w:rFonts w:hint="eastAsia" w:ascii="方正小标宋_GBK" w:hAnsi="方正小标宋_GBK" w:eastAsia="方正小标宋_GBK" w:cs="方正小标宋_GBK"/>
          <w:b w:val="0"/>
          <w:bCs/>
          <w:kern w:val="0"/>
          <w:sz w:val="44"/>
          <w:szCs w:val="44"/>
          <w:lang w:bidi="ar"/>
        </w:rPr>
        <w:t>江西省药品网络销售监督管理办法</w:t>
      </w:r>
    </w:p>
    <w:p>
      <w:pPr>
        <w:keepNext w:val="0"/>
        <w:keepLines w:val="0"/>
        <w:pageBreakBefore w:val="0"/>
        <w:kinsoku/>
        <w:overflowPunct/>
        <w:topLinePunct w:val="0"/>
        <w:autoSpaceDE/>
        <w:autoSpaceDN/>
        <w:bidi w:val="0"/>
        <w:adjustRightInd/>
        <w:snapToGrid/>
        <w:spacing w:line="576" w:lineRule="exact"/>
        <w:jc w:val="center"/>
        <w:textAlignment w:val="auto"/>
        <w:rPr>
          <w:rStyle w:val="9"/>
          <w:rFonts w:hint="eastAsia" w:ascii="方正小标宋_GBK" w:hAnsi="方正小标宋_GBK" w:eastAsia="方正小标宋_GBK" w:cs="方正小标宋_GBK"/>
          <w:b w:val="0"/>
          <w:bCs/>
          <w:kern w:val="0"/>
          <w:sz w:val="44"/>
          <w:szCs w:val="44"/>
          <w:lang w:bidi="ar"/>
        </w:rPr>
      </w:pPr>
      <w:r>
        <w:rPr>
          <w:rStyle w:val="9"/>
          <w:rFonts w:hint="eastAsia" w:ascii="方正小标宋_GBK" w:hAnsi="方正小标宋_GBK" w:eastAsia="方正小标宋_GBK" w:cs="方正小标宋_GBK"/>
          <w:b w:val="0"/>
          <w:bCs/>
          <w:kern w:val="0"/>
          <w:sz w:val="44"/>
          <w:szCs w:val="44"/>
          <w:lang w:bidi="ar"/>
        </w:rPr>
        <w:t>实施细则（征求意见稿）</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481" w:firstLineChars="200"/>
        <w:jc w:val="both"/>
        <w:textAlignment w:val="auto"/>
        <w:rPr>
          <w:rStyle w:val="9"/>
          <w:rFonts w:ascii="微软雅黑" w:hAnsi="微软雅黑" w:eastAsia="微软雅黑" w:cs="微软雅黑"/>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jc w:val="center"/>
        <w:textAlignment w:val="auto"/>
        <w:rPr>
          <w:rStyle w:val="9"/>
          <w:rFonts w:hint="eastAsia" w:ascii="黑体" w:hAnsi="黑体" w:eastAsia="黑体" w:cs="黑体"/>
          <w:b w:val="0"/>
          <w:sz w:val="32"/>
          <w:szCs w:val="32"/>
        </w:rPr>
      </w:pPr>
      <w:r>
        <w:rPr>
          <w:rStyle w:val="9"/>
          <w:rFonts w:hint="eastAsia" w:ascii="黑体" w:hAnsi="黑体" w:eastAsia="黑体" w:cs="黑体"/>
          <w:sz w:val="32"/>
          <w:szCs w:val="32"/>
        </w:rPr>
        <w:t>第一章  总  则</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Style w:val="9"/>
          <w:rFonts w:ascii="仿宋" w:hAnsi="仿宋" w:eastAsia="仿宋" w:cs="仿宋"/>
          <w:sz w:val="30"/>
          <w:szCs w:val="30"/>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Style w:val="9"/>
          <w:rFonts w:hint="eastAsia" w:ascii="仿宋" w:hAnsi="仿宋" w:eastAsia="仿宋" w:cs="仿宋"/>
          <w:sz w:val="30"/>
          <w:szCs w:val="30"/>
        </w:rPr>
        <w:t xml:space="preserve">第一条 </w:t>
      </w:r>
      <w:r>
        <w:rPr>
          <w:rFonts w:hint="eastAsia" w:ascii="仿宋" w:hAnsi="仿宋" w:eastAsia="仿宋" w:cs="仿宋"/>
          <w:sz w:val="30"/>
          <w:szCs w:val="30"/>
        </w:rPr>
        <w:t>为规范药品网络销售和药品网络交易平台服务活动（以下简称“第三方平台”），保障公众用药安全，依据《中华人民共和国药品管理法》《药品网络销售监督管理办法》《药品经营和使用质量监督管理办法》《国家药监局关于规范药品网络销售备案和报告工作的公告》《国家药监局综合司关于印发药品网络交易第三方平台检查指南（试行）的通知》等法律法规及文件规定，结合江西省实际，制定本办法。</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Style w:val="9"/>
          <w:rFonts w:hint="eastAsia" w:ascii="仿宋" w:hAnsi="仿宋" w:eastAsia="仿宋" w:cs="仿宋"/>
          <w:sz w:val="30"/>
          <w:szCs w:val="30"/>
        </w:rPr>
        <w:t>第二条</w:t>
      </w:r>
      <w:r>
        <w:rPr>
          <w:rFonts w:hint="eastAsia" w:ascii="仿宋" w:hAnsi="仿宋" w:eastAsia="仿宋" w:cs="仿宋"/>
          <w:sz w:val="30"/>
          <w:szCs w:val="30"/>
        </w:rPr>
        <w:t xml:space="preserve"> 在江西省行政区域内从事药品网络销售、提供药品网络交易平台服务活动及其监督管理，应当遵守本办法。</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02" w:firstLineChars="200"/>
        <w:jc w:val="both"/>
        <w:textAlignment w:val="auto"/>
        <w:rPr>
          <w:rFonts w:hint="eastAsia" w:ascii="仿宋" w:hAnsi="仿宋" w:eastAsia="仿宋" w:cs="仿宋"/>
          <w:sz w:val="30"/>
          <w:szCs w:val="30"/>
        </w:rPr>
      </w:pPr>
      <w:r>
        <w:rPr>
          <w:rStyle w:val="9"/>
          <w:rFonts w:hint="eastAsia" w:ascii="仿宋" w:hAnsi="仿宋" w:eastAsia="仿宋" w:cs="仿宋"/>
          <w:sz w:val="30"/>
          <w:szCs w:val="30"/>
        </w:rPr>
        <w:t xml:space="preserve">第三条 </w:t>
      </w:r>
      <w:r>
        <w:rPr>
          <w:rFonts w:hint="eastAsia" w:ascii="仿宋" w:hAnsi="仿宋" w:eastAsia="仿宋" w:cs="仿宋"/>
          <w:kern w:val="0"/>
          <w:sz w:val="30"/>
          <w:szCs w:val="30"/>
          <w:lang w:val="en-US" w:eastAsia="zh-CN" w:bidi="ar-SA"/>
        </w:rPr>
        <w:t>江西省药品监督管理局负责制定、组织和实施全省药品网络经营监督管理的有关政策，负责药品上市许可持有人、药品批发企业报告、</w:t>
      </w:r>
      <w:r>
        <w:rPr>
          <w:rFonts w:hint="eastAsia" w:ascii="仿宋" w:hAnsi="仿宋" w:eastAsia="仿宋" w:cs="仿宋"/>
          <w:sz w:val="30"/>
          <w:szCs w:val="30"/>
        </w:rPr>
        <w:t>第三方平台备案</w:t>
      </w:r>
      <w:r>
        <w:rPr>
          <w:rFonts w:hint="eastAsia" w:ascii="仿宋" w:hAnsi="仿宋" w:eastAsia="仿宋" w:cs="仿宋"/>
          <w:sz w:val="30"/>
          <w:szCs w:val="30"/>
          <w:lang w:eastAsia="zh-CN"/>
        </w:rPr>
        <w:t>以及</w:t>
      </w:r>
      <w:r>
        <w:rPr>
          <w:rFonts w:hint="eastAsia" w:ascii="仿宋" w:hAnsi="仿宋" w:eastAsia="仿宋" w:cs="仿宋"/>
          <w:sz w:val="30"/>
          <w:szCs w:val="30"/>
        </w:rPr>
        <w:t>监督管理工作。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00" w:firstLineChars="200"/>
        <w:jc w:val="left"/>
        <w:textAlignment w:val="auto"/>
        <w:rPr>
          <w:rFonts w:hint="eastAsia" w:ascii="仿宋" w:hAnsi="仿宋" w:eastAsia="仿宋" w:cs="仿宋"/>
          <w:kern w:val="0"/>
          <w:sz w:val="30"/>
          <w:szCs w:val="30"/>
          <w:lang w:val="en-US" w:eastAsia="zh-CN" w:bidi="ar-SA"/>
        </w:rPr>
      </w:pPr>
      <w:r>
        <w:rPr>
          <w:rFonts w:hint="eastAsia" w:ascii="仿宋" w:hAnsi="仿宋" w:eastAsia="仿宋" w:cs="仿宋"/>
          <w:sz w:val="30"/>
          <w:szCs w:val="30"/>
          <w:lang w:val="en" w:eastAsia="zh-CN"/>
        </w:rPr>
        <w:t>江西省药品</w:t>
      </w:r>
      <w:r>
        <w:rPr>
          <w:rFonts w:hint="eastAsia" w:ascii="仿宋" w:hAnsi="仿宋" w:eastAsia="仿宋" w:cs="仿宋"/>
          <w:kern w:val="0"/>
          <w:sz w:val="30"/>
          <w:szCs w:val="30"/>
          <w:lang w:val="en" w:eastAsia="zh-CN" w:bidi="ar-SA"/>
        </w:rPr>
        <w:t>检查员中心、江西省樟树药品监督管理局依职责</w:t>
      </w:r>
      <w:r>
        <w:rPr>
          <w:rFonts w:hint="eastAsia" w:ascii="仿宋" w:hAnsi="仿宋" w:eastAsia="仿宋" w:cs="仿宋"/>
          <w:kern w:val="0"/>
          <w:sz w:val="30"/>
          <w:szCs w:val="30"/>
          <w:lang w:val="en-US" w:eastAsia="zh-CN" w:bidi="ar-SA"/>
        </w:rPr>
        <w:t>负责监督管理第三方平台、药品上市许可持有人、药品批发企业通过网络销售药品的活动，具体负责实施或配合实施网络监测处置及监督检查工作。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Style w:val="9"/>
          <w:rFonts w:ascii="仿宋" w:hAnsi="仿宋" w:eastAsia="仿宋" w:cs="仿宋"/>
          <w:sz w:val="30"/>
          <w:szCs w:val="30"/>
        </w:rPr>
      </w:pPr>
      <w:r>
        <w:rPr>
          <w:rFonts w:hint="eastAsia" w:ascii="仿宋" w:hAnsi="仿宋" w:eastAsia="仿宋" w:cs="仿宋"/>
          <w:sz w:val="30"/>
          <w:szCs w:val="30"/>
        </w:rPr>
        <w:t>设区的市、县级</w:t>
      </w:r>
      <w:r>
        <w:rPr>
          <w:rFonts w:hint="default" w:ascii="仿宋" w:hAnsi="仿宋" w:eastAsia="仿宋" w:cs="仿宋"/>
          <w:sz w:val="30"/>
          <w:szCs w:val="30"/>
          <w:lang w:val="en"/>
        </w:rPr>
        <w:t>药品监督管理部门</w:t>
      </w:r>
      <w:r>
        <w:rPr>
          <w:rFonts w:hint="eastAsia" w:ascii="仿宋" w:hAnsi="仿宋" w:eastAsia="仿宋" w:cs="仿宋"/>
          <w:sz w:val="30"/>
          <w:szCs w:val="30"/>
        </w:rPr>
        <w:t>负责本辖区内药品网络销售的监督管理工作，负责监督管理本辖区内药品零售企业通过网络销售药品的活动，依法查处药品网络销售有关违法违规行为。</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Style w:val="9"/>
          <w:rFonts w:hint="eastAsia" w:ascii="仿宋" w:hAnsi="仿宋" w:eastAsia="仿宋" w:cs="仿宋"/>
          <w:sz w:val="30"/>
          <w:szCs w:val="30"/>
        </w:rPr>
        <w:t>第四条</w:t>
      </w:r>
      <w:r>
        <w:rPr>
          <w:rFonts w:hint="eastAsia" w:ascii="仿宋" w:hAnsi="仿宋" w:eastAsia="仿宋" w:cs="仿宋"/>
          <w:sz w:val="30"/>
          <w:szCs w:val="30"/>
        </w:rPr>
        <w:t> 从事药品网络销售以及提供药品网络交易平台服务活动应当遵循“线上线下一致”原则，遵守药品管理相关法律、法规、规章、标准和规范的要求，建立健全并实施相关管理制度，依法诚信经营，保障药品质量安全。</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Style w:val="9"/>
          <w:rFonts w:hint="eastAsia" w:ascii="仿宋" w:hAnsi="仿宋" w:eastAsia="仿宋" w:cs="仿宋"/>
          <w:sz w:val="30"/>
          <w:szCs w:val="30"/>
        </w:rPr>
        <w:t xml:space="preserve">第五条 </w:t>
      </w:r>
      <w:r>
        <w:rPr>
          <w:rFonts w:hint="eastAsia" w:ascii="仿宋" w:hAnsi="仿宋" w:eastAsia="仿宋" w:cs="仿宋"/>
          <w:kern w:val="0"/>
          <w:sz w:val="30"/>
          <w:szCs w:val="30"/>
          <w:lang w:val="en-US" w:eastAsia="zh-CN" w:bidi="ar-SA"/>
        </w:rPr>
        <w:t>从事药品网络销售的，应当为取得相应药品合法资质、具备相</w:t>
      </w:r>
      <w:r>
        <w:rPr>
          <w:rFonts w:hint="eastAsia" w:ascii="仿宋" w:hAnsi="仿宋" w:eastAsia="仿宋" w:cs="仿宋"/>
          <w:i w:val="0"/>
          <w:iCs w:val="0"/>
          <w:kern w:val="0"/>
          <w:sz w:val="30"/>
          <w:szCs w:val="30"/>
          <w:lang w:val="en-US" w:eastAsia="zh-CN" w:bidi="ar-SA"/>
        </w:rPr>
        <w:t>应的经营管理条件的药</w:t>
      </w:r>
      <w:r>
        <w:rPr>
          <w:rFonts w:hint="eastAsia" w:ascii="仿宋" w:hAnsi="仿宋" w:eastAsia="仿宋" w:cs="仿宋"/>
          <w:i w:val="0"/>
          <w:iCs w:val="0"/>
          <w:kern w:val="0"/>
          <w:sz w:val="30"/>
          <w:szCs w:val="30"/>
          <w:lang w:val="en-US" w:eastAsia="zh-CN" w:bidi="ar-SA"/>
        </w:rPr>
        <w:t>品上市许可持有人或者药品经营企业。中药饮片生产企业销售其生产的中药饮片，应当履行药品上市许可持有人相关义务。</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Style w:val="9"/>
          <w:rFonts w:ascii="仿宋" w:hAnsi="仿宋" w:eastAsia="仿宋" w:cs="仿宋"/>
          <w:sz w:val="30"/>
          <w:szCs w:val="30"/>
        </w:rPr>
      </w:pPr>
      <w:r>
        <w:rPr>
          <w:rFonts w:hint="eastAsia" w:ascii="仿宋" w:hAnsi="仿宋" w:eastAsia="仿宋" w:cs="仿宋"/>
          <w:sz w:val="30"/>
          <w:szCs w:val="30"/>
          <w:shd w:val="clear" w:color="auto" w:fill="FFFFFF"/>
        </w:rPr>
        <w:t>从事药品网络销售、提供药品网络交易平台服务，应当采取有效措施保证交易全过程信息真实、准确、完整和可追溯，并遵守国家个人信息保护的有关规定。</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hint="eastAsia" w:ascii="仿宋" w:hAnsi="仿宋" w:eastAsia="仿宋" w:cs="仿宋"/>
          <w:kern w:val="0"/>
          <w:sz w:val="30"/>
          <w:szCs w:val="30"/>
          <w:lang w:val="en-US" w:eastAsia="zh-CN" w:bidi="ar-SA"/>
        </w:rPr>
      </w:pPr>
      <w:r>
        <w:rPr>
          <w:rStyle w:val="9"/>
          <w:rFonts w:hint="eastAsia" w:ascii="仿宋" w:hAnsi="仿宋" w:eastAsia="仿宋" w:cs="仿宋"/>
          <w:sz w:val="30"/>
          <w:szCs w:val="30"/>
        </w:rPr>
        <w:t>第六条</w:t>
      </w:r>
      <w:r>
        <w:rPr>
          <w:rStyle w:val="9"/>
          <w:rFonts w:hint="eastAsia" w:ascii="仿宋" w:hAnsi="仿宋" w:eastAsia="仿宋" w:cs="仿宋"/>
          <w:sz w:val="30"/>
          <w:szCs w:val="30"/>
          <w:lang w:val="en-US" w:eastAsia="zh-CN"/>
        </w:rPr>
        <w:t xml:space="preserve"> </w:t>
      </w:r>
      <w:r>
        <w:rPr>
          <w:rFonts w:hint="eastAsia" w:ascii="仿宋" w:hAnsi="仿宋" w:eastAsia="仿宋" w:cs="仿宋"/>
          <w:i w:val="0"/>
          <w:iCs w:val="0"/>
          <w:kern w:val="0"/>
          <w:sz w:val="30"/>
          <w:szCs w:val="30"/>
          <w:lang w:val="en-US" w:eastAsia="zh-CN" w:bidi="ar-SA"/>
        </w:rPr>
        <w:t>江西省药品监督管理部门应当依法将从事药品网络销售的第三方平台的备案信息和药品上市许可持有人、药品批发企业的报告信息及时向社会公示，设区的市级</w:t>
      </w:r>
      <w:r>
        <w:rPr>
          <w:rFonts w:hint="default" w:ascii="仿宋" w:hAnsi="仿宋" w:eastAsia="仿宋" w:cs="仿宋"/>
          <w:i w:val="0"/>
          <w:iCs w:val="0"/>
          <w:kern w:val="0"/>
          <w:sz w:val="30"/>
          <w:szCs w:val="30"/>
          <w:lang w:val="en" w:eastAsia="zh-CN" w:bidi="ar-SA"/>
        </w:rPr>
        <w:t>药品监督管理部门</w:t>
      </w:r>
      <w:r>
        <w:rPr>
          <w:rFonts w:hint="eastAsia" w:ascii="仿宋" w:hAnsi="仿宋" w:eastAsia="仿宋" w:cs="仿宋"/>
          <w:i w:val="0"/>
          <w:iCs w:val="0"/>
          <w:kern w:val="0"/>
          <w:sz w:val="30"/>
          <w:szCs w:val="30"/>
          <w:lang w:val="en-US" w:eastAsia="zh-CN" w:bidi="ar-SA"/>
        </w:rPr>
        <w:t>应当依法将药品网络零售企业的报告信息及时向社会公示，发挥行业协会的行业自律作用、媒体和公众的监督作用，</w:t>
      </w:r>
      <w:r>
        <w:rPr>
          <w:rFonts w:hint="eastAsia" w:ascii="仿宋" w:hAnsi="仿宋" w:eastAsia="仿宋" w:cs="仿宋"/>
          <w:kern w:val="0"/>
          <w:sz w:val="30"/>
          <w:szCs w:val="30"/>
          <w:lang w:val="en-US" w:eastAsia="zh-CN" w:bidi="ar-SA"/>
        </w:rPr>
        <w:t>推进药品安全社会共治，促进药品网络经营业态良性发展。</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00" w:firstLineChars="200"/>
        <w:jc w:val="left"/>
        <w:textAlignment w:val="auto"/>
        <w:rPr>
          <w:rFonts w:hint="eastAsia" w:ascii="仿宋" w:hAnsi="仿宋" w:eastAsia="仿宋" w:cs="仿宋"/>
          <w:kern w:val="0"/>
          <w:sz w:val="30"/>
          <w:szCs w:val="30"/>
          <w:lang w:val="en-US" w:eastAsia="zh-CN" w:bidi="ar-SA"/>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jc w:val="center"/>
        <w:textAlignment w:val="auto"/>
        <w:rPr>
          <w:rFonts w:hint="eastAsia" w:ascii="黑体" w:hAnsi="黑体" w:eastAsia="黑体" w:cs="黑体"/>
          <w:b/>
          <w:sz w:val="32"/>
          <w:szCs w:val="32"/>
        </w:rPr>
      </w:pPr>
      <w:r>
        <w:rPr>
          <w:rStyle w:val="9"/>
          <w:rFonts w:hint="eastAsia" w:ascii="黑体" w:hAnsi="黑体" w:eastAsia="黑体" w:cs="黑体"/>
          <w:sz w:val="32"/>
          <w:szCs w:val="32"/>
        </w:rPr>
        <w:t>第二章  药品网络销售企业管理</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jc w:val="both"/>
        <w:textAlignment w:val="auto"/>
        <w:rPr>
          <w:rFonts w:ascii="仿宋" w:hAnsi="仿宋" w:eastAsia="仿宋" w:cs="仿宋"/>
          <w:b/>
          <w:sz w:val="30"/>
          <w:szCs w:val="30"/>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bCs/>
          <w:sz w:val="30"/>
          <w:szCs w:val="30"/>
        </w:rPr>
      </w:pPr>
      <w:r>
        <w:rPr>
          <w:rFonts w:hint="eastAsia" w:ascii="仿宋" w:hAnsi="仿宋" w:eastAsia="仿宋" w:cs="仿宋"/>
          <w:b/>
          <w:sz w:val="30"/>
          <w:szCs w:val="30"/>
        </w:rPr>
        <w:t xml:space="preserve">第七条 </w:t>
      </w:r>
      <w:r>
        <w:rPr>
          <w:rFonts w:hint="eastAsia" w:ascii="仿宋" w:hAnsi="仿宋" w:eastAsia="仿宋" w:cs="仿宋"/>
          <w:bCs/>
          <w:sz w:val="30"/>
          <w:szCs w:val="30"/>
        </w:rPr>
        <w:t>从事药品网络销售的药品上市许可持有人</w:t>
      </w:r>
      <w:r>
        <w:rPr>
          <w:rFonts w:hint="eastAsia" w:ascii="仿宋" w:hAnsi="仿宋" w:eastAsia="仿宋" w:cs="仿宋"/>
          <w:bCs/>
          <w:sz w:val="30"/>
          <w:szCs w:val="30"/>
          <w:lang w:eastAsia="zh-CN"/>
        </w:rPr>
        <w:t>、</w:t>
      </w:r>
      <w:r>
        <w:rPr>
          <w:rFonts w:hint="eastAsia" w:ascii="仿宋" w:hAnsi="仿宋" w:eastAsia="仿宋" w:cs="仿宋"/>
          <w:bCs/>
          <w:sz w:val="30"/>
          <w:szCs w:val="30"/>
        </w:rPr>
        <w:t>药品批发企业、药品零售企业应当具备保证网络销售药品质量安全能力。</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bCs/>
          <w:sz w:val="30"/>
          <w:szCs w:val="30"/>
        </w:rPr>
      </w:pPr>
      <w:r>
        <w:rPr>
          <w:rFonts w:hint="eastAsia" w:ascii="仿宋" w:hAnsi="仿宋" w:eastAsia="仿宋" w:cs="仿宋"/>
          <w:b/>
          <w:sz w:val="30"/>
          <w:szCs w:val="30"/>
        </w:rPr>
        <w:t>第八条</w:t>
      </w:r>
      <w:r>
        <w:rPr>
          <w:rFonts w:hint="eastAsia" w:ascii="仿宋" w:hAnsi="仿宋" w:eastAsia="仿宋" w:cs="仿宋"/>
          <w:bCs/>
          <w:sz w:val="30"/>
          <w:szCs w:val="30"/>
        </w:rPr>
        <w:t xml:space="preserve">  从事药品网络销售的企业，应当具备下列条件：</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（一）与药品网络销售业务相适应的药学技术人员、药学服务、售后服务、配送管理人员；</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（二）与药品网络销售规模相适应的药品储存、包装、待配送场所和条件，与药品说明书储存温湿度要求相适应的运输（寄送）方式；</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（三）与药品网络销售业务相适应的药品质量安全管理、风险控制、药品追溯、储存配送管理、不良反应报告、投诉举报处理等制度；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（四）与药品网络销售规模相适应的质量管理机构，在药品网络销售质量管理中履行药品质量管理职责。</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hint="eastAsia" w:ascii="仿宋" w:hAnsi="仿宋" w:eastAsia="仿宋" w:cs="仿宋"/>
          <w:bCs/>
          <w:sz w:val="30"/>
          <w:szCs w:val="30"/>
        </w:rPr>
      </w:pPr>
      <w:r>
        <w:rPr>
          <w:rFonts w:hint="eastAsia" w:ascii="仿宋" w:hAnsi="仿宋" w:eastAsia="仿宋" w:cs="仿宋"/>
          <w:b/>
          <w:sz w:val="30"/>
          <w:szCs w:val="30"/>
        </w:rPr>
        <w:t>第九条</w:t>
      </w:r>
      <w:r>
        <w:rPr>
          <w:rFonts w:hint="eastAsia" w:ascii="仿宋" w:hAnsi="仿宋" w:eastAsia="仿宋" w:cs="仿宋"/>
          <w:bCs/>
          <w:sz w:val="30"/>
          <w:szCs w:val="30"/>
        </w:rPr>
        <w:t xml:space="preserve">  从事药品网络销售的药品上市许可持有人、药品批发企业、药品零售企业应当符合《药品网络销售监督管理办法》和本细则的要求，按照《药品网络销售监督管理办法》第十一条规定，向所在地</w:t>
      </w:r>
      <w:r>
        <w:rPr>
          <w:rFonts w:hint="default" w:ascii="仿宋" w:hAnsi="仿宋" w:eastAsia="仿宋" w:cs="仿宋"/>
          <w:bCs/>
          <w:sz w:val="30"/>
          <w:szCs w:val="30"/>
          <w:lang w:val="en"/>
        </w:rPr>
        <w:t>药品监督管理部门</w:t>
      </w:r>
      <w:r>
        <w:rPr>
          <w:rFonts w:hint="eastAsia" w:ascii="仿宋" w:hAnsi="仿宋" w:eastAsia="仿宋" w:cs="仿宋"/>
          <w:bCs/>
          <w:sz w:val="30"/>
          <w:szCs w:val="30"/>
        </w:rPr>
        <w:t>进行报告。</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lang w:val="en" w:eastAsia="zh-CN"/>
        </w:rPr>
        <w:t>江西省药品检查员中心、江西省樟树药品监督管理局</w:t>
      </w:r>
      <w:r>
        <w:rPr>
          <w:rFonts w:hint="default" w:ascii="仿宋" w:hAnsi="仿宋" w:eastAsia="仿宋" w:cs="仿宋"/>
          <w:bCs/>
          <w:sz w:val="30"/>
          <w:szCs w:val="30"/>
          <w:lang w:val="en-US" w:eastAsia="zh-CN"/>
        </w:rPr>
        <w:t>或各</w:t>
      </w:r>
      <w:r>
        <w:rPr>
          <w:rFonts w:hint="eastAsia" w:ascii="仿宋" w:hAnsi="仿宋" w:eastAsia="仿宋" w:cs="仿宋"/>
          <w:bCs/>
          <w:sz w:val="30"/>
          <w:szCs w:val="30"/>
          <w:lang w:val="en-US" w:eastAsia="zh-CN"/>
        </w:rPr>
        <w:t>市、县药品</w:t>
      </w:r>
      <w:r>
        <w:rPr>
          <w:rFonts w:hint="default" w:ascii="仿宋" w:hAnsi="仿宋" w:eastAsia="仿宋" w:cs="仿宋"/>
          <w:bCs/>
          <w:sz w:val="30"/>
          <w:szCs w:val="30"/>
          <w:lang w:val="en-US" w:eastAsia="zh-CN"/>
        </w:rPr>
        <w:t>监督管理</w:t>
      </w:r>
      <w:r>
        <w:rPr>
          <w:rFonts w:hint="eastAsia" w:ascii="仿宋" w:hAnsi="仿宋" w:eastAsia="仿宋" w:cs="仿宋"/>
          <w:bCs/>
          <w:sz w:val="30"/>
          <w:szCs w:val="30"/>
          <w:lang w:val="en-US" w:eastAsia="zh-CN"/>
        </w:rPr>
        <w:t>部门</w:t>
      </w:r>
      <w:r>
        <w:rPr>
          <w:rFonts w:hint="default" w:ascii="仿宋" w:hAnsi="仿宋" w:eastAsia="仿宋" w:cs="仿宋"/>
          <w:bCs/>
          <w:sz w:val="30"/>
          <w:szCs w:val="30"/>
          <w:lang w:val="en-US" w:eastAsia="zh-CN"/>
        </w:rPr>
        <w:t>应当依照职责，结合日常监督检查计划，开展药品网络销售企业的报告后检查工作。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从事药品网络销售的药品上市许可持有人、药品批发企业，应当向</w:t>
      </w:r>
      <w:r>
        <w:rPr>
          <w:rFonts w:hint="eastAsia" w:ascii="仿宋" w:hAnsi="仿宋" w:eastAsia="仿宋" w:cs="仿宋"/>
          <w:bCs/>
          <w:sz w:val="30"/>
          <w:szCs w:val="30"/>
          <w:lang w:eastAsia="zh-CN"/>
        </w:rPr>
        <w:t>江西省药品监督管理局</w:t>
      </w:r>
      <w:r>
        <w:rPr>
          <w:rFonts w:hint="eastAsia" w:ascii="仿宋" w:hAnsi="仿宋" w:eastAsia="仿宋" w:cs="仿宋"/>
          <w:bCs/>
          <w:sz w:val="30"/>
          <w:szCs w:val="30"/>
        </w:rPr>
        <w:t>报告；药品网络零售企业，应当向企业所在地</w:t>
      </w:r>
      <w:r>
        <w:rPr>
          <w:rFonts w:hint="default" w:ascii="仿宋" w:hAnsi="仿宋" w:eastAsia="仿宋" w:cs="仿宋"/>
          <w:bCs/>
          <w:sz w:val="30"/>
          <w:szCs w:val="30"/>
          <w:lang w:val="en"/>
        </w:rPr>
        <w:t>药品监督管理部门</w:t>
      </w:r>
      <w:r>
        <w:rPr>
          <w:rFonts w:hint="eastAsia" w:ascii="仿宋" w:hAnsi="仿宋" w:eastAsia="仿宋" w:cs="仿宋"/>
          <w:bCs/>
          <w:sz w:val="30"/>
          <w:szCs w:val="30"/>
        </w:rPr>
        <w:t>报告。零售连锁企业门店从事药品网络销售的，应当以具体门店为主体，向所在地</w:t>
      </w:r>
      <w:r>
        <w:rPr>
          <w:rFonts w:hint="default" w:ascii="仿宋" w:hAnsi="仿宋" w:eastAsia="仿宋" w:cs="仿宋"/>
          <w:bCs/>
          <w:sz w:val="30"/>
          <w:szCs w:val="30"/>
          <w:lang w:val="en"/>
        </w:rPr>
        <w:t>药品监督管理部门</w:t>
      </w:r>
      <w:r>
        <w:rPr>
          <w:rFonts w:hint="eastAsia" w:ascii="仿宋" w:hAnsi="仿宋" w:eastAsia="仿宋" w:cs="仿宋"/>
          <w:bCs/>
          <w:sz w:val="30"/>
          <w:szCs w:val="30"/>
        </w:rPr>
        <w:t>报告。</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bCs/>
          <w:sz w:val="30"/>
          <w:szCs w:val="30"/>
        </w:rPr>
      </w:pPr>
      <w:r>
        <w:rPr>
          <w:rFonts w:hint="eastAsia" w:ascii="仿宋" w:hAnsi="仿宋" w:eastAsia="仿宋" w:cs="仿宋"/>
          <w:b/>
          <w:sz w:val="30"/>
          <w:szCs w:val="30"/>
        </w:rPr>
        <w:t>第十条</w:t>
      </w:r>
      <w:r>
        <w:rPr>
          <w:rFonts w:hint="eastAsia" w:ascii="仿宋" w:hAnsi="仿宋" w:eastAsia="仿宋" w:cs="仿宋"/>
          <w:bCs/>
          <w:sz w:val="30"/>
          <w:szCs w:val="30"/>
        </w:rPr>
        <w:t xml:space="preserve">  药品网络销售企业报告内容至少应包括以下信息：</w:t>
      </w:r>
      <w:r>
        <w:rPr>
          <w:rFonts w:ascii="仿宋" w:hAnsi="仿宋" w:eastAsia="仿宋" w:cs="仿宋"/>
          <w:bCs/>
          <w:sz w:val="30"/>
          <w:szCs w:val="30"/>
        </w:rPr>
        <w:t xml:space="preserve"> </w:t>
      </w:r>
      <w:r>
        <w:rPr>
          <w:rFonts w:hint="eastAsia" w:ascii="仿宋" w:hAnsi="仿宋" w:eastAsia="仿宋" w:cs="仿宋"/>
          <w:bCs/>
          <w:sz w:val="30"/>
          <w:szCs w:val="30"/>
        </w:rPr>
        <w:t>企业名称、网站名称、应用程序名称、IP地址、域名、药品生产（经营）许可证、入驻第三方平台的平台名称、店铺名称等信息，并提供以下材料：</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（一）《药品网络销售企业报告信息表》（首次，附件1）；</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（二）《营业执照》；</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（三）药品生产（经营）许可证；</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（四）自建网站或移动互联网应用程序开展药品网络销售的，提供网站域名注册证书、《互联网药品信息服务资格证书》和ICP许可（备案）编号。</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（五）零售连锁企业门店从事网络药品销售的，还应分别提供连锁门店和零售连锁总部的《药品经营许可证》。</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bCs/>
          <w:sz w:val="30"/>
          <w:szCs w:val="30"/>
        </w:rPr>
      </w:pPr>
      <w:r>
        <w:rPr>
          <w:rFonts w:hint="eastAsia" w:ascii="仿宋" w:hAnsi="仿宋" w:eastAsia="仿宋" w:cs="仿宋"/>
          <w:b/>
          <w:sz w:val="30"/>
          <w:szCs w:val="30"/>
        </w:rPr>
        <w:t>第十一条</w:t>
      </w:r>
      <w:r>
        <w:rPr>
          <w:rFonts w:hint="eastAsia" w:ascii="仿宋" w:hAnsi="仿宋" w:eastAsia="仿宋" w:cs="仿宋"/>
          <w:bCs/>
          <w:sz w:val="30"/>
          <w:szCs w:val="30"/>
        </w:rPr>
        <w:t xml:space="preserve"> 药品网络销售企业报告信息发生变化的，应当在相关信息发生变化之日起10个工作日内，填写《药品网络销售企业报告变更表》（附件2）变更报告信息，并提供以下材料：</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（一）《药品网络销售企业报告信息表》（变更，附件2）；</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（二）《营业执照》信息变化的，提供变更后的《营业执照》；</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（三）药品生产（经营）许可证发生变更的，提供变更或换证后的相应证件；</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四）自建网站或移动互联网应用程序开展药品网络销售，且《互联网药品信息服务资格证书》、网站域名注册证书或网站ICP许可（备案）资料信息发生变化的，提供变更后的《互联网药品信息服务资格证书》、网站域名注册证书或ICP许可（备案）资料。</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02" w:firstLineChars="200"/>
        <w:jc w:val="both"/>
        <w:textAlignment w:val="auto"/>
        <w:rPr>
          <w:rFonts w:hint="eastAsia" w:ascii="仿宋" w:hAnsi="仿宋" w:eastAsia="仿宋" w:cs="仿宋"/>
          <w:bCs/>
          <w:sz w:val="30"/>
          <w:szCs w:val="30"/>
        </w:rPr>
      </w:pPr>
      <w:r>
        <w:rPr>
          <w:rFonts w:hint="eastAsia" w:ascii="仿宋" w:hAnsi="仿宋" w:eastAsia="仿宋" w:cs="仿宋"/>
          <w:b/>
          <w:sz w:val="30"/>
          <w:szCs w:val="30"/>
        </w:rPr>
        <w:t>第十二条</w:t>
      </w:r>
      <w:r>
        <w:rPr>
          <w:rFonts w:hint="eastAsia" w:ascii="仿宋" w:hAnsi="仿宋" w:eastAsia="仿宋" w:cs="仿宋"/>
          <w:bCs/>
          <w:sz w:val="30"/>
          <w:szCs w:val="30"/>
        </w:rPr>
        <w:t xml:space="preserve"> </w:t>
      </w:r>
      <w:r>
        <w:rPr>
          <w:rFonts w:hint="eastAsia" w:ascii="仿宋" w:hAnsi="仿宋" w:eastAsia="仿宋" w:cs="仿宋"/>
          <w:bCs/>
          <w:color w:val="auto"/>
          <w:sz w:val="30"/>
          <w:szCs w:val="30"/>
          <w:lang w:val="en-US" w:eastAsia="zh-CN"/>
        </w:rPr>
        <w:t>从事药品网络销售的药品上市许可持有人、药品批发企业、药品零售企业的药品发货地址应当与其许可的生产、经营或库房地址一致，且经营方式和经营范围应当与许可的内容一致。零售连锁企业门店从事网络药品销售的，发货地址可以为零售连锁总部仓库地址。</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bCs/>
          <w:sz w:val="30"/>
          <w:szCs w:val="30"/>
        </w:rPr>
      </w:pPr>
      <w:r>
        <w:rPr>
          <w:rFonts w:hint="eastAsia" w:ascii="仿宋" w:hAnsi="仿宋" w:eastAsia="仿宋" w:cs="仿宋"/>
          <w:b/>
          <w:sz w:val="30"/>
          <w:szCs w:val="30"/>
        </w:rPr>
        <w:t>第十三条</w:t>
      </w:r>
      <w:r>
        <w:rPr>
          <w:rFonts w:hint="eastAsia" w:ascii="仿宋" w:hAnsi="仿宋" w:eastAsia="仿宋" w:cs="仿宋"/>
          <w:bCs/>
          <w:sz w:val="30"/>
          <w:szCs w:val="30"/>
        </w:rPr>
        <w:t xml:space="preserve">  从事药品网络销售的企业禁止通过网络销售疫苗、血液制品、麻醉药品、精神药品、医疗用毒性药品、放射性药品、药品类易制毒化学品等国家实施特殊管理的药品。具体品种按照法律法规、行政规章以及国家药品监督管理局制定的《药品网络销售禁止清单》的规定执行。</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药品网络零售企业不得违反规定通过买药品赠药品、买商品赠药品等促销方式，或通过抽奖、答题、竞猜等方式赠送处方药、甲类非处方药。不得以盲盒形式在网络上销售药品。</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hint="eastAsia" w:ascii="仿宋" w:hAnsi="仿宋" w:eastAsia="仿宋" w:cs="仿宋"/>
          <w:bCs/>
          <w:sz w:val="30"/>
          <w:szCs w:val="30"/>
        </w:rPr>
      </w:pPr>
      <w:r>
        <w:rPr>
          <w:rFonts w:hint="eastAsia" w:ascii="仿宋" w:hAnsi="仿宋" w:eastAsia="仿宋" w:cs="仿宋"/>
          <w:b/>
          <w:sz w:val="30"/>
          <w:szCs w:val="30"/>
        </w:rPr>
        <w:t>第十四条</w:t>
      </w:r>
      <w:r>
        <w:rPr>
          <w:rFonts w:hint="eastAsia" w:ascii="仿宋" w:hAnsi="仿宋" w:eastAsia="仿宋" w:cs="仿宋"/>
          <w:bCs/>
          <w:sz w:val="30"/>
          <w:szCs w:val="30"/>
        </w:rPr>
        <w:t xml:space="preserve">  药品网络销售企业应当在网站首页或者从事经营活动的主页面显著位置持续展示以下资质信息：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（一）药品生产或者经营许可证信息，至少包括企业名称、许可证编号、注册地址、生产（经营）地址、生产（经营）范围、许可证有效期；</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（二）药品网络零售企业配备的提供在线药学服务的人员资格信息，至少包括执业药师的注册证书或者其他药学技术人员的职称资格证书。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展示的资质信息应当与向药品监督管理部门报告的信息一致。信息发生变化的，应当在10个工作日内更新。</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bCs/>
          <w:sz w:val="30"/>
          <w:szCs w:val="30"/>
        </w:rPr>
      </w:pPr>
      <w:r>
        <w:rPr>
          <w:rFonts w:hint="eastAsia" w:ascii="仿宋" w:hAnsi="仿宋" w:eastAsia="仿宋" w:cs="仿宋"/>
          <w:b/>
          <w:sz w:val="30"/>
          <w:szCs w:val="30"/>
        </w:rPr>
        <w:t>第十五条</w:t>
      </w:r>
      <w:r>
        <w:rPr>
          <w:rFonts w:hint="eastAsia" w:ascii="仿宋" w:hAnsi="仿宋" w:eastAsia="仿宋" w:cs="仿宋"/>
          <w:bCs/>
          <w:sz w:val="30"/>
          <w:szCs w:val="30"/>
        </w:rPr>
        <w:t xml:space="preserve">  药品网络销售企业展示药品信息应当真实、准确、合法。</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药品网络零售企业应当将处方药与非处方药区分展示，并在相关页面上显著标示处方药、非处方药。药品网络销售企业应当在销售页面的显著位置，设置专门用于发布药品（非处方药）信息的药品信息展示区域。药品（非处方药）信息展示区域中可发布药品的通用名称、商品名称、规格、剂型、产地、适应症或者功能主治、药品注册证书编号、不良反应、禁忌、包装、药品上市许可持有人、用法用量等信息，且发布的内容应当与经注册或者批准的相关内容或药品包装、标签、说明书保持一致。</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药品信息展示区域以外发布的内容，应当严格遵守《中华人民共和国广告法》《中华人民共和国反不正当竞争法》等其他相关法律法规的规定。</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pPr>
      <w:r>
        <w:rPr>
          <w:rFonts w:hint="eastAsia" w:ascii="仿宋" w:hAnsi="仿宋" w:eastAsia="仿宋" w:cs="仿宋"/>
          <w:b/>
          <w:sz w:val="30"/>
          <w:szCs w:val="30"/>
        </w:rPr>
        <w:t>第十六条</w:t>
      </w:r>
      <w:r>
        <w:rPr>
          <w:rFonts w:hint="eastAsia" w:ascii="仿宋" w:hAnsi="仿宋" w:eastAsia="仿宋" w:cs="仿宋"/>
          <w:bCs/>
          <w:sz w:val="30"/>
          <w:szCs w:val="30"/>
        </w:rPr>
        <w:t xml:space="preserve">  </w:t>
      </w:r>
      <w:r>
        <w:rPr>
          <w:rFonts w:hint="eastAsia" w:ascii="仿宋" w:hAnsi="仿宋" w:eastAsia="仿宋" w:cs="仿宋"/>
          <w:bCs/>
          <w:kern w:val="0"/>
          <w:sz w:val="30"/>
          <w:szCs w:val="30"/>
          <w:lang w:val="en-US" w:eastAsia="zh-CN" w:bidi="ar-SA"/>
        </w:rPr>
        <w:t>从事处方药销售的药品网络零售企业和第三方平台的网站首页、医药健康行业板块首页和平台商家店铺主页，不得展示处方药包装、标签</w:t>
      </w:r>
      <w:r>
        <w:rPr>
          <w:rFonts w:hint="eastAsia" w:ascii="仿宋" w:hAnsi="仿宋" w:eastAsia="仿宋" w:cs="仿宋"/>
          <w:bCs/>
          <w:sz w:val="30"/>
          <w:szCs w:val="30"/>
        </w:rPr>
        <w:t>、说明书</w:t>
      </w:r>
      <w:r>
        <w:rPr>
          <w:rFonts w:hint="eastAsia" w:ascii="仿宋" w:hAnsi="仿宋" w:eastAsia="仿宋" w:cs="仿宋"/>
          <w:bCs/>
          <w:kern w:val="0"/>
          <w:sz w:val="30"/>
          <w:szCs w:val="30"/>
          <w:lang w:val="en-US" w:eastAsia="zh-CN" w:bidi="ar-SA"/>
        </w:rPr>
        <w:t>等信息。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从事处方药销售的药品网络零售企业，应当在每个药品展示页面下突出显示“处方药须凭处方在药师指导下购买和使用”等风险警示信息。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pPr>
      <w:r>
        <w:rPr>
          <w:rFonts w:hint="eastAsia" w:ascii="仿宋" w:hAnsi="仿宋" w:eastAsia="仿宋" w:cs="仿宋"/>
          <w:bCs/>
          <w:kern w:val="0"/>
          <w:sz w:val="30"/>
          <w:szCs w:val="30"/>
          <w:lang w:val="en-US" w:eastAsia="zh-CN" w:bidi="ar-SA"/>
        </w:rPr>
        <w:t>处方通过审核前，销售页面不得展示或提供处方药药品说明书，页面内容不得含有功能主治、适应症、用法用量等信息，不得提供处方调配、在线支付等服务。处方药销售前，应当向消费者充分告知相关风险警示信息，并经消费者确认知情。</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bCs/>
          <w:sz w:val="30"/>
          <w:szCs w:val="30"/>
        </w:rPr>
      </w:pPr>
      <w:r>
        <w:rPr>
          <w:rFonts w:hint="eastAsia" w:ascii="仿宋" w:hAnsi="仿宋" w:eastAsia="仿宋" w:cs="仿宋"/>
          <w:b/>
          <w:sz w:val="30"/>
          <w:szCs w:val="30"/>
        </w:rPr>
        <w:t>第十七条</w:t>
      </w:r>
      <w:r>
        <w:rPr>
          <w:rFonts w:hint="eastAsia" w:ascii="仿宋" w:hAnsi="仿宋" w:eastAsia="仿宋" w:cs="仿宋"/>
          <w:bCs/>
          <w:sz w:val="30"/>
          <w:szCs w:val="30"/>
        </w:rPr>
        <w:t xml:space="preserve">  药品网络销售企业通过网络向个人销售处方药的，应当与电子处方提供单位签订协议，明确双方责任，确保处方来源真实、可靠。</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电子处方提供单位是互联网医院的，应当与其签订协议，并保存互联网医院执业资质及处方样例。</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bCs/>
          <w:sz w:val="30"/>
          <w:szCs w:val="30"/>
        </w:rPr>
      </w:pPr>
      <w:r>
        <w:rPr>
          <w:rFonts w:hint="eastAsia" w:ascii="仿宋" w:hAnsi="仿宋" w:eastAsia="仿宋" w:cs="仿宋"/>
          <w:b/>
          <w:sz w:val="30"/>
          <w:szCs w:val="30"/>
        </w:rPr>
        <w:t>第十八条</w:t>
      </w:r>
      <w:r>
        <w:rPr>
          <w:rFonts w:hint="eastAsia" w:ascii="仿宋" w:hAnsi="仿宋" w:eastAsia="仿宋" w:cs="仿宋"/>
          <w:bCs/>
          <w:sz w:val="30"/>
          <w:szCs w:val="30"/>
        </w:rPr>
        <w:t xml:space="preserve">  从事处方药销售的药品网络零售企业应当对购药人信息实行实名制管理。</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药品使用人的实名制管理，应当按照国家卫生健康委和国家中医药局联合发布的《互联网诊疗监管细则（试行）》有关规定执行。</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bCs/>
          <w:sz w:val="30"/>
          <w:szCs w:val="30"/>
        </w:rPr>
      </w:pPr>
      <w:r>
        <w:rPr>
          <w:rFonts w:hint="eastAsia" w:ascii="仿宋" w:hAnsi="仿宋" w:eastAsia="仿宋" w:cs="仿宋"/>
          <w:b/>
          <w:sz w:val="30"/>
          <w:szCs w:val="30"/>
        </w:rPr>
        <w:t>第十九条</w:t>
      </w:r>
      <w:r>
        <w:rPr>
          <w:rFonts w:hint="eastAsia" w:ascii="仿宋" w:hAnsi="仿宋" w:eastAsia="仿宋" w:cs="仿宋"/>
          <w:bCs/>
          <w:sz w:val="30"/>
          <w:szCs w:val="30"/>
        </w:rPr>
        <w:t xml:space="preserve"> 销售处方药的药品网络零售企业应当在处方药销售后一个月内从第三方平台下载并保存处方、在线药学服务等记录，相关记录保存期限不少于5年，且不少于药品有效期满后1年。</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bCs/>
          <w:sz w:val="30"/>
          <w:szCs w:val="30"/>
        </w:rPr>
      </w:pPr>
      <w:r>
        <w:rPr>
          <w:rFonts w:hint="eastAsia" w:ascii="仿宋" w:hAnsi="仿宋" w:eastAsia="仿宋" w:cs="仿宋"/>
          <w:b/>
          <w:sz w:val="30"/>
          <w:szCs w:val="30"/>
        </w:rPr>
        <w:t>第二十条</w:t>
      </w:r>
      <w:r>
        <w:rPr>
          <w:rFonts w:hint="eastAsia" w:ascii="仿宋" w:hAnsi="仿宋" w:eastAsia="仿宋" w:cs="仿宋"/>
          <w:bCs/>
          <w:sz w:val="30"/>
          <w:szCs w:val="30"/>
        </w:rPr>
        <w:t xml:space="preserve">  药品网络销售企业应当建立并保存完整的药品网络销售记录。</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通过网络向个人销售药品的，应当以纸质或者电子形式出具销售凭证。销售凭证应当标明药品通用名称、药品上市许可持有人（中药饮片标明生产企业、产地）、产品批号、剂型、规格、销售数量、销售价格、销售日期、销售企业名称等内容。药品最小销售单元的销售凭证应当清晰留存，确保真实、完整、准确、可追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bCs/>
          <w:sz w:val="30"/>
          <w:szCs w:val="30"/>
        </w:rPr>
      </w:pPr>
      <w:r>
        <w:rPr>
          <w:rFonts w:hint="eastAsia" w:ascii="仿宋" w:hAnsi="仿宋" w:eastAsia="仿宋" w:cs="仿宋"/>
          <w:b/>
          <w:sz w:val="30"/>
          <w:szCs w:val="30"/>
        </w:rPr>
        <w:t>第二十一条</w:t>
      </w:r>
      <w:r>
        <w:rPr>
          <w:rFonts w:hint="eastAsia" w:ascii="仿宋" w:hAnsi="仿宋" w:eastAsia="仿宋" w:cs="仿宋"/>
          <w:bCs/>
          <w:sz w:val="30"/>
          <w:szCs w:val="30"/>
        </w:rPr>
        <w:t xml:space="preserve">  药品网络零售配送应当符合《药品经营质量管理规范附录6：药品零售配送质量管理》的相关要求。应当在药品配送过程中采取有效的质量控制措施，满足药品信息化追溯要求，实现药品配送全过程质量可控、可追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药品网络零售企业委托其他单位配送药品时，应当与受托企业签订质量保证协议，并将配送单位的配送活动纳入药品质量管理体系管理，并对配送单位的配送设施设备、人员能力、质量保障能力、风险控制能力进行审核并开展定期审计。药品网络销售企业可以委托行业协会等第三方机构对配送单位进行审计，同时对审计结果负责。</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bCs/>
          <w:sz w:val="30"/>
          <w:szCs w:val="30"/>
        </w:rPr>
      </w:pPr>
      <w:r>
        <w:rPr>
          <w:rFonts w:hint="eastAsia" w:ascii="仿宋" w:hAnsi="仿宋" w:eastAsia="仿宋" w:cs="仿宋"/>
          <w:b/>
          <w:sz w:val="30"/>
          <w:szCs w:val="30"/>
        </w:rPr>
        <w:t>第二十二条</w:t>
      </w:r>
      <w:r>
        <w:rPr>
          <w:rFonts w:hint="eastAsia" w:ascii="仿宋" w:hAnsi="仿宋" w:eastAsia="仿宋" w:cs="仿宋"/>
          <w:bCs/>
          <w:sz w:val="30"/>
          <w:szCs w:val="30"/>
        </w:rPr>
        <w:t xml:space="preserve">  鼓励药品网络零售企业、第三方平台为公众提供24小时药学服务。</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通过其他第三方机构开展远程药学服务的，其他第三方机构的远程药学服务系统应当与药品网络零售企业、第三方平台实时连接，并具有视频语音、文件传输、执业药师处方确认签字等功能，能够提供在线用药咨询、用药指导、处方审核等服务。</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bCs/>
          <w:sz w:val="30"/>
          <w:szCs w:val="30"/>
        </w:rPr>
      </w:pPr>
      <w:r>
        <w:rPr>
          <w:rFonts w:hint="eastAsia" w:ascii="仿宋" w:hAnsi="仿宋" w:eastAsia="仿宋" w:cs="仿宋"/>
          <w:bCs/>
          <w:sz w:val="30"/>
          <w:szCs w:val="30"/>
        </w:rPr>
        <w:t>药品网络零售企业委托其他第三方机构开展远程药学服务的，应当对其他第三方机构药学服务进行评估，确保其提供服务的执业药师能够遵守职业道德准则，可以为公众提供专业、真实、准确、全面的药学服务，并对其他第三方机构提供的药学服务结果负责。</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02" w:firstLineChars="200"/>
        <w:jc w:val="left"/>
        <w:textAlignment w:val="auto"/>
        <w:rPr>
          <w:rFonts w:ascii="仿宋" w:hAnsi="仿宋" w:eastAsia="仿宋" w:cs="仿宋"/>
          <w:bCs/>
          <w:sz w:val="30"/>
          <w:szCs w:val="30"/>
        </w:rPr>
      </w:pPr>
      <w:r>
        <w:rPr>
          <w:rFonts w:hint="eastAsia" w:ascii="仿宋" w:hAnsi="仿宋" w:eastAsia="仿宋" w:cs="仿宋"/>
          <w:b/>
          <w:bCs/>
          <w:sz w:val="30"/>
          <w:szCs w:val="30"/>
        </w:rPr>
        <w:t>第二十三条</w:t>
      </w:r>
      <w:r>
        <w:rPr>
          <w:rFonts w:ascii="Calibri" w:hAnsi="Calibri" w:eastAsia="仿宋" w:cs="Calibri"/>
          <w:bCs/>
          <w:sz w:val="30"/>
          <w:szCs w:val="30"/>
        </w:rPr>
        <w:t>  </w:t>
      </w:r>
      <w:r>
        <w:rPr>
          <w:rFonts w:hint="eastAsia" w:ascii="仿宋" w:hAnsi="仿宋" w:eastAsia="仿宋" w:cs="仿宋"/>
          <w:bCs/>
          <w:kern w:val="0"/>
          <w:sz w:val="30"/>
          <w:szCs w:val="30"/>
          <w:lang w:val="en-US" w:eastAsia="zh-CN" w:bidi="ar-SA"/>
        </w:rPr>
        <w:t>药品网络销售企业发现药品存在质量问题或者安全隐患的，应当依法采取以下措施：</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（一）立即停止销售相关品种或者批次药品；</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（二）召回已售出的相关品种或者批次药品；</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hint="eastAsia" w:ascii="仿宋" w:hAnsi="仿宋" w:eastAsia="仿宋" w:cs="仿宋"/>
          <w:bCs/>
          <w:sz w:val="30"/>
          <w:szCs w:val="30"/>
        </w:rPr>
      </w:pPr>
      <w:r>
        <w:rPr>
          <w:rFonts w:hint="eastAsia" w:ascii="仿宋" w:hAnsi="仿宋" w:eastAsia="仿宋" w:cs="仿宋"/>
          <w:bCs/>
          <w:sz w:val="30"/>
          <w:szCs w:val="30"/>
        </w:rPr>
        <w:t>（三）在药品网络销售的企业网站、应用程序首页或者经营活动主页面显示相应信息。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Style w:val="9"/>
          <w:rFonts w:ascii="黑体" w:hAnsi="黑体" w:eastAsia="黑体" w:cs="黑体"/>
          <w:b w:val="0"/>
          <w:bCs/>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jc w:val="center"/>
        <w:textAlignment w:val="auto"/>
        <w:rPr>
          <w:rStyle w:val="9"/>
          <w:rFonts w:ascii="黑体" w:hAnsi="黑体" w:eastAsia="黑体" w:cs="黑体"/>
          <w:sz w:val="32"/>
          <w:szCs w:val="32"/>
        </w:rPr>
      </w:pPr>
      <w:r>
        <w:rPr>
          <w:rStyle w:val="9"/>
          <w:rFonts w:hint="eastAsia" w:ascii="黑体" w:hAnsi="黑体" w:eastAsia="黑体" w:cs="黑体"/>
          <w:sz w:val="32"/>
          <w:szCs w:val="32"/>
        </w:rPr>
        <w:t>第三章  第三方平台管理</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42" w:firstLineChars="200"/>
        <w:jc w:val="both"/>
        <w:textAlignment w:val="auto"/>
        <w:rPr>
          <w:rStyle w:val="9"/>
          <w:rFonts w:ascii="黑体" w:hAnsi="黑体" w:eastAsia="黑体" w:cs="黑体"/>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sz w:val="30"/>
          <w:szCs w:val="30"/>
        </w:rPr>
        <w:t xml:space="preserve">第二十四条 </w:t>
      </w:r>
      <w:r>
        <w:rPr>
          <w:rFonts w:ascii="Calibri" w:hAnsi="Calibri" w:eastAsia="仿宋" w:cs="Calibri"/>
          <w:sz w:val="30"/>
          <w:szCs w:val="30"/>
        </w:rPr>
        <w:t>  </w:t>
      </w:r>
      <w:r>
        <w:rPr>
          <w:rFonts w:hint="eastAsia" w:ascii="Calibri" w:hAnsi="Calibri" w:eastAsia="仿宋" w:cs="Calibri"/>
          <w:sz w:val="30"/>
          <w:szCs w:val="30"/>
        </w:rPr>
        <w:t xml:space="preserve"> </w:t>
      </w:r>
      <w:r>
        <w:rPr>
          <w:rFonts w:hint="eastAsia" w:ascii="仿宋" w:hAnsi="仿宋" w:eastAsia="仿宋" w:cs="仿宋"/>
          <w:sz w:val="30"/>
          <w:szCs w:val="30"/>
        </w:rPr>
        <w:t>第三方平台应当按照《药品管理法》</w:t>
      </w:r>
      <w:bookmarkStart w:id="0" w:name="_Hlk161586592"/>
      <w:r>
        <w:rPr>
          <w:rFonts w:hint="eastAsia" w:ascii="仿宋" w:hAnsi="仿宋" w:eastAsia="仿宋" w:cs="仿宋"/>
          <w:sz w:val="30"/>
          <w:szCs w:val="30"/>
        </w:rPr>
        <w:t>《药品网络销售监督管理办法》</w:t>
      </w:r>
      <w:bookmarkEnd w:id="0"/>
      <w:r>
        <w:rPr>
          <w:rFonts w:hint="eastAsia" w:ascii="仿宋" w:hAnsi="仿宋" w:eastAsia="仿宋" w:cs="仿宋"/>
          <w:sz w:val="30"/>
          <w:szCs w:val="30"/>
        </w:rPr>
        <w:t>的要求，设置专门的药品质量安全管理机构，明确药品质量管理职责，承担并履行相应管理责任。</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第三方平台药品质量安全管理机构应明确质量安全管理机构负责人，质量</w:t>
      </w:r>
      <w:r>
        <w:rPr>
          <w:rFonts w:hint="eastAsia" w:ascii="仿宋" w:hAnsi="仿宋" w:eastAsia="仿宋" w:cs="仿宋"/>
          <w:sz w:val="30"/>
          <w:szCs w:val="30"/>
          <w:lang w:eastAsia="zh-CN"/>
        </w:rPr>
        <w:t>安全</w:t>
      </w:r>
      <w:r>
        <w:rPr>
          <w:rFonts w:hint="eastAsia" w:ascii="仿宋" w:hAnsi="仿宋" w:eastAsia="仿宋" w:cs="仿宋"/>
          <w:sz w:val="30"/>
          <w:szCs w:val="30"/>
        </w:rPr>
        <w:t>管理机构负责人应当熟悉药品监督管理的法律、法规、规章、制度，具有国家认可的相关药学专业学历或药学职称</w:t>
      </w:r>
      <w:r>
        <w:rPr>
          <w:rFonts w:hint="eastAsia" w:ascii="仿宋" w:hAnsi="仿宋" w:eastAsia="仿宋" w:cs="仿宋"/>
          <w:sz w:val="30"/>
          <w:szCs w:val="30"/>
        </w:rPr>
        <w:t>。药品质量安全管理机构应配备与第三方平台药品业务类型、规模、接收入驻药品网络销售企业数量等相适应的执业药师或者其他经资格认定的药学技术人员，负责药品质量管理及指导合理用药。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sz w:val="30"/>
          <w:szCs w:val="30"/>
        </w:rPr>
        <w:t xml:space="preserve">第二十五条 </w:t>
      </w:r>
      <w:r>
        <w:rPr>
          <w:rFonts w:hint="eastAsia" w:ascii="仿宋" w:hAnsi="仿宋" w:eastAsia="仿宋" w:cs="仿宋"/>
          <w:sz w:val="30"/>
          <w:szCs w:val="30"/>
        </w:rPr>
        <w:t>第三方平台应当按照《药品网络销售监督管理办法》的要求，建立并实施以下管理制度：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（一）药品质量安全制度；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（二）药品信息发布和展示制度；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（三）药学技术服务制度；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（四）药品配送管理制度；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（五）交易记录保存和调取制度；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（六）药品不良反应收集报告制度；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（七）投诉举报处理制度；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（八）入驻企业入网经营资质审核及定期核验制度；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（九）入驻企业规范从事药品网络销售活动的检查、监测及处置制度；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（十）入驻企业经营的药品合法性及质量安全保障能力审核制度；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（十一）药品追溯管理制度；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（十二）</w:t>
      </w:r>
      <w:r>
        <w:rPr>
          <w:rFonts w:hint="eastAsia" w:ascii="仿宋" w:hAnsi="仿宋" w:eastAsia="仿宋" w:cs="仿宋"/>
          <w:sz w:val="30"/>
          <w:szCs w:val="30"/>
        </w:rPr>
        <w:t>其他应当建立并实施的管理制度。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第三方平台承接并提供电子处方的，还应当建立以下制度：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（一）对电子处方提供方的合法资质核实制度；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（二）电子处方管理制度；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（三）处方药销售管理制度。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sz w:val="30"/>
          <w:szCs w:val="30"/>
        </w:rPr>
        <w:t>第二十六条</w:t>
      </w:r>
      <w:r>
        <w:rPr>
          <w:rFonts w:ascii="Calibri" w:hAnsi="Calibri" w:eastAsia="仿宋" w:cs="Calibri"/>
          <w:sz w:val="30"/>
          <w:szCs w:val="30"/>
        </w:rPr>
        <w:t> </w:t>
      </w:r>
      <w:r>
        <w:rPr>
          <w:rFonts w:hint="eastAsia" w:ascii="Calibri" w:hAnsi="Calibri" w:eastAsia="仿宋" w:cs="Calibri"/>
          <w:sz w:val="30"/>
          <w:szCs w:val="30"/>
        </w:rPr>
        <w:t xml:space="preserve"> </w:t>
      </w:r>
      <w:r>
        <w:rPr>
          <w:rFonts w:ascii="Calibri" w:hAnsi="Calibri" w:eastAsia="仿宋" w:cs="Calibri"/>
          <w:sz w:val="30"/>
          <w:szCs w:val="30"/>
        </w:rPr>
        <w:t> </w:t>
      </w:r>
      <w:r>
        <w:rPr>
          <w:rFonts w:hint="eastAsia" w:ascii="仿宋" w:hAnsi="仿宋" w:eastAsia="仿宋" w:cs="仿宋"/>
          <w:sz w:val="30"/>
          <w:szCs w:val="30"/>
        </w:rPr>
        <w:t>第三方平台应当在开展药品网络交易相关服务前，按照《药品网络销售监督管理办法》第十八条、《国家药监局关于规范药品网络销售备案和报告工作的公告》（</w:t>
      </w:r>
      <w:r>
        <w:rPr>
          <w:rFonts w:ascii="仿宋" w:hAnsi="仿宋" w:eastAsia="仿宋" w:cs="仿宋"/>
          <w:sz w:val="30"/>
          <w:szCs w:val="30"/>
        </w:rPr>
        <w:t>2022</w:t>
      </w:r>
      <w:r>
        <w:rPr>
          <w:rFonts w:hint="eastAsia" w:ascii="仿宋" w:hAnsi="仿宋" w:eastAsia="仿宋" w:cs="仿宋"/>
          <w:sz w:val="30"/>
          <w:szCs w:val="30"/>
        </w:rPr>
        <w:t>年第</w:t>
      </w:r>
      <w:r>
        <w:rPr>
          <w:rFonts w:ascii="仿宋" w:hAnsi="仿宋" w:eastAsia="仿宋" w:cs="仿宋"/>
          <w:sz w:val="30"/>
          <w:szCs w:val="30"/>
        </w:rPr>
        <w:t>112</w:t>
      </w:r>
      <w:r>
        <w:rPr>
          <w:rFonts w:hint="eastAsia" w:ascii="仿宋" w:hAnsi="仿宋" w:eastAsia="仿宋" w:cs="仿宋"/>
          <w:sz w:val="30"/>
          <w:szCs w:val="30"/>
        </w:rPr>
        <w:t>号）的要求向</w:t>
      </w:r>
      <w:r>
        <w:rPr>
          <w:rFonts w:hint="default" w:ascii="仿宋" w:hAnsi="仿宋" w:eastAsia="仿宋" w:cs="仿宋"/>
          <w:sz w:val="30"/>
          <w:szCs w:val="30"/>
          <w:lang w:val="en"/>
        </w:rPr>
        <w:t>江西省药品监督管理局</w:t>
      </w:r>
      <w:r>
        <w:rPr>
          <w:rFonts w:hint="eastAsia" w:ascii="仿宋" w:hAnsi="仿宋" w:eastAsia="仿宋" w:cs="仿宋"/>
          <w:sz w:val="30"/>
          <w:szCs w:val="30"/>
        </w:rPr>
        <w:t>进行备案。备案应当如实填写备案信息，提交备案材料，并对备案信息和备案材料的真实性、合法性、有效性承担法律责任。</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备案信息包括：企业名称、法定代表人、统一社会信用代码、网站名称、网络客户端应用程序名、网站域名、网站IP地址、电信业务经营许可证编号、互联网药品信息服务资格证书编号、非经营性互联网信息服务备案编号等。</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bookmarkStart w:id="1" w:name="_Hlk163311948"/>
      <w:r>
        <w:rPr>
          <w:rFonts w:hint="eastAsia" w:ascii="仿宋" w:hAnsi="仿宋" w:eastAsia="仿宋" w:cs="仿宋"/>
          <w:b/>
          <w:sz w:val="30"/>
          <w:szCs w:val="30"/>
        </w:rPr>
        <w:t>第二十七条</w:t>
      </w:r>
      <w:bookmarkEnd w:id="1"/>
      <w:r>
        <w:rPr>
          <w:rFonts w:ascii="Calibri" w:hAnsi="Calibri" w:eastAsia="仿宋" w:cs="Calibri"/>
          <w:sz w:val="30"/>
          <w:szCs w:val="30"/>
        </w:rPr>
        <w:t>  </w:t>
      </w:r>
      <w:r>
        <w:rPr>
          <w:rFonts w:hint="default" w:ascii="仿宋" w:hAnsi="仿宋" w:eastAsia="仿宋" w:cs="仿宋"/>
          <w:sz w:val="30"/>
          <w:szCs w:val="30"/>
          <w:lang w:val="en"/>
        </w:rPr>
        <w:t>江西省药品监督管理局</w:t>
      </w:r>
      <w:r>
        <w:rPr>
          <w:rFonts w:hint="eastAsia" w:ascii="仿宋" w:hAnsi="仿宋" w:eastAsia="仿宋" w:cs="仿宋"/>
          <w:sz w:val="30"/>
          <w:szCs w:val="30"/>
        </w:rPr>
        <w:t>对第三方平台提交的备案信息和备案材料进行核对。符合要求的，公示备案信息；不符合要求的，一次性告知补齐补正事项以及不予备案理由。</w:t>
      </w:r>
    </w:p>
    <w:p>
      <w:pPr>
        <w:keepNext w:val="0"/>
        <w:keepLines w:val="0"/>
        <w:pageBreakBefore w:val="0"/>
        <w:kinsoku/>
        <w:wordWrap/>
        <w:overflowPunct/>
        <w:topLinePunct w:val="0"/>
        <w:autoSpaceDE/>
        <w:autoSpaceDN/>
        <w:bidi w:val="0"/>
        <w:adjustRightInd/>
        <w:snapToGrid/>
        <w:spacing w:line="576" w:lineRule="exact"/>
        <w:ind w:left="0" w:firstLine="602" w:firstLineChars="200"/>
        <w:textAlignment w:val="auto"/>
        <w:rPr>
          <w:rFonts w:ascii="仿宋" w:hAnsi="仿宋" w:eastAsia="仿宋" w:cs="仿宋"/>
          <w:kern w:val="0"/>
          <w:sz w:val="30"/>
          <w:szCs w:val="30"/>
        </w:rPr>
      </w:pPr>
      <w:r>
        <w:rPr>
          <w:rFonts w:hint="eastAsia" w:ascii="仿宋" w:hAnsi="仿宋" w:eastAsia="仿宋" w:cs="仿宋"/>
          <w:b/>
          <w:kern w:val="0"/>
          <w:sz w:val="30"/>
          <w:szCs w:val="30"/>
        </w:rPr>
        <w:t xml:space="preserve">第二十八条 </w:t>
      </w:r>
      <w:r>
        <w:rPr>
          <w:rFonts w:ascii="仿宋" w:hAnsi="仿宋" w:eastAsia="仿宋" w:cs="仿宋"/>
          <w:kern w:val="0"/>
          <w:sz w:val="30"/>
          <w:szCs w:val="30"/>
        </w:rPr>
        <w:t>对</w:t>
      </w:r>
      <w:r>
        <w:rPr>
          <w:rFonts w:hint="eastAsia" w:ascii="仿宋" w:hAnsi="仿宋" w:eastAsia="仿宋" w:cs="仿宋"/>
          <w:kern w:val="0"/>
          <w:sz w:val="30"/>
          <w:szCs w:val="30"/>
        </w:rPr>
        <w:t>备案</w:t>
      </w:r>
      <w:r>
        <w:rPr>
          <w:rFonts w:ascii="仿宋" w:hAnsi="仿宋" w:eastAsia="仿宋" w:cs="仿宋"/>
          <w:kern w:val="0"/>
          <w:sz w:val="30"/>
          <w:szCs w:val="30"/>
        </w:rPr>
        <w:t>材料齐全的</w:t>
      </w:r>
      <w:r>
        <w:rPr>
          <w:rFonts w:hint="eastAsia" w:ascii="仿宋" w:hAnsi="仿宋" w:eastAsia="仿宋" w:cs="仿宋"/>
          <w:kern w:val="0"/>
          <w:sz w:val="30"/>
          <w:szCs w:val="30"/>
        </w:rPr>
        <w:t>第三方平台，予以备案，</w:t>
      </w:r>
      <w:r>
        <w:rPr>
          <w:rFonts w:ascii="仿宋" w:hAnsi="仿宋" w:eastAsia="仿宋" w:cs="仿宋"/>
          <w:kern w:val="0"/>
          <w:sz w:val="30"/>
          <w:szCs w:val="30"/>
        </w:rPr>
        <w:t>生成</w:t>
      </w:r>
      <w:r>
        <w:rPr>
          <w:rFonts w:hint="eastAsia" w:ascii="仿宋" w:hAnsi="仿宋" w:eastAsia="仿宋" w:cs="仿宋"/>
          <w:kern w:val="0"/>
          <w:sz w:val="30"/>
          <w:szCs w:val="30"/>
        </w:rPr>
        <w:t>《药品网络交易第三方平台备案信息》及备案编号</w:t>
      </w:r>
      <w:r>
        <w:rPr>
          <w:rFonts w:ascii="仿宋" w:hAnsi="仿宋" w:eastAsia="仿宋" w:cs="仿宋"/>
          <w:kern w:val="0"/>
          <w:sz w:val="30"/>
          <w:szCs w:val="30"/>
        </w:rPr>
        <w:t>。</w:t>
      </w:r>
    </w:p>
    <w:p>
      <w:pPr>
        <w:keepNext w:val="0"/>
        <w:keepLines w:val="0"/>
        <w:pageBreakBefore w:val="0"/>
        <w:kinsoku/>
        <w:wordWrap/>
        <w:overflowPunct/>
        <w:topLinePunct w:val="0"/>
        <w:autoSpaceDE/>
        <w:autoSpaceDN/>
        <w:bidi w:val="0"/>
        <w:adjustRightInd/>
        <w:snapToGrid/>
        <w:spacing w:line="576" w:lineRule="exact"/>
        <w:ind w:left="0" w:firstLine="600" w:firstLineChars="200"/>
        <w:textAlignment w:val="auto"/>
        <w:rPr>
          <w:rFonts w:ascii="仿宋" w:hAnsi="仿宋" w:eastAsia="仿宋" w:cs="仿宋"/>
          <w:kern w:val="0"/>
          <w:sz w:val="30"/>
          <w:szCs w:val="30"/>
        </w:rPr>
      </w:pPr>
      <w:r>
        <w:rPr>
          <w:rFonts w:hint="eastAsia" w:ascii="仿宋" w:hAnsi="仿宋" w:eastAsia="仿宋" w:cs="仿宋"/>
          <w:kern w:val="0"/>
          <w:sz w:val="30"/>
          <w:szCs w:val="30"/>
        </w:rPr>
        <w:t>备案</w:t>
      </w:r>
      <w:r>
        <w:rPr>
          <w:rFonts w:ascii="仿宋" w:hAnsi="仿宋" w:eastAsia="仿宋" w:cs="仿宋"/>
          <w:kern w:val="0"/>
          <w:sz w:val="30"/>
          <w:szCs w:val="30"/>
        </w:rPr>
        <w:t>编号规则为：（</w:t>
      </w:r>
      <w:r>
        <w:rPr>
          <w:rFonts w:hint="eastAsia" w:ascii="仿宋" w:hAnsi="仿宋" w:eastAsia="仿宋" w:cs="仿宋"/>
          <w:kern w:val="0"/>
          <w:sz w:val="30"/>
          <w:szCs w:val="30"/>
        </w:rPr>
        <w:t>赣</w:t>
      </w:r>
      <w:r>
        <w:rPr>
          <w:rFonts w:ascii="仿宋" w:hAnsi="仿宋" w:eastAsia="仿宋" w:cs="仿宋"/>
          <w:kern w:val="0"/>
          <w:sz w:val="30"/>
          <w:szCs w:val="30"/>
        </w:rPr>
        <w:t>）</w:t>
      </w:r>
      <w:r>
        <w:rPr>
          <w:rFonts w:hint="eastAsia" w:ascii="仿宋" w:hAnsi="仿宋" w:eastAsia="仿宋" w:cs="仿宋"/>
          <w:kern w:val="0"/>
          <w:sz w:val="30"/>
          <w:szCs w:val="30"/>
        </w:rPr>
        <w:t>网药平台备字</w:t>
      </w:r>
      <w:r>
        <w:rPr>
          <w:rFonts w:ascii="仿宋" w:hAnsi="仿宋" w:eastAsia="仿宋" w:cs="仿宋"/>
          <w:kern w:val="0"/>
          <w:sz w:val="30"/>
          <w:szCs w:val="30"/>
        </w:rPr>
        <w:t>+〔年度〕+</w:t>
      </w:r>
      <w:r>
        <w:rPr>
          <w:rFonts w:hint="eastAsia" w:ascii="仿宋" w:hAnsi="仿宋" w:eastAsia="仿宋" w:cs="仿宋"/>
          <w:kern w:val="0"/>
          <w:sz w:val="30"/>
          <w:szCs w:val="30"/>
        </w:rPr>
        <w:t>6</w:t>
      </w:r>
      <w:r>
        <w:rPr>
          <w:rFonts w:ascii="仿宋" w:hAnsi="仿宋" w:eastAsia="仿宋" w:cs="仿宋"/>
          <w:kern w:val="0"/>
          <w:sz w:val="30"/>
          <w:szCs w:val="30"/>
        </w:rPr>
        <w:t>位</w:t>
      </w:r>
      <w:r>
        <w:rPr>
          <w:rFonts w:hint="eastAsia" w:ascii="仿宋" w:hAnsi="仿宋" w:eastAsia="仿宋" w:cs="仿宋"/>
          <w:kern w:val="0"/>
          <w:sz w:val="30"/>
          <w:szCs w:val="30"/>
        </w:rPr>
        <w:t>数流水号</w:t>
      </w:r>
      <w:r>
        <w:rPr>
          <w:rFonts w:ascii="仿宋" w:hAnsi="仿宋" w:eastAsia="仿宋" w:cs="仿宋"/>
          <w:kern w:val="0"/>
          <w:sz w:val="30"/>
          <w:szCs w:val="30"/>
        </w:rPr>
        <w:t>+三位</w:t>
      </w:r>
      <w:r>
        <w:rPr>
          <w:rFonts w:hint="eastAsia" w:ascii="仿宋" w:hAnsi="仿宋" w:eastAsia="仿宋" w:cs="仿宋"/>
          <w:kern w:val="0"/>
          <w:sz w:val="30"/>
          <w:szCs w:val="30"/>
        </w:rPr>
        <w:t>数变更号</w:t>
      </w:r>
      <w:r>
        <w:rPr>
          <w:rFonts w:ascii="仿宋" w:hAnsi="仿宋" w:eastAsia="仿宋" w:cs="仿宋"/>
          <w:kern w:val="0"/>
          <w:sz w:val="30"/>
          <w:szCs w:val="30"/>
        </w:rPr>
        <w:t>，</w:t>
      </w:r>
      <w:r>
        <w:rPr>
          <w:rFonts w:hint="eastAsia" w:ascii="仿宋" w:hAnsi="仿宋" w:eastAsia="仿宋" w:cs="仿宋"/>
          <w:kern w:val="0"/>
          <w:sz w:val="30"/>
          <w:szCs w:val="30"/>
        </w:rPr>
        <w:t>如：（赣）网药平台备字〔2024〕000001-000号。备案发生变更的，按照平台变更次数进行编号，如是第一次变更的，即为：（赣）网药平台备字〔2024〕000001-001号。</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 xml:space="preserve">第二十九条 </w:t>
      </w:r>
      <w:r>
        <w:rPr>
          <w:rFonts w:hint="default" w:ascii="仿宋" w:hAnsi="仿宋" w:eastAsia="仿宋" w:cs="仿宋"/>
          <w:sz w:val="30"/>
          <w:szCs w:val="30"/>
          <w:lang w:val="en"/>
        </w:rPr>
        <w:t>江西省药品监督管理局</w:t>
      </w:r>
      <w:r>
        <w:rPr>
          <w:rFonts w:hint="eastAsia" w:ascii="仿宋" w:hAnsi="仿宋" w:eastAsia="仿宋" w:cs="仿宋"/>
          <w:sz w:val="30"/>
          <w:szCs w:val="30"/>
        </w:rPr>
        <w:t>应当</w:t>
      </w:r>
      <w:r>
        <w:rPr>
          <w:rFonts w:hint="eastAsia" w:ascii="仿宋" w:hAnsi="仿宋" w:eastAsia="仿宋" w:cs="仿宋"/>
          <w:sz w:val="30"/>
          <w:szCs w:val="30"/>
          <w:lang w:eastAsia="zh-CN"/>
        </w:rPr>
        <w:t>在</w:t>
      </w:r>
      <w:r>
        <w:rPr>
          <w:rFonts w:hint="eastAsia" w:ascii="仿宋" w:hAnsi="仿宋" w:eastAsia="仿宋" w:cs="仿宋"/>
          <w:sz w:val="30"/>
          <w:szCs w:val="30"/>
        </w:rPr>
        <w:t>第三方平台备案后7个工作日内向社会公开备案信息。公开的备案信息应包括：企业名称、法定代表人、网站名称、网络客户端应用程序名、网站域名、网站IP地址、电信业务经营许可证和非经营性互联网信息服务备案编号、药品网络交易第三方平台备案编号等。</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sz w:val="30"/>
          <w:szCs w:val="30"/>
        </w:rPr>
        <w:t xml:space="preserve">第三十条 </w:t>
      </w:r>
      <w:r>
        <w:rPr>
          <w:rFonts w:ascii="Calibri" w:hAnsi="Calibri" w:eastAsia="仿宋" w:cs="Calibri"/>
          <w:sz w:val="30"/>
          <w:szCs w:val="30"/>
        </w:rPr>
        <w:t>  </w:t>
      </w:r>
      <w:r>
        <w:rPr>
          <w:rFonts w:hint="eastAsia" w:ascii="仿宋" w:hAnsi="仿宋" w:eastAsia="仿宋" w:cs="仿宋"/>
          <w:sz w:val="30"/>
          <w:szCs w:val="30"/>
        </w:rPr>
        <w:t>第三方平台的公示备案信息发生变化的，应当在相关信息变化之日起10个工作日内向</w:t>
      </w:r>
      <w:r>
        <w:rPr>
          <w:rFonts w:hint="default" w:ascii="仿宋" w:hAnsi="仿宋" w:eastAsia="仿宋" w:cs="仿宋"/>
          <w:sz w:val="30"/>
          <w:szCs w:val="30"/>
          <w:lang w:val="en"/>
        </w:rPr>
        <w:t>江西省药品监督管理局</w:t>
      </w:r>
      <w:r>
        <w:rPr>
          <w:rFonts w:hint="eastAsia" w:ascii="仿宋" w:hAnsi="仿宋" w:eastAsia="仿宋" w:cs="仿宋"/>
          <w:sz w:val="30"/>
          <w:szCs w:val="30"/>
        </w:rPr>
        <w:t>办理变更备案。</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sz w:val="30"/>
          <w:szCs w:val="30"/>
        </w:rPr>
        <w:t xml:space="preserve">第三十一条 </w:t>
      </w:r>
      <w:r>
        <w:rPr>
          <w:rFonts w:ascii="Calibri" w:hAnsi="Calibri" w:eastAsia="仿宋" w:cs="Calibri"/>
          <w:sz w:val="30"/>
          <w:szCs w:val="30"/>
        </w:rPr>
        <w:t>  </w:t>
      </w:r>
      <w:r>
        <w:rPr>
          <w:rFonts w:hint="eastAsia" w:ascii="仿宋" w:hAnsi="仿宋" w:eastAsia="仿宋" w:cs="仿宋"/>
          <w:sz w:val="30"/>
          <w:szCs w:val="30"/>
        </w:rPr>
        <w:t>第三方平台不再开展相关业务的，应当提前20个工作日在平台首页显著位置持续公告有关信息，主动向</w:t>
      </w:r>
      <w:r>
        <w:rPr>
          <w:rFonts w:hint="default" w:ascii="仿宋" w:hAnsi="仿宋" w:eastAsia="仿宋" w:cs="仿宋"/>
          <w:sz w:val="30"/>
          <w:szCs w:val="30"/>
          <w:lang w:val="en"/>
        </w:rPr>
        <w:t>江西省药品监督管理局</w:t>
      </w:r>
      <w:r>
        <w:rPr>
          <w:rFonts w:hint="eastAsia" w:ascii="仿宋" w:hAnsi="仿宋" w:eastAsia="仿宋" w:cs="仿宋"/>
          <w:sz w:val="30"/>
          <w:szCs w:val="30"/>
        </w:rPr>
        <w:t>办理取消备案。取消备案的材料需加盖企业公章，内容应当包括拟取消的备案信息、重新备案前不再开展药品网络交易第三方平台服务的承诺声明等。</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lang w:eastAsia="zh-CN"/>
        </w:rPr>
        <w:t>江西省药品检查员中心</w:t>
      </w:r>
      <w:r>
        <w:rPr>
          <w:rFonts w:hint="eastAsia" w:ascii="仿宋" w:hAnsi="仿宋" w:eastAsia="仿宋" w:cs="仿宋"/>
          <w:sz w:val="30"/>
          <w:szCs w:val="30"/>
        </w:rPr>
        <w:t>在日常检查中发现第三方平台备案信息与实际不符的，应督促企业及时更新备案信息；第三方平台无法取得联系的，经</w:t>
      </w:r>
      <w:r>
        <w:rPr>
          <w:rFonts w:hint="default" w:ascii="仿宋" w:hAnsi="仿宋" w:eastAsia="仿宋" w:cs="仿宋"/>
          <w:sz w:val="30"/>
          <w:szCs w:val="30"/>
          <w:lang w:val="en"/>
        </w:rPr>
        <w:t>江西省药品监督管理局</w:t>
      </w:r>
      <w:r>
        <w:rPr>
          <w:rFonts w:hint="eastAsia" w:ascii="仿宋" w:hAnsi="仿宋" w:eastAsia="仿宋" w:cs="仿宋"/>
          <w:sz w:val="30"/>
          <w:szCs w:val="30"/>
        </w:rPr>
        <w:t>公示10个工作日后，仍无法取得联系或无法开展现场检查的，予以取消备案。</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取消备案的，</w:t>
      </w:r>
      <w:r>
        <w:rPr>
          <w:rFonts w:hint="default" w:ascii="仿宋" w:hAnsi="仿宋" w:eastAsia="仿宋" w:cs="仿宋"/>
          <w:sz w:val="30"/>
          <w:szCs w:val="30"/>
          <w:lang w:val="en"/>
        </w:rPr>
        <w:t>江西省药品监督管理局</w:t>
      </w:r>
      <w:r>
        <w:rPr>
          <w:rFonts w:hint="eastAsia" w:ascii="仿宋" w:hAnsi="仿宋" w:eastAsia="仿宋" w:cs="仿宋"/>
          <w:sz w:val="30"/>
          <w:szCs w:val="30"/>
        </w:rPr>
        <w:t>应在7个工作日内向社会公示。</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已办理取消备案的企业拟重新开展药品网络交易第三方平台服务的，应当重新向</w:t>
      </w:r>
      <w:r>
        <w:rPr>
          <w:rFonts w:hint="default" w:ascii="仿宋" w:hAnsi="仿宋" w:eastAsia="仿宋" w:cs="仿宋"/>
          <w:sz w:val="30"/>
          <w:szCs w:val="30"/>
          <w:lang w:val="en"/>
        </w:rPr>
        <w:t>江西省药品监督管理局</w:t>
      </w:r>
      <w:r>
        <w:rPr>
          <w:rFonts w:hint="eastAsia" w:ascii="仿宋" w:hAnsi="仿宋" w:eastAsia="仿宋" w:cs="仿宋"/>
          <w:sz w:val="30"/>
          <w:szCs w:val="30"/>
        </w:rPr>
        <w:t>办理备案。</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sz w:val="30"/>
          <w:szCs w:val="30"/>
        </w:rPr>
        <w:t xml:space="preserve">第三十二条 </w:t>
      </w:r>
      <w:r>
        <w:rPr>
          <w:rFonts w:ascii="Calibri" w:hAnsi="Calibri" w:eastAsia="仿宋" w:cs="Calibri"/>
          <w:b/>
          <w:sz w:val="30"/>
          <w:szCs w:val="30"/>
        </w:rPr>
        <w:t> </w:t>
      </w:r>
      <w:r>
        <w:rPr>
          <w:rFonts w:ascii="Calibri" w:hAnsi="Calibri" w:eastAsia="仿宋" w:cs="Calibri"/>
          <w:sz w:val="30"/>
          <w:szCs w:val="30"/>
        </w:rPr>
        <w:t> </w:t>
      </w:r>
      <w:r>
        <w:rPr>
          <w:rFonts w:hint="eastAsia" w:ascii="仿宋" w:hAnsi="仿宋" w:eastAsia="仿宋" w:cs="仿宋"/>
          <w:sz w:val="30"/>
          <w:szCs w:val="30"/>
        </w:rPr>
        <w:t>第三方平台应当在其网站首页或者从事药品网络经营服务活动的主页面显著位置，持续公示以下信息或者信息的链接标识：</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（一）营业执照；</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（二）电信业务经营许可证、互联网药品信息服务资格证书和非经营性互联网信息服务资格证书或编号；</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（三）</w:t>
      </w:r>
      <w:r>
        <w:rPr>
          <w:rFonts w:hint="default" w:ascii="仿宋" w:hAnsi="仿宋" w:eastAsia="仿宋" w:cs="仿宋"/>
          <w:sz w:val="30"/>
          <w:szCs w:val="30"/>
          <w:lang w:val="en"/>
        </w:rPr>
        <w:t>江西省药品监督管理局</w:t>
      </w:r>
      <w:r>
        <w:rPr>
          <w:rFonts w:hint="eastAsia" w:ascii="仿宋" w:hAnsi="仿宋" w:eastAsia="仿宋" w:cs="仿宋"/>
          <w:sz w:val="30"/>
          <w:szCs w:val="30"/>
        </w:rPr>
        <w:t>公示的《药品网络交易第三方平台备案信息》；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（四）投诉举报方式；</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（五）联系方式；</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（六）其他应当公示的信息。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sz w:val="30"/>
          <w:szCs w:val="30"/>
        </w:rPr>
        <w:t xml:space="preserve">第三十三条 </w:t>
      </w:r>
      <w:r>
        <w:rPr>
          <w:rFonts w:ascii="Calibri" w:hAnsi="Calibri" w:eastAsia="仿宋" w:cs="Calibri"/>
          <w:sz w:val="30"/>
          <w:szCs w:val="30"/>
        </w:rPr>
        <w:t>  </w:t>
      </w:r>
      <w:r>
        <w:rPr>
          <w:rFonts w:hint="eastAsia" w:ascii="仿宋" w:hAnsi="仿宋" w:eastAsia="仿宋" w:cs="仿宋"/>
          <w:sz w:val="30"/>
          <w:szCs w:val="30"/>
        </w:rPr>
        <w:t>第三方平台展示的药品相关信息应当真实、准确、合法，并符合《药品网络销售监督管理办法》第十三条的规定。</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hint="eastAsia" w:ascii="仿宋" w:hAnsi="仿宋" w:eastAsia="仿宋" w:cs="仿宋"/>
          <w:color w:val="FF0000"/>
          <w:sz w:val="30"/>
          <w:szCs w:val="30"/>
          <w:lang w:eastAsia="zh-CN"/>
        </w:rPr>
      </w:pPr>
      <w:r>
        <w:rPr>
          <w:rFonts w:hint="eastAsia" w:ascii="仿宋" w:hAnsi="仿宋" w:eastAsia="仿宋" w:cs="仿宋"/>
          <w:sz w:val="30"/>
          <w:szCs w:val="30"/>
        </w:rPr>
        <w:t>第三方平台应当对入驻本平台的网络销售经营主体发布的药品网络销售信息进行审核检查；对入驻本平台的药品网络销售企业发布的不符合《药品网络销售监督管理办法》要求的药品信息，及时进行规范和纠正</w:t>
      </w:r>
      <w:r>
        <w:rPr>
          <w:rFonts w:hint="eastAsia" w:ascii="仿宋" w:hAnsi="仿宋" w:eastAsia="仿宋" w:cs="仿宋"/>
          <w:sz w:val="30"/>
          <w:szCs w:val="30"/>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sz w:val="30"/>
          <w:szCs w:val="30"/>
        </w:rPr>
        <w:t xml:space="preserve">第三十四条 </w:t>
      </w:r>
      <w:r>
        <w:rPr>
          <w:rFonts w:ascii="Calibri" w:hAnsi="Calibri" w:eastAsia="仿宋" w:cs="Calibri"/>
          <w:sz w:val="30"/>
          <w:szCs w:val="30"/>
        </w:rPr>
        <w:t>  </w:t>
      </w:r>
      <w:r>
        <w:rPr>
          <w:rFonts w:hint="eastAsia" w:ascii="仿宋" w:hAnsi="仿宋" w:eastAsia="仿宋" w:cs="仿宋"/>
          <w:sz w:val="30"/>
          <w:szCs w:val="30"/>
        </w:rPr>
        <w:t>第三方平台应当对申请入驻的药品网络销售企业的经营资质及能力进行审核，签订明确药品质量安全责任的协议，并建立登记档案。档案内容包括：</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（一）营业执照；</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（二）药品生产或者经营许可证；</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（三）药品网络销售企业药品质量安全保证能力的有关材料；</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（四）第三方平台与入驻药品网络销售企业签订的药品质量安全协议。</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以上内容发生变更的，药品网络销售企业应当及时告知第三方平台。第三方平台应定期对入驻药品网络销售企业的信息档案进行核验，至少每6个月核验更新一次，并做好详细记录。相关记录保存期限不少于5年，确保入驻的药品网络销售企业持续符合法定要求。</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sz w:val="30"/>
          <w:szCs w:val="30"/>
        </w:rPr>
        <w:t xml:space="preserve">第三十五条 </w:t>
      </w:r>
      <w:r>
        <w:rPr>
          <w:rFonts w:ascii="Calibri" w:hAnsi="Calibri" w:eastAsia="仿宋" w:cs="Calibri"/>
          <w:sz w:val="30"/>
          <w:szCs w:val="30"/>
        </w:rPr>
        <w:t>  </w:t>
      </w:r>
      <w:r>
        <w:rPr>
          <w:rFonts w:hint="eastAsia" w:ascii="仿宋" w:hAnsi="仿宋" w:eastAsia="仿宋" w:cs="仿宋"/>
          <w:sz w:val="30"/>
          <w:szCs w:val="30"/>
        </w:rPr>
        <w:t>第三方平台应当保存药品网络交易产生的相关信息，确保有关信息、数据和资料真实、完整、可追溯，保存期限不少于5年，且不少于药品有效期满后1年。</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相关信息至少应包括：</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（一）入驻企业的档案；</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（二）药品展示信息；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（三）药品交易记录；</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（四）提供药学服务的药师信息及咨询记录信息；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（五）药品配送信息；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（六）投诉举报及处置信息；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（七）为处方药网络零售提供服务的第三方平台，还应当保存处方提供单位、开具处方的医师、处方和患者实名制的相关信息；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（八）可能影响药品信息追溯的其他应当保存的信息。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入驻的药品网络销售企业自行保存相关数据信息的，第三方平台应当提供便利和技术支持。</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sz w:val="30"/>
          <w:szCs w:val="30"/>
        </w:rPr>
        <w:t>第三十六条</w:t>
      </w:r>
      <w:r>
        <w:rPr>
          <w:rFonts w:ascii="Calibri" w:hAnsi="Calibri" w:eastAsia="仿宋" w:cs="Calibri"/>
          <w:b/>
          <w:sz w:val="30"/>
          <w:szCs w:val="30"/>
        </w:rPr>
        <w:t> </w:t>
      </w:r>
      <w:r>
        <w:rPr>
          <w:rFonts w:hint="eastAsia" w:ascii="仿宋" w:hAnsi="仿宋" w:eastAsia="仿宋" w:cs="仿宋"/>
          <w:b/>
          <w:sz w:val="30"/>
          <w:szCs w:val="30"/>
        </w:rPr>
        <w:t xml:space="preserve"> </w:t>
      </w:r>
      <w:r>
        <w:rPr>
          <w:rFonts w:ascii="Calibri" w:hAnsi="Calibri" w:eastAsia="仿宋" w:cs="Calibri"/>
          <w:sz w:val="30"/>
          <w:szCs w:val="30"/>
        </w:rPr>
        <w:t> </w:t>
      </w:r>
      <w:r>
        <w:rPr>
          <w:rFonts w:hint="eastAsia" w:ascii="Calibri" w:hAnsi="Calibri" w:eastAsia="仿宋" w:cs="Calibri"/>
          <w:sz w:val="30"/>
          <w:szCs w:val="30"/>
        </w:rPr>
        <w:t xml:space="preserve"> </w:t>
      </w:r>
      <w:r>
        <w:rPr>
          <w:rFonts w:hint="eastAsia" w:ascii="仿宋" w:hAnsi="仿宋" w:eastAsia="仿宋" w:cs="仿宋"/>
          <w:sz w:val="30"/>
          <w:szCs w:val="30"/>
        </w:rPr>
        <w:t>第三方平台应当对入驻平台的药品网络销售企业的经营行为加强日常检查监控，至少每6个月开展一次全面检查，并及时准确记录，督促入驻平台企业严格履行法定义务。</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经检查监控，发现入驻的药品上市许可持有人、药品批发企业、零售连锁总部存在违法违规行为的，应当及时制止，采取纠正措施并立即向</w:t>
      </w:r>
      <w:r>
        <w:rPr>
          <w:rFonts w:hint="default" w:ascii="仿宋" w:hAnsi="仿宋" w:eastAsia="仿宋" w:cs="仿宋"/>
          <w:sz w:val="30"/>
          <w:szCs w:val="30"/>
          <w:lang w:val="en"/>
        </w:rPr>
        <w:t>江西省药品监督管理局</w:t>
      </w:r>
      <w:r>
        <w:rPr>
          <w:rFonts w:hint="eastAsia" w:ascii="仿宋" w:hAnsi="仿宋" w:eastAsia="仿宋" w:cs="仿宋"/>
          <w:sz w:val="30"/>
          <w:szCs w:val="30"/>
        </w:rPr>
        <w:t>报告，如实提供有关线索证据。发现药品零售企业存在违法违规行为的，应当及时制止，采取纠正措施并立即向企业实际经营所在地的市县级药品监督管理部门报告，如实提供有关线索证据。</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sz w:val="30"/>
          <w:szCs w:val="30"/>
        </w:rPr>
        <w:t xml:space="preserve">第三十七条  </w:t>
      </w:r>
      <w:r>
        <w:rPr>
          <w:rFonts w:hint="eastAsia" w:ascii="仿宋" w:hAnsi="仿宋" w:eastAsia="仿宋" w:cs="仿宋"/>
          <w:sz w:val="30"/>
          <w:szCs w:val="30"/>
        </w:rPr>
        <w:t>第三方平台发现《药品网络销售监督管理办法》第二十三条规定的下列严重违法行为的，应当立即停止提供平台交易服务，停止展示药品相关信息：</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（一）不具备资质销售药品的；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（二）违反本办法第八条规定销售国家实行特殊管理的药品的；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（三）超过药品经营许可范围销售药品的；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（四）因违法行为被药品监督管理部门责令停止销售、吊销药品批准证明文件或者吊销药品经营许可证的；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（五）其他严重违法行为的。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药品注册证书被依法撤销、注销的，不得展示相关药品的信息。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bCs/>
          <w:sz w:val="30"/>
          <w:szCs w:val="30"/>
        </w:rPr>
      </w:pPr>
      <w:r>
        <w:rPr>
          <w:rFonts w:hint="eastAsia" w:ascii="仿宋" w:hAnsi="仿宋" w:eastAsia="仿宋" w:cs="仿宋"/>
          <w:b/>
          <w:sz w:val="30"/>
          <w:szCs w:val="30"/>
        </w:rPr>
        <w:t xml:space="preserve">第三十八条  </w:t>
      </w:r>
      <w:r>
        <w:rPr>
          <w:rFonts w:hint="eastAsia" w:ascii="仿宋" w:hAnsi="仿宋" w:eastAsia="仿宋" w:cs="仿宋"/>
          <w:bCs/>
          <w:sz w:val="30"/>
          <w:szCs w:val="30"/>
        </w:rPr>
        <w:t>第三方平台应当遵守国家有关应急处置规定，建立相应应急处置制度和预案，对出现突发公共卫生事件或者其他严重威胁公共安全的紧急事件时，应配合有关监管部门，依法迅速采取相应的控制和处置措施。</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rPr>
        <w:t xml:space="preserve">第三十九条 </w:t>
      </w:r>
      <w:r>
        <w:rPr>
          <w:rFonts w:ascii="Calibri" w:hAnsi="Calibri" w:eastAsia="仿宋" w:cs="Calibri"/>
          <w:sz w:val="30"/>
          <w:szCs w:val="30"/>
        </w:rPr>
        <w:t>  </w:t>
      </w:r>
      <w:r>
        <w:rPr>
          <w:rFonts w:hint="eastAsia" w:ascii="仿宋" w:hAnsi="仿宋" w:eastAsia="仿宋" w:cs="仿宋"/>
          <w:sz w:val="30"/>
          <w:szCs w:val="30"/>
        </w:rPr>
        <w:t>药品监督管理部门依法开展监督检查、案件查办、风险控制、事件处置等工作时，第三方平台应当予以配合协助</w:t>
      </w:r>
      <w:r>
        <w:rPr>
          <w:rFonts w:hint="eastAsia" w:ascii="仿宋" w:hAnsi="仿宋" w:eastAsia="仿宋" w:cs="仿宋"/>
          <w:sz w:val="30"/>
          <w:szCs w:val="30"/>
          <w:lang w:eastAsia="zh-CN"/>
        </w:rPr>
        <w:t>并履行</w:t>
      </w:r>
      <w:r>
        <w:rPr>
          <w:rFonts w:hint="eastAsia" w:ascii="仿宋" w:hAnsi="仿宋" w:eastAsia="仿宋" w:cs="仿宋"/>
          <w:sz w:val="30"/>
          <w:szCs w:val="30"/>
          <w:lang w:val="en-US" w:eastAsia="zh-CN"/>
        </w:rPr>
        <w:t>以下义务</w:t>
      </w:r>
      <w:r>
        <w:rPr>
          <w:rFonts w:hint="eastAsia" w:ascii="仿宋" w:hAnsi="仿宋" w:eastAsia="仿宋" w:cs="仿宋"/>
          <w:sz w:val="30"/>
          <w:szCs w:val="30"/>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（一）提供入驻本平台的药品网络销售企业、其他电子商务经营者有关信息；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（二）提供药品交易相关记录；</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（三）向个人销售处方药的，提供处方信息、处方提供单位信息、实名制购买信息；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（四）提供药学服务信息；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（五）提供药品配送、快递物流信息；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（六）提供药品追溯信息；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（七）依法对涉嫌违法的药品网络销售企业采取停止提供网络交易平台服务、关闭网络销售店铺页面等处置措施；</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（八）为药品监督管理部门实施的网络巡查、检查提供必要便利；</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（九）其他应当依法配合的情形。</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鼓励第三方平台与药品监督管理部门通过开放数据接口等形式实现对入驻企业经营行为的信息共享、在线监控、数据推送等协同治理机制。</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jc w:val="both"/>
        <w:textAlignment w:val="auto"/>
        <w:rPr>
          <w:rStyle w:val="9"/>
          <w:rFonts w:hint="eastAsia" w:ascii="黑体" w:hAnsi="黑体" w:eastAsia="黑体" w:cs="黑体"/>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jc w:val="center"/>
        <w:textAlignment w:val="auto"/>
        <w:rPr>
          <w:rStyle w:val="9"/>
          <w:rFonts w:ascii="黑体" w:hAnsi="黑体" w:eastAsia="黑体" w:cs="黑体"/>
          <w:sz w:val="32"/>
          <w:szCs w:val="32"/>
        </w:rPr>
      </w:pPr>
      <w:r>
        <w:rPr>
          <w:rStyle w:val="9"/>
          <w:rFonts w:hint="eastAsia" w:ascii="黑体" w:hAnsi="黑体" w:eastAsia="黑体" w:cs="黑体"/>
          <w:sz w:val="32"/>
          <w:szCs w:val="32"/>
        </w:rPr>
        <w:t>第四章  监督管理</w:t>
      </w:r>
    </w:p>
    <w:p>
      <w:pPr>
        <w:keepNext w:val="0"/>
        <w:keepLines w:val="0"/>
        <w:pageBreakBefore w:val="0"/>
        <w:kinsoku/>
        <w:wordWrap/>
        <w:overflowPunct/>
        <w:topLinePunct w:val="0"/>
        <w:autoSpaceDE/>
        <w:autoSpaceDN/>
        <w:bidi w:val="0"/>
        <w:adjustRightInd/>
        <w:snapToGrid/>
        <w:spacing w:line="576" w:lineRule="exact"/>
        <w:ind w:left="0" w:firstLine="420" w:firstLineChars="200"/>
        <w:textAlignment w:val="auto"/>
      </w:pP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bCs/>
          <w:sz w:val="30"/>
          <w:szCs w:val="30"/>
        </w:rPr>
        <w:t>第四十条</w:t>
      </w:r>
      <w:r>
        <w:rPr>
          <w:rFonts w:ascii="Calibri" w:hAnsi="Calibri" w:eastAsia="仿宋" w:cs="Calibri"/>
          <w:sz w:val="30"/>
          <w:szCs w:val="30"/>
        </w:rPr>
        <w:t> </w:t>
      </w:r>
      <w:r>
        <w:rPr>
          <w:rFonts w:hint="eastAsia" w:ascii="Calibri" w:hAnsi="Calibri" w:eastAsia="仿宋" w:cs="Calibri"/>
          <w:sz w:val="30"/>
          <w:szCs w:val="30"/>
        </w:rPr>
        <w:t xml:space="preserve"> </w:t>
      </w:r>
      <w:r>
        <w:rPr>
          <w:rFonts w:hint="eastAsia" w:ascii="Calibri" w:hAnsi="Calibri" w:eastAsia="仿宋" w:cs="Calibri"/>
          <w:sz w:val="30"/>
          <w:szCs w:val="30"/>
          <w:lang w:eastAsia="zh-CN"/>
        </w:rPr>
        <w:t>全省</w:t>
      </w:r>
      <w:r>
        <w:rPr>
          <w:rFonts w:hint="eastAsia" w:ascii="仿宋" w:hAnsi="仿宋" w:eastAsia="仿宋" w:cs="仿宋"/>
          <w:sz w:val="30"/>
          <w:szCs w:val="30"/>
        </w:rPr>
        <w:t>各级药品监督管理部门依照法律、法规、规章的规定，依职责分工对辖区药品网络销售企业和第三方平台实施监督检查，并建立年度日常监督检查计划，督促相关企业规范经营。</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hint="eastAsia" w:ascii="仿宋" w:hAnsi="仿宋" w:eastAsia="仿宋" w:cs="仿宋"/>
          <w:sz w:val="30"/>
          <w:szCs w:val="30"/>
          <w:lang w:eastAsia="zh-CN"/>
        </w:rPr>
      </w:pPr>
      <w:r>
        <w:rPr>
          <w:rFonts w:hint="eastAsia" w:ascii="仿宋" w:hAnsi="仿宋" w:eastAsia="仿宋" w:cs="仿宋"/>
          <w:b/>
          <w:bCs/>
          <w:sz w:val="30"/>
          <w:szCs w:val="30"/>
        </w:rPr>
        <w:t>第四十一条</w:t>
      </w:r>
      <w:r>
        <w:rPr>
          <w:rFonts w:hint="eastAsia" w:ascii="仿宋" w:hAnsi="仿宋" w:eastAsia="仿宋" w:cs="仿宋"/>
          <w:sz w:val="30"/>
          <w:szCs w:val="30"/>
        </w:rPr>
        <w:t xml:space="preserve"> 各级药品监督管理部门应当加强与网信、公安、卫生健康、通信管理、邮政管理等部门的联动协作，督促第三方平台有效落实平台管理责任，规范药品网络销售信息发布和经营行为，严厉打击扰乱网络市场秩序、违法违规生产经营等行为。</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bCs/>
          <w:sz w:val="30"/>
          <w:szCs w:val="30"/>
        </w:rPr>
        <w:t>第四十二条</w:t>
      </w:r>
      <w:r>
        <w:rPr>
          <w:rFonts w:hint="eastAsia" w:ascii="仿宋" w:hAnsi="仿宋" w:eastAsia="仿宋" w:cs="仿宋"/>
          <w:sz w:val="30"/>
          <w:szCs w:val="30"/>
        </w:rPr>
        <w:t xml:space="preserve"> </w:t>
      </w:r>
      <w:r>
        <w:rPr>
          <w:rFonts w:ascii="Calibri" w:hAnsi="Calibri" w:eastAsia="仿宋" w:cs="Calibri"/>
          <w:sz w:val="30"/>
          <w:szCs w:val="30"/>
        </w:rPr>
        <w:t> </w:t>
      </w:r>
      <w:r>
        <w:rPr>
          <w:rFonts w:hint="eastAsia" w:ascii="仿宋" w:hAnsi="仿宋" w:eastAsia="仿宋" w:cs="仿宋"/>
          <w:sz w:val="30"/>
          <w:szCs w:val="30"/>
        </w:rPr>
        <w:t>各级药品监督管理部门应对网络销售药品开展抽样检验。</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bCs/>
          <w:sz w:val="30"/>
          <w:szCs w:val="30"/>
        </w:rPr>
        <w:t>第四十三条</w:t>
      </w:r>
      <w:r>
        <w:rPr>
          <w:rFonts w:hint="eastAsia" w:ascii="仿宋" w:hAnsi="仿宋" w:eastAsia="仿宋" w:cs="仿宋"/>
          <w:sz w:val="30"/>
          <w:szCs w:val="30"/>
        </w:rPr>
        <w:t xml:space="preserve"> </w:t>
      </w:r>
      <w:r>
        <w:rPr>
          <w:rFonts w:ascii="Calibri" w:hAnsi="Calibri" w:eastAsia="仿宋" w:cs="Calibri"/>
          <w:sz w:val="30"/>
          <w:szCs w:val="30"/>
        </w:rPr>
        <w:t> </w:t>
      </w:r>
      <w:r>
        <w:rPr>
          <w:rFonts w:hint="eastAsia" w:ascii="仿宋" w:hAnsi="仿宋" w:eastAsia="仿宋" w:cs="仿宋"/>
          <w:sz w:val="30"/>
          <w:szCs w:val="30"/>
        </w:rPr>
        <w:t>有下列情形之一的，各级药品监督管理部门应当依职责实施重点监管：</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（一）新开办的通过自建网站从事药品网络销售的企业；</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（二）大型网络交易服务第三方平台；</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（三）上一年度监督检查中发现存在严重问题的；</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（四）因违反有关法律、法规、规章受到行政处罚的；</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（五）上一年度因违规经营被举报投诉较多的；</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（六）药品监督管理部门认为需要实施重点监管的其他情形。</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hint="eastAsia" w:ascii="仿宋" w:hAnsi="仿宋" w:eastAsia="仿宋" w:cs="仿宋"/>
          <w:sz w:val="30"/>
          <w:szCs w:val="30"/>
        </w:rPr>
      </w:pPr>
      <w:r>
        <w:rPr>
          <w:rFonts w:hint="eastAsia" w:ascii="仿宋" w:hAnsi="仿宋" w:eastAsia="仿宋" w:cs="仿宋"/>
          <w:b/>
          <w:bCs/>
          <w:sz w:val="30"/>
          <w:szCs w:val="30"/>
        </w:rPr>
        <w:t>第四十四条</w:t>
      </w:r>
      <w:r>
        <w:rPr>
          <w:rFonts w:hint="eastAsia" w:ascii="仿宋" w:hAnsi="仿宋" w:eastAsia="仿宋" w:cs="仿宋"/>
          <w:sz w:val="30"/>
          <w:szCs w:val="30"/>
        </w:rPr>
        <w:t xml:space="preserve">  </w:t>
      </w:r>
      <w:r>
        <w:rPr>
          <w:rFonts w:hint="default" w:ascii="仿宋" w:hAnsi="仿宋" w:eastAsia="仿宋" w:cs="仿宋"/>
          <w:sz w:val="30"/>
          <w:szCs w:val="30"/>
          <w:lang w:val="en"/>
        </w:rPr>
        <w:t>江西省药品监督管理局</w:t>
      </w:r>
      <w:r>
        <w:rPr>
          <w:rFonts w:hint="eastAsia" w:ascii="仿宋" w:hAnsi="仿宋" w:eastAsia="仿宋" w:cs="仿宋"/>
          <w:sz w:val="30"/>
          <w:szCs w:val="30"/>
        </w:rPr>
        <w:t>应当在第三方平台备案后3个月内组织开展现场检查，并确保每年至少开展1次检查。</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default" w:ascii="仿宋" w:hAnsi="仿宋" w:eastAsia="仿宋" w:cs="仿宋"/>
          <w:sz w:val="30"/>
          <w:szCs w:val="30"/>
          <w:lang w:val="en"/>
        </w:rPr>
        <w:t>江西省药品监督管理局</w:t>
      </w:r>
      <w:r>
        <w:rPr>
          <w:rFonts w:hint="eastAsia" w:ascii="仿宋" w:hAnsi="仿宋" w:eastAsia="仿宋" w:cs="仿宋"/>
          <w:sz w:val="30"/>
          <w:szCs w:val="30"/>
        </w:rPr>
        <w:t>在备案后现场检查或者日常监督检查中发现第三方平台的备案信息与实际情况不符的，应当责令改正或者限期改正。发现第三方平台提供虚假备案材料或者存在违法违规行为的，应当依法处理。情形严重的，应当向社会公示，并及时向同级通信管理部门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bCs/>
          <w:sz w:val="30"/>
          <w:szCs w:val="30"/>
        </w:rPr>
        <w:t>第四十五条</w:t>
      </w:r>
      <w:r>
        <w:rPr>
          <w:rFonts w:hint="eastAsia" w:ascii="仿宋" w:hAnsi="仿宋" w:eastAsia="仿宋" w:cs="仿宋"/>
          <w:sz w:val="30"/>
          <w:szCs w:val="30"/>
        </w:rPr>
        <w:t xml:space="preserve"> </w:t>
      </w:r>
      <w:r>
        <w:rPr>
          <w:rFonts w:ascii="Calibri" w:hAnsi="Calibri" w:eastAsia="仿宋" w:cs="Calibri"/>
          <w:sz w:val="30"/>
          <w:szCs w:val="30"/>
        </w:rPr>
        <w:t> </w:t>
      </w:r>
      <w:r>
        <w:rPr>
          <w:rFonts w:hint="eastAsia" w:ascii="仿宋" w:hAnsi="仿宋" w:eastAsia="仿宋" w:cs="仿宋"/>
          <w:sz w:val="30"/>
          <w:szCs w:val="30"/>
        </w:rPr>
        <w:t>药品网络销售企业和第三方平台有下列情形之一存在药品安全隐患的，各级药品监督管理部门可以按照《药品网络销售监督管理办法》第三十条的规定责令其暂停网络销售或者暂停提供相关网络交易服务：</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（一）建立的相关质量管理制度不符合药品质量管理要求；</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（二）网站或者网络客户端应用程序不符合保障药品安全的系统功能要求的；</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（三）药品网络销售企业未按照《药品网络销售监督管理办法》和本细则要求发布药品信息，存在安全隐患的；</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（四）存在安全隐患的其他情形。</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bCs/>
          <w:sz w:val="30"/>
          <w:szCs w:val="30"/>
        </w:rPr>
        <w:t>第四十六条</w:t>
      </w:r>
      <w:r>
        <w:rPr>
          <w:rFonts w:hint="eastAsia" w:ascii="仿宋" w:hAnsi="仿宋" w:eastAsia="仿宋" w:cs="仿宋"/>
          <w:sz w:val="30"/>
          <w:szCs w:val="30"/>
        </w:rPr>
        <w:t xml:space="preserve"> </w:t>
      </w:r>
      <w:r>
        <w:rPr>
          <w:rFonts w:ascii="Calibri" w:hAnsi="Calibri" w:eastAsia="仿宋" w:cs="Calibri"/>
          <w:sz w:val="30"/>
          <w:szCs w:val="30"/>
        </w:rPr>
        <w:t> </w:t>
      </w:r>
      <w:r>
        <w:rPr>
          <w:rFonts w:hint="eastAsia" w:ascii="仿宋" w:hAnsi="仿宋" w:eastAsia="仿宋" w:cs="仿宋"/>
          <w:sz w:val="30"/>
          <w:szCs w:val="30"/>
        </w:rPr>
        <w:t>各级药品监督管理部门应按照《药品网络销售监督管理办法》和本细则的要求加强药品网络销售和交易监测处置工作，对药品网络销售违法违规线索进行依法依规进行核查处置。</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国家、省级药品监督管理部门移送的药品网络销售监测线索，除另有要求的外，应当自线索移交之日起3个工作日内接收线索，在接收线索之日起10个工作日内启动核查，并在线索移交之日起40个工作日内完成反馈处置进度或结果。</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因情形复杂等特殊原因无法在40个工作日内完成核查处置的，应当在40个工作日期限届满前反馈处置进度，并申请延期；在线索核查处置完成后，及时更新、反馈处置进度和结果。</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ascii="仿宋" w:hAnsi="仿宋" w:eastAsia="仿宋" w:cs="仿宋"/>
          <w:sz w:val="30"/>
          <w:szCs w:val="30"/>
        </w:rPr>
      </w:pPr>
      <w:r>
        <w:rPr>
          <w:rFonts w:hint="eastAsia" w:ascii="仿宋" w:hAnsi="仿宋" w:eastAsia="仿宋" w:cs="仿宋"/>
          <w:sz w:val="30"/>
          <w:szCs w:val="30"/>
        </w:rPr>
        <w:t>鼓励各级药品监督管理部门结合本地实际自主开展药品网络销售监测工作。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ascii="仿宋" w:hAnsi="仿宋" w:eastAsia="仿宋" w:cs="仿宋"/>
          <w:sz w:val="30"/>
          <w:szCs w:val="30"/>
        </w:rPr>
      </w:pPr>
      <w:r>
        <w:rPr>
          <w:rFonts w:hint="eastAsia" w:ascii="仿宋" w:hAnsi="仿宋" w:eastAsia="仿宋" w:cs="仿宋"/>
          <w:b/>
          <w:sz w:val="30"/>
          <w:szCs w:val="30"/>
        </w:rPr>
        <w:t>第四十七条</w:t>
      </w:r>
      <w:r>
        <w:rPr>
          <w:rFonts w:ascii="Calibri" w:hAnsi="Calibri" w:eastAsia="仿宋" w:cs="Calibri"/>
          <w:sz w:val="30"/>
          <w:szCs w:val="30"/>
        </w:rPr>
        <w:t>  </w:t>
      </w:r>
      <w:r>
        <w:rPr>
          <w:rFonts w:hint="eastAsia" w:ascii="仿宋" w:hAnsi="仿宋" w:eastAsia="仿宋" w:cs="仿宋"/>
          <w:sz w:val="30"/>
          <w:szCs w:val="30"/>
        </w:rPr>
        <w:t>对通过监督检查、投诉举报、其他部门移送等渠道发现的药品网络销售违法违规线索，各级药品监督管理部门应当按照国家市场监管总局、国家药监局的相关规定进行调查处置。</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经核查，违法违规线索涉及的药品网络销售企业和第三方平台等超出本行政管辖区域</w:t>
      </w:r>
      <w:r>
        <w:rPr>
          <w:rFonts w:hint="eastAsia" w:ascii="仿宋" w:hAnsi="仿宋" w:eastAsia="仿宋" w:cs="仿宋"/>
          <w:sz w:val="30"/>
          <w:szCs w:val="30"/>
          <w:lang w:eastAsia="zh-CN"/>
        </w:rPr>
        <w:t>的</w:t>
      </w:r>
      <w:r>
        <w:rPr>
          <w:rFonts w:hint="eastAsia" w:ascii="仿宋" w:hAnsi="仿宋" w:eastAsia="仿宋" w:cs="仿宋"/>
          <w:sz w:val="30"/>
          <w:szCs w:val="30"/>
        </w:rPr>
        <w:t>，应当及时移送相关药品监督管理部门。</w:t>
      </w:r>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firstLine="602" w:firstLineChars="200"/>
        <w:jc w:val="both"/>
        <w:textAlignment w:val="auto"/>
        <w:rPr>
          <w:rFonts w:hint="eastAsia" w:ascii="仿宋" w:hAnsi="仿宋" w:eastAsia="仿宋" w:cs="仿宋"/>
          <w:color w:val="FF0000"/>
          <w:sz w:val="30"/>
          <w:szCs w:val="30"/>
        </w:rPr>
      </w:pPr>
      <w:r>
        <w:rPr>
          <w:rFonts w:hint="eastAsia" w:ascii="仿宋" w:hAnsi="仿宋" w:eastAsia="仿宋" w:cs="仿宋"/>
          <w:b/>
          <w:sz w:val="30"/>
          <w:szCs w:val="30"/>
        </w:rPr>
        <w:t>第四十八条</w:t>
      </w:r>
      <w:r>
        <w:rPr>
          <w:rFonts w:ascii="Calibri" w:hAnsi="Calibri" w:eastAsia="仿宋" w:cs="Calibri"/>
          <w:color w:val="FF0000"/>
          <w:sz w:val="30"/>
          <w:szCs w:val="30"/>
        </w:rPr>
        <w:t> </w:t>
      </w:r>
      <w:r>
        <w:rPr>
          <w:rFonts w:hint="eastAsia" w:ascii="仿宋" w:hAnsi="仿宋" w:eastAsia="仿宋" w:cs="仿宋"/>
          <w:color w:val="FF0000"/>
          <w:sz w:val="30"/>
          <w:szCs w:val="30"/>
        </w:rPr>
        <w:t xml:space="preserve"> </w:t>
      </w:r>
      <w:r>
        <w:rPr>
          <w:rFonts w:hint="eastAsia" w:ascii="仿宋" w:hAnsi="仿宋" w:eastAsia="仿宋" w:cs="仿宋"/>
          <w:sz w:val="30"/>
          <w:szCs w:val="30"/>
        </w:rPr>
        <w:t>对有证据证明可能存在安全隐患的，各级药品监督管理部门应根据监督检查情况，</w:t>
      </w:r>
      <w:r>
        <w:rPr>
          <w:rFonts w:hint="eastAsia" w:ascii="仿宋" w:hAnsi="仿宋" w:eastAsia="仿宋" w:cs="仿宋"/>
          <w:sz w:val="30"/>
          <w:szCs w:val="30"/>
          <w:lang w:val="en-US" w:eastAsia="zh-CN"/>
        </w:rPr>
        <w:t>依法</w:t>
      </w:r>
      <w:r>
        <w:rPr>
          <w:rFonts w:hint="eastAsia" w:ascii="仿宋" w:hAnsi="仿宋" w:eastAsia="仿宋" w:cs="仿宋"/>
          <w:sz w:val="30"/>
          <w:szCs w:val="30"/>
        </w:rPr>
        <w:t>对药品网络销售企业或者第三方平台等采取限</w:t>
      </w:r>
      <w:r>
        <w:rPr>
          <w:rFonts w:hint="eastAsia" w:ascii="仿宋" w:hAnsi="仿宋" w:eastAsia="仿宋" w:cs="仿宋"/>
          <w:sz w:val="30"/>
          <w:szCs w:val="30"/>
          <w:lang w:val="en-US" w:eastAsia="zh-CN"/>
        </w:rPr>
        <w:t>制</w:t>
      </w:r>
      <w:r>
        <w:rPr>
          <w:rFonts w:hint="eastAsia" w:ascii="仿宋" w:hAnsi="仿宋" w:eastAsia="仿宋" w:cs="仿宋"/>
          <w:sz w:val="30"/>
          <w:szCs w:val="30"/>
        </w:rPr>
        <w:t>销售、暂停销售等应急控制处置措施</w:t>
      </w:r>
      <w:r>
        <w:rPr>
          <w:rFonts w:hint="eastAsia" w:ascii="仿宋" w:hAnsi="仿宋" w:eastAsia="仿宋" w:cs="仿宋"/>
          <w:sz w:val="30"/>
          <w:szCs w:val="30"/>
          <w:lang w:eastAsia="zh-CN"/>
        </w:rPr>
        <w:t>。</w:t>
      </w:r>
      <w:r>
        <w:rPr>
          <w:rFonts w:hint="eastAsia" w:ascii="仿宋" w:hAnsi="仿宋" w:eastAsia="仿宋" w:cs="仿宋"/>
          <w:sz w:val="30"/>
          <w:szCs w:val="30"/>
        </w:rPr>
        <w:t>并依法及时对外公布检查处理结果。</w:t>
      </w:r>
    </w:p>
    <w:p>
      <w:pPr>
        <w:keepNext w:val="0"/>
        <w:keepLines w:val="0"/>
        <w:pageBreakBefore w:val="0"/>
        <w:kinsoku/>
        <w:wordWrap/>
        <w:overflowPunct/>
        <w:topLinePunct w:val="0"/>
        <w:autoSpaceDE/>
        <w:autoSpaceDN/>
        <w:bidi w:val="0"/>
        <w:adjustRightInd/>
        <w:snapToGrid/>
        <w:spacing w:line="576" w:lineRule="exact"/>
        <w:ind w:left="0"/>
        <w:textAlignment w:val="auto"/>
        <w:rPr>
          <w:rFonts w:hint="eastAsia"/>
        </w:rPr>
      </w:pPr>
      <w:bookmarkStart w:id="2" w:name="_GoBack"/>
      <w:bookmarkEnd w:id="2"/>
    </w:p>
    <w:p>
      <w:pPr>
        <w:pStyle w:val="6"/>
        <w:keepNext w:val="0"/>
        <w:keepLines w:val="0"/>
        <w:pageBreakBefore w:val="0"/>
        <w:widowControl/>
        <w:kinsoku/>
        <w:wordWrap/>
        <w:overflowPunct/>
        <w:topLinePunct w:val="0"/>
        <w:autoSpaceDE/>
        <w:autoSpaceDN/>
        <w:bidi w:val="0"/>
        <w:adjustRightInd/>
        <w:snapToGrid/>
        <w:spacing w:beforeAutospacing="0" w:afterAutospacing="0" w:line="576" w:lineRule="exact"/>
        <w:ind w:left="0"/>
        <w:jc w:val="center"/>
        <w:textAlignment w:val="auto"/>
        <w:rPr>
          <w:rStyle w:val="9"/>
          <w:rFonts w:hint="eastAsia" w:ascii="黑体" w:hAnsi="黑体" w:eastAsia="黑体" w:cs="黑体"/>
          <w:sz w:val="32"/>
          <w:szCs w:val="32"/>
        </w:rPr>
      </w:pPr>
      <w:r>
        <w:rPr>
          <w:rStyle w:val="9"/>
          <w:rFonts w:hint="eastAsia" w:ascii="黑体" w:hAnsi="黑体" w:eastAsia="黑体" w:cs="黑体"/>
          <w:sz w:val="32"/>
          <w:szCs w:val="32"/>
        </w:rPr>
        <w:t>第五章  附  则</w:t>
      </w:r>
    </w:p>
    <w:p>
      <w:pPr>
        <w:keepNext w:val="0"/>
        <w:keepLines w:val="0"/>
        <w:pageBreakBefore w:val="0"/>
        <w:kinsoku/>
        <w:wordWrap/>
        <w:overflowPunct/>
        <w:topLinePunct w:val="0"/>
        <w:autoSpaceDE/>
        <w:autoSpaceDN/>
        <w:bidi w:val="0"/>
        <w:adjustRightInd/>
        <w:snapToGrid/>
        <w:spacing w:line="576" w:lineRule="exact"/>
        <w:ind w:left="0" w:firstLine="628" w:firstLineChars="200"/>
        <w:textAlignment w:val="auto"/>
        <w:rPr>
          <w:rFonts w:ascii="仿宋_GB2312" w:hAnsi="仿宋_GB2312" w:eastAsia="仿宋_GB2312"/>
          <w:spacing w:val="-3"/>
          <w:kern w:val="0"/>
          <w:sz w:val="32"/>
          <w:szCs w:val="32"/>
        </w:rPr>
      </w:pPr>
    </w:p>
    <w:p>
      <w:pPr>
        <w:keepNext w:val="0"/>
        <w:keepLines w:val="0"/>
        <w:pageBreakBefore w:val="0"/>
        <w:kinsoku/>
        <w:wordWrap/>
        <w:overflowPunct/>
        <w:topLinePunct w:val="0"/>
        <w:autoSpaceDE/>
        <w:autoSpaceDN/>
        <w:bidi w:val="0"/>
        <w:adjustRightInd/>
        <w:snapToGrid/>
        <w:spacing w:line="576" w:lineRule="exact"/>
        <w:ind w:left="0"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第四十九条  本细则由江西省药品监督管理局负责解释。</w:t>
      </w:r>
    </w:p>
    <w:p>
      <w:pPr>
        <w:keepNext w:val="0"/>
        <w:keepLines w:val="0"/>
        <w:pageBreakBefore w:val="0"/>
        <w:kinsoku/>
        <w:wordWrap/>
        <w:overflowPunct/>
        <w:topLinePunct w:val="0"/>
        <w:autoSpaceDE/>
        <w:autoSpaceDN/>
        <w:bidi w:val="0"/>
        <w:adjustRightInd/>
        <w:snapToGrid/>
        <w:spacing w:line="576" w:lineRule="exact"/>
        <w:ind w:left="0" w:firstLine="600" w:firstLineChars="200"/>
        <w:textAlignment w:val="auto"/>
        <w:rPr>
          <w:rFonts w:ascii="仿宋" w:hAnsi="仿宋" w:eastAsia="仿宋" w:cs="仿宋"/>
          <w:kern w:val="0"/>
          <w:sz w:val="30"/>
          <w:szCs w:val="30"/>
        </w:rPr>
      </w:pPr>
      <w:r>
        <w:rPr>
          <w:rFonts w:hint="eastAsia" w:ascii="仿宋" w:hAnsi="仿宋" w:eastAsia="仿宋" w:cs="仿宋"/>
          <w:kern w:val="0"/>
          <w:sz w:val="30"/>
          <w:szCs w:val="30"/>
        </w:rPr>
        <w:t>第五十条  本细则自2024年  月  日起施行。</w:t>
      </w:r>
    </w:p>
    <w:p>
      <w:pPr>
        <w:keepNext w:val="0"/>
        <w:keepLines w:val="0"/>
        <w:pageBreakBefore w:val="0"/>
        <w:kinsoku/>
        <w:wordWrap/>
        <w:overflowPunct/>
        <w:topLinePunct w:val="0"/>
        <w:autoSpaceDE/>
        <w:autoSpaceDN/>
        <w:bidi w:val="0"/>
        <w:adjustRightInd/>
        <w:snapToGrid/>
        <w:spacing w:line="576" w:lineRule="exact"/>
        <w:ind w:left="0" w:firstLine="600" w:firstLineChars="200"/>
        <w:textAlignment w:val="auto"/>
        <w:rPr>
          <w:rFonts w:ascii="仿宋" w:hAnsi="仿宋" w:eastAsia="仿宋" w:cs="仿宋"/>
          <w:kern w:val="0"/>
          <w:sz w:val="30"/>
          <w:szCs w:val="30"/>
        </w:rPr>
      </w:pPr>
    </w:p>
    <w:p>
      <w:pPr>
        <w:keepNext w:val="0"/>
        <w:keepLines w:val="0"/>
        <w:pageBreakBefore w:val="0"/>
        <w:kinsoku/>
        <w:wordWrap/>
        <w:overflowPunct/>
        <w:topLinePunct w:val="0"/>
        <w:autoSpaceDE/>
        <w:autoSpaceDN/>
        <w:bidi w:val="0"/>
        <w:adjustRightInd/>
        <w:snapToGrid/>
        <w:spacing w:line="576" w:lineRule="exact"/>
        <w:ind w:left="0" w:firstLine="600" w:firstLineChars="200"/>
        <w:textAlignment w:val="auto"/>
        <w:rPr>
          <w:rFonts w:ascii="仿宋" w:hAnsi="仿宋" w:eastAsia="仿宋" w:cs="仿宋"/>
          <w:kern w:val="0"/>
          <w:sz w:val="30"/>
          <w:szCs w:val="30"/>
        </w:rPr>
      </w:pPr>
    </w:p>
    <w:p>
      <w:pPr>
        <w:keepNext w:val="0"/>
        <w:keepLines w:val="0"/>
        <w:pageBreakBefore w:val="0"/>
        <w:kinsoku/>
        <w:wordWrap/>
        <w:overflowPunct/>
        <w:topLinePunct w:val="0"/>
        <w:autoSpaceDE/>
        <w:autoSpaceDN/>
        <w:bidi w:val="0"/>
        <w:adjustRightInd/>
        <w:snapToGrid/>
        <w:spacing w:line="576" w:lineRule="exact"/>
        <w:ind w:left="0" w:firstLine="600" w:firstLineChars="200"/>
        <w:textAlignment w:val="auto"/>
        <w:rPr>
          <w:rFonts w:ascii="仿宋" w:hAnsi="仿宋" w:eastAsia="仿宋" w:cs="仿宋"/>
          <w:kern w:val="0"/>
          <w:sz w:val="30"/>
          <w:szCs w:val="30"/>
        </w:rPr>
      </w:pPr>
    </w:p>
    <w:p>
      <w:pPr>
        <w:keepNext w:val="0"/>
        <w:keepLines w:val="0"/>
        <w:pageBreakBefore w:val="0"/>
        <w:kinsoku/>
        <w:wordWrap/>
        <w:overflowPunct/>
        <w:topLinePunct w:val="0"/>
        <w:autoSpaceDE/>
        <w:autoSpaceDN/>
        <w:bidi w:val="0"/>
        <w:adjustRightInd/>
        <w:snapToGrid/>
        <w:spacing w:line="576" w:lineRule="exact"/>
        <w:ind w:left="0" w:firstLine="600" w:firstLineChars="200"/>
        <w:textAlignment w:val="auto"/>
        <w:rPr>
          <w:rFonts w:ascii="仿宋" w:hAnsi="仿宋" w:eastAsia="仿宋" w:cs="仿宋"/>
          <w:kern w:val="0"/>
          <w:sz w:val="30"/>
          <w:szCs w:val="30"/>
        </w:rPr>
      </w:pPr>
    </w:p>
    <w:p>
      <w:pPr>
        <w:keepNext w:val="0"/>
        <w:keepLines w:val="0"/>
        <w:pageBreakBefore w:val="0"/>
        <w:kinsoku/>
        <w:wordWrap/>
        <w:overflowPunct/>
        <w:topLinePunct w:val="0"/>
        <w:autoSpaceDE/>
        <w:autoSpaceDN/>
        <w:bidi w:val="0"/>
        <w:adjustRightInd/>
        <w:snapToGrid/>
        <w:spacing w:line="576" w:lineRule="exact"/>
        <w:ind w:left="0" w:firstLine="600" w:firstLineChars="200"/>
        <w:textAlignment w:val="auto"/>
        <w:rPr>
          <w:rFonts w:ascii="仿宋" w:hAnsi="仿宋" w:eastAsia="仿宋" w:cs="仿宋"/>
          <w:kern w:val="0"/>
          <w:sz w:val="30"/>
          <w:szCs w:val="30"/>
        </w:rPr>
      </w:pPr>
    </w:p>
    <w:p>
      <w:pPr>
        <w:keepNext w:val="0"/>
        <w:keepLines w:val="0"/>
        <w:pageBreakBefore w:val="0"/>
        <w:kinsoku/>
        <w:wordWrap/>
        <w:overflowPunct/>
        <w:topLinePunct w:val="0"/>
        <w:autoSpaceDE/>
        <w:autoSpaceDN/>
        <w:bidi w:val="0"/>
        <w:adjustRightInd/>
        <w:snapToGrid/>
        <w:spacing w:line="576" w:lineRule="exact"/>
        <w:ind w:left="0" w:firstLine="600" w:firstLineChars="200"/>
        <w:textAlignment w:val="auto"/>
        <w:rPr>
          <w:rFonts w:ascii="仿宋" w:hAnsi="仿宋" w:eastAsia="仿宋" w:cs="仿宋"/>
          <w:kern w:val="0"/>
          <w:sz w:val="30"/>
          <w:szCs w:val="30"/>
        </w:rPr>
      </w:pPr>
    </w:p>
    <w:p>
      <w:pPr>
        <w:keepNext w:val="0"/>
        <w:keepLines w:val="0"/>
        <w:pageBreakBefore w:val="0"/>
        <w:kinsoku/>
        <w:wordWrap/>
        <w:overflowPunct/>
        <w:topLinePunct w:val="0"/>
        <w:autoSpaceDE/>
        <w:autoSpaceDN/>
        <w:bidi w:val="0"/>
        <w:adjustRightInd/>
        <w:snapToGrid/>
        <w:spacing w:line="576" w:lineRule="exact"/>
        <w:ind w:left="0" w:firstLine="600" w:firstLineChars="200"/>
        <w:textAlignment w:val="auto"/>
        <w:rPr>
          <w:rFonts w:ascii="仿宋" w:hAnsi="仿宋" w:eastAsia="仿宋" w:cs="仿宋"/>
          <w:kern w:val="0"/>
          <w:sz w:val="30"/>
          <w:szCs w:val="30"/>
        </w:rPr>
      </w:pPr>
      <w:r>
        <w:rPr>
          <w:rFonts w:ascii="仿宋" w:hAnsi="仿宋" w:eastAsia="仿宋" w:cs="仿宋"/>
          <w:kern w:val="0"/>
          <w:sz w:val="30"/>
          <w:szCs w:val="30"/>
        </w:rPr>
        <w:t>附件：1.药品网络销售企业报告表（首次）</w:t>
      </w:r>
    </w:p>
    <w:p>
      <w:pPr>
        <w:keepNext w:val="0"/>
        <w:keepLines w:val="0"/>
        <w:pageBreakBefore w:val="0"/>
        <w:kinsoku/>
        <w:wordWrap/>
        <w:overflowPunct/>
        <w:topLinePunct w:val="0"/>
        <w:autoSpaceDE/>
        <w:autoSpaceDN/>
        <w:bidi w:val="0"/>
        <w:adjustRightInd/>
        <w:snapToGrid/>
        <w:spacing w:line="576" w:lineRule="exact"/>
        <w:ind w:left="0" w:firstLine="600" w:firstLineChars="200"/>
        <w:textAlignment w:val="auto"/>
        <w:rPr>
          <w:rFonts w:ascii="仿宋" w:hAnsi="仿宋" w:eastAsia="仿宋" w:cs="仿宋"/>
          <w:kern w:val="0"/>
          <w:sz w:val="30"/>
          <w:szCs w:val="30"/>
        </w:rPr>
      </w:pPr>
      <w:r>
        <w:rPr>
          <w:rFonts w:ascii="仿宋" w:hAnsi="仿宋" w:eastAsia="仿宋" w:cs="仿宋"/>
          <w:kern w:val="0"/>
          <w:sz w:val="30"/>
          <w:szCs w:val="30"/>
        </w:rPr>
        <w:t xml:space="preserve">      2.药品网络销售企业报告表（变更）</w:t>
      </w:r>
    </w:p>
    <w:p>
      <w:pPr>
        <w:keepNext w:val="0"/>
        <w:keepLines w:val="0"/>
        <w:pageBreakBefore w:val="0"/>
        <w:kinsoku/>
        <w:wordWrap/>
        <w:overflowPunct/>
        <w:topLinePunct w:val="0"/>
        <w:autoSpaceDE/>
        <w:autoSpaceDN/>
        <w:bidi w:val="0"/>
        <w:adjustRightInd/>
        <w:snapToGrid/>
        <w:spacing w:line="576" w:lineRule="exact"/>
        <w:ind w:left="0" w:firstLine="1500" w:firstLineChars="500"/>
        <w:textAlignment w:val="auto"/>
        <w:rPr>
          <w:rFonts w:ascii="仿宋" w:hAnsi="仿宋" w:eastAsia="仿宋" w:cs="仿宋"/>
          <w:kern w:val="0"/>
          <w:sz w:val="30"/>
          <w:szCs w:val="30"/>
        </w:rPr>
      </w:pPr>
      <w:r>
        <w:rPr>
          <w:rFonts w:hint="eastAsia" w:ascii="仿宋" w:hAnsi="仿宋" w:eastAsia="仿宋" w:cs="仿宋"/>
          <w:kern w:val="0"/>
          <w:sz w:val="30"/>
          <w:szCs w:val="30"/>
        </w:rPr>
        <w:t>3.</w:t>
      </w:r>
      <w:r>
        <w:rPr>
          <w:rFonts w:ascii="仿宋" w:hAnsi="仿宋" w:eastAsia="仿宋" w:cs="仿宋"/>
          <w:kern w:val="0"/>
          <w:sz w:val="30"/>
          <w:szCs w:val="30"/>
        </w:rPr>
        <w:t>药品网络交易第三方平台备案表（</w:t>
      </w:r>
      <w:r>
        <w:rPr>
          <w:rFonts w:hint="eastAsia" w:ascii="仿宋" w:hAnsi="仿宋" w:eastAsia="仿宋" w:cs="仿宋"/>
          <w:kern w:val="0"/>
          <w:sz w:val="30"/>
          <w:szCs w:val="30"/>
        </w:rPr>
        <w:t>首次</w:t>
      </w:r>
      <w:r>
        <w:rPr>
          <w:rFonts w:ascii="仿宋" w:hAnsi="仿宋" w:eastAsia="仿宋" w:cs="仿宋"/>
          <w:kern w:val="0"/>
          <w:sz w:val="30"/>
          <w:szCs w:val="30"/>
        </w:rPr>
        <w:t>）</w:t>
      </w:r>
    </w:p>
    <w:p>
      <w:pPr>
        <w:keepNext w:val="0"/>
        <w:keepLines w:val="0"/>
        <w:pageBreakBefore w:val="0"/>
        <w:kinsoku/>
        <w:wordWrap/>
        <w:overflowPunct/>
        <w:topLinePunct w:val="0"/>
        <w:autoSpaceDE/>
        <w:autoSpaceDN/>
        <w:bidi w:val="0"/>
        <w:adjustRightInd/>
        <w:snapToGrid/>
        <w:spacing w:line="576" w:lineRule="exact"/>
        <w:ind w:left="0" w:firstLine="1500" w:firstLineChars="500"/>
        <w:textAlignment w:val="auto"/>
        <w:rPr>
          <w:rFonts w:ascii="仿宋" w:hAnsi="仿宋" w:eastAsia="仿宋" w:cs="仿宋"/>
          <w:kern w:val="0"/>
          <w:sz w:val="30"/>
          <w:szCs w:val="30"/>
        </w:rPr>
      </w:pPr>
      <w:r>
        <w:rPr>
          <w:rFonts w:hint="eastAsia" w:ascii="仿宋" w:hAnsi="仿宋" w:eastAsia="仿宋" w:cs="仿宋"/>
          <w:kern w:val="0"/>
          <w:sz w:val="30"/>
          <w:szCs w:val="30"/>
        </w:rPr>
        <w:t>4.药品网络交易第三方平台备案信息</w:t>
      </w:r>
    </w:p>
    <w:p>
      <w:pPr>
        <w:keepNext w:val="0"/>
        <w:keepLines w:val="0"/>
        <w:pageBreakBefore w:val="0"/>
        <w:kinsoku/>
        <w:wordWrap/>
        <w:overflowPunct/>
        <w:topLinePunct w:val="0"/>
        <w:autoSpaceDE/>
        <w:autoSpaceDN/>
        <w:bidi w:val="0"/>
        <w:adjustRightInd/>
        <w:snapToGrid/>
        <w:spacing w:line="576" w:lineRule="exact"/>
        <w:ind w:left="0" w:firstLine="1500" w:firstLineChars="500"/>
        <w:textAlignment w:val="auto"/>
        <w:rPr>
          <w:rFonts w:ascii="仿宋" w:hAnsi="仿宋" w:eastAsia="仿宋" w:cs="仿宋"/>
          <w:kern w:val="0"/>
          <w:sz w:val="30"/>
          <w:szCs w:val="30"/>
        </w:rPr>
      </w:pPr>
      <w:r>
        <w:rPr>
          <w:rFonts w:hint="eastAsia" w:ascii="仿宋" w:hAnsi="仿宋" w:eastAsia="仿宋" w:cs="仿宋"/>
          <w:kern w:val="0"/>
          <w:sz w:val="30"/>
          <w:szCs w:val="30"/>
        </w:rPr>
        <w:t>5</w:t>
      </w:r>
      <w:r>
        <w:rPr>
          <w:rFonts w:ascii="仿宋" w:hAnsi="仿宋" w:eastAsia="仿宋" w:cs="仿宋"/>
          <w:kern w:val="0"/>
          <w:sz w:val="30"/>
          <w:szCs w:val="30"/>
        </w:rPr>
        <w:t>.药品网络交易第三方平台备案表（变更）</w:t>
      </w:r>
    </w:p>
    <w:p>
      <w:pPr>
        <w:keepNext w:val="0"/>
        <w:keepLines w:val="0"/>
        <w:pageBreakBefore w:val="0"/>
        <w:kinsoku/>
        <w:wordWrap/>
        <w:overflowPunct/>
        <w:topLinePunct w:val="0"/>
        <w:autoSpaceDE/>
        <w:autoSpaceDN/>
        <w:bidi w:val="0"/>
        <w:adjustRightInd/>
        <w:snapToGrid/>
        <w:spacing w:line="576" w:lineRule="exact"/>
        <w:ind w:left="0" w:firstLine="1500" w:firstLineChars="500"/>
        <w:textAlignment w:val="auto"/>
        <w:rPr>
          <w:rFonts w:ascii="仿宋" w:hAnsi="仿宋" w:eastAsia="仿宋" w:cs="仿宋"/>
          <w:kern w:val="0"/>
          <w:sz w:val="30"/>
          <w:szCs w:val="30"/>
        </w:rPr>
      </w:pPr>
      <w:r>
        <w:rPr>
          <w:rFonts w:hint="eastAsia" w:ascii="仿宋" w:hAnsi="仿宋" w:eastAsia="仿宋" w:cs="仿宋"/>
          <w:kern w:val="0"/>
          <w:sz w:val="30"/>
          <w:szCs w:val="30"/>
        </w:rPr>
        <w:t>6</w:t>
      </w:r>
      <w:r>
        <w:rPr>
          <w:rFonts w:ascii="仿宋" w:hAnsi="仿宋" w:eastAsia="仿宋" w:cs="仿宋"/>
          <w:kern w:val="0"/>
          <w:sz w:val="30"/>
          <w:szCs w:val="30"/>
        </w:rPr>
        <w:t>.药品网络交易第三方平台备案表（取消）</w:t>
      </w:r>
    </w:p>
    <w:p>
      <w:pPr>
        <w:keepNext w:val="0"/>
        <w:keepLines w:val="0"/>
        <w:pageBreakBefore w:val="0"/>
        <w:kinsoku/>
        <w:overflowPunct/>
        <w:topLinePunct w:val="0"/>
        <w:autoSpaceDE/>
        <w:autoSpaceDN/>
        <w:bidi w:val="0"/>
        <w:adjustRightInd/>
        <w:snapToGrid/>
        <w:spacing w:line="576" w:lineRule="exact"/>
        <w:ind w:firstLine="1500" w:firstLineChars="500"/>
        <w:textAlignment w:val="auto"/>
        <w:rPr>
          <w:rFonts w:ascii="仿宋" w:hAnsi="仿宋" w:eastAsia="仿宋" w:cs="仿宋"/>
          <w:kern w:val="0"/>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 w:val="30"/>
          <w:szCs w:val="30"/>
        </w:rPr>
      </w:pPr>
      <w:r>
        <w:rPr>
          <w:rFonts w:hint="default" w:ascii="Nimbus Roman No9 L" w:hAnsi="Nimbus Roman No9 L" w:eastAsia="黑体" w:cs="Nimbus Roman No9 L"/>
          <w:sz w:val="30"/>
          <w:szCs w:val="30"/>
        </w:rPr>
        <w:t>附件1</w:t>
      </w:r>
    </w:p>
    <w:p>
      <w:pPr>
        <w:keepNext w:val="0"/>
        <w:keepLines w:val="0"/>
        <w:pageBreakBefore w:val="0"/>
        <w:tabs>
          <w:tab w:val="left" w:pos="7380"/>
          <w:tab w:val="left" w:pos="7560"/>
        </w:tabs>
        <w:kinsoku/>
        <w:overflowPunct/>
        <w:topLinePunct w:val="0"/>
        <w:autoSpaceDE/>
        <w:autoSpaceDN/>
        <w:bidi w:val="0"/>
        <w:adjustRightInd/>
        <w:snapToGrid/>
        <w:spacing w:line="576" w:lineRule="exact"/>
        <w:jc w:val="center"/>
        <w:textAlignment w:val="auto"/>
        <w:rPr>
          <w:rFonts w:hint="default" w:ascii="Nimbus Roman No9 L" w:hAnsi="Nimbus Roman No9 L" w:eastAsia="黑体" w:cs="Nimbus Roman No9 L"/>
          <w:sz w:val="30"/>
          <w:szCs w:val="30"/>
        </w:rPr>
      </w:pPr>
      <w:r>
        <w:rPr>
          <w:rFonts w:hint="default" w:ascii="Nimbus Roman No9 L" w:hAnsi="Nimbus Roman No9 L" w:eastAsia="黑体" w:cs="Nimbus Roman No9 L"/>
          <w:sz w:val="30"/>
          <w:szCs w:val="30"/>
        </w:rPr>
        <w:t>药品网络销售企业报告信息表（首次）</w:t>
      </w:r>
    </w:p>
    <w:tbl>
      <w:tblPr>
        <w:tblStyle w:val="7"/>
        <w:tblW w:w="0" w:type="auto"/>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1706"/>
        <w:gridCol w:w="713"/>
        <w:gridCol w:w="556"/>
        <w:gridCol w:w="756"/>
        <w:gridCol w:w="1107"/>
        <w:gridCol w:w="153"/>
        <w:gridCol w:w="2267"/>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817"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药品网络</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销售类型*</w:t>
            </w:r>
          </w:p>
        </w:tc>
        <w:tc>
          <w:tcPr>
            <w:tcW w:w="7258" w:type="dxa"/>
            <w:gridSpan w:val="7"/>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 自建类     □ 入驻类     □ 自建+入驻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restart"/>
            <w:tcBorders>
              <w:top w:val="single" w:color="auto" w:sz="4" w:space="0"/>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联系人*</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姓  名</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电  话</w:t>
            </w:r>
          </w:p>
        </w:tc>
        <w:tc>
          <w:tcPr>
            <w:tcW w:w="2267"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身份证件类型</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证件号码</w:t>
            </w:r>
          </w:p>
        </w:tc>
        <w:tc>
          <w:tcPr>
            <w:tcW w:w="2267"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continue"/>
            <w:tcBorders>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传  真</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电子邮箱</w:t>
            </w:r>
          </w:p>
        </w:tc>
        <w:tc>
          <w:tcPr>
            <w:tcW w:w="2267"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restart"/>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主  体</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信  息</w:t>
            </w:r>
          </w:p>
          <w:p>
            <w:pPr>
              <w:keepNext w:val="0"/>
              <w:keepLines w:val="0"/>
              <w:pageBreakBefore w:val="0"/>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9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企业名称*</w:t>
            </w:r>
          </w:p>
        </w:tc>
        <w:tc>
          <w:tcPr>
            <w:tcW w:w="4283" w:type="dxa"/>
            <w:gridSpan w:val="4"/>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社会信用代码*</w:t>
            </w:r>
          </w:p>
        </w:tc>
        <w:tc>
          <w:tcPr>
            <w:tcW w:w="4283" w:type="dxa"/>
            <w:gridSpan w:val="4"/>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主体业态（可多选）</w:t>
            </w:r>
            <w:r>
              <w:rPr>
                <w:rFonts w:hint="default" w:ascii="Nimbus Roman No9 L" w:hAnsi="Nimbus Roman No9 L" w:eastAsia="宋体" w:cs="Nimbus Roman No9 L"/>
                <w:szCs w:val="21"/>
              </w:rPr>
              <w:t>*</w:t>
            </w:r>
          </w:p>
        </w:tc>
        <w:tc>
          <w:tcPr>
            <w:tcW w:w="4283" w:type="dxa"/>
            <w:gridSpan w:val="4"/>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 xml:space="preserve">□ 药品上市许可持有人 □ 药品生产企业 </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 xml:space="preserve">  □ 药品批发企业  □ 药品零售企业</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817"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药品生产（经营）</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许可证编号*</w:t>
            </w:r>
          </w:p>
        </w:tc>
        <w:tc>
          <w:tcPr>
            <w:tcW w:w="4283" w:type="dxa"/>
            <w:gridSpan w:val="4"/>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spacing w:val="-20"/>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互联网药品信息服务</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资格证书编号（自建类必填）</w:t>
            </w:r>
          </w:p>
        </w:tc>
        <w:tc>
          <w:tcPr>
            <w:tcW w:w="4283" w:type="dxa"/>
            <w:gridSpan w:val="4"/>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restart"/>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网站信息</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（自建类）</w:t>
            </w:r>
          </w:p>
        </w:tc>
        <w:tc>
          <w:tcPr>
            <w:tcW w:w="2975"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网站名称*</w:t>
            </w:r>
          </w:p>
        </w:tc>
        <w:tc>
          <w:tcPr>
            <w:tcW w:w="4283"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continue"/>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75"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网络客户端应用程序名</w:t>
            </w:r>
          </w:p>
        </w:tc>
        <w:tc>
          <w:tcPr>
            <w:tcW w:w="4283"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continue"/>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75"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网站域名*</w:t>
            </w:r>
          </w:p>
        </w:tc>
        <w:tc>
          <w:tcPr>
            <w:tcW w:w="4283"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continue"/>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75"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网站IP地址*</w:t>
            </w:r>
          </w:p>
        </w:tc>
        <w:tc>
          <w:tcPr>
            <w:tcW w:w="4283"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continue"/>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75"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服务器存放地址*</w:t>
            </w:r>
          </w:p>
        </w:tc>
        <w:tc>
          <w:tcPr>
            <w:tcW w:w="4283"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continue"/>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75"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非经营性互联网信息服务备案编号*</w:t>
            </w:r>
          </w:p>
        </w:tc>
        <w:tc>
          <w:tcPr>
            <w:tcW w:w="4283"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continue"/>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75"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电信业务经营许可证编号</w:t>
            </w:r>
          </w:p>
        </w:tc>
        <w:tc>
          <w:tcPr>
            <w:tcW w:w="4283"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restart"/>
            <w:tcBorders>
              <w:top w:val="single" w:color="auto" w:sz="8" w:space="0"/>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入驻药品网络交易第三方平台信息（入驻类）</w:t>
            </w:r>
          </w:p>
        </w:tc>
        <w:tc>
          <w:tcPr>
            <w:tcW w:w="2419" w:type="dxa"/>
            <w:gridSpan w:val="2"/>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药品网络交易</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第三方平台名称*</w:t>
            </w:r>
          </w:p>
        </w:tc>
        <w:tc>
          <w:tcPr>
            <w:tcW w:w="2419" w:type="dxa"/>
            <w:gridSpan w:val="3"/>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入驻店铺名称*</w:t>
            </w:r>
          </w:p>
        </w:tc>
        <w:tc>
          <w:tcPr>
            <w:tcW w:w="2420" w:type="dxa"/>
            <w:gridSpan w:val="2"/>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入驻店铺主页链接*</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19" w:type="dxa"/>
            <w:gridSpan w:val="2"/>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19" w:type="dxa"/>
            <w:gridSpan w:val="3"/>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20" w:type="dxa"/>
            <w:gridSpan w:val="2"/>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19" w:type="dxa"/>
            <w:gridSpan w:val="2"/>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19" w:type="dxa"/>
            <w:gridSpan w:val="3"/>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20" w:type="dxa"/>
            <w:gridSpan w:val="2"/>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17" w:type="dxa"/>
            <w:vMerge w:val="continue"/>
            <w:tcBorders>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19" w:type="dxa"/>
            <w:gridSpan w:val="2"/>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19" w:type="dxa"/>
            <w:gridSpan w:val="3"/>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20" w:type="dxa"/>
            <w:gridSpan w:val="2"/>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9075" w:type="dxa"/>
            <w:gridSpan w:val="8"/>
            <w:tcBorders>
              <w:top w:val="single" w:color="auto" w:sz="8" w:space="0"/>
              <w:left w:val="single" w:color="auto" w:sz="8"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480" w:firstLineChars="200"/>
              <w:jc w:val="left"/>
              <w:textAlignment w:val="auto"/>
              <w:rPr>
                <w:rFonts w:hint="default" w:ascii="Nimbus Roman No9 L" w:hAnsi="Nimbus Roman No9 L" w:cs="Nimbus Roman No9 L"/>
                <w:kern w:val="0"/>
                <w:sz w:val="24"/>
              </w:rPr>
            </w:pPr>
          </w:p>
          <w:p>
            <w:pPr>
              <w:keepNext w:val="0"/>
              <w:keepLines w:val="0"/>
              <w:pageBreakBefore w:val="0"/>
              <w:widowControl/>
              <w:kinsoku/>
              <w:overflowPunct/>
              <w:topLinePunct w:val="0"/>
              <w:autoSpaceDE/>
              <w:autoSpaceDN/>
              <w:bidi w:val="0"/>
              <w:adjustRightInd/>
              <w:snapToGrid/>
              <w:spacing w:line="576" w:lineRule="exact"/>
              <w:ind w:firstLine="480" w:firstLineChars="200"/>
              <w:jc w:val="left"/>
              <w:textAlignment w:val="auto"/>
              <w:rPr>
                <w:rFonts w:hint="default" w:ascii="Nimbus Roman No9 L" w:hAnsi="Nimbus Roman No9 L" w:cs="Nimbus Roman No9 L"/>
                <w:kern w:val="0"/>
                <w:sz w:val="24"/>
              </w:rPr>
            </w:pPr>
            <w:r>
              <w:rPr>
                <w:rFonts w:hint="default" w:ascii="Nimbus Roman No9 L" w:hAnsi="Nimbus Roman No9 L" w:cs="Nimbus Roman No9 L"/>
                <w:kern w:val="0"/>
                <w:sz w:val="24"/>
              </w:rPr>
              <w:t>本单位承诺填报信息全部真实、合法、有效，并承担一切法律责任。同时，保证按照法律法规的要求从事药品网络销售活动。</w:t>
            </w:r>
          </w:p>
          <w:p>
            <w:pPr>
              <w:keepNext w:val="0"/>
              <w:keepLines w:val="0"/>
              <w:pageBreakBefore w:val="0"/>
              <w:widowControl/>
              <w:kinsoku/>
              <w:overflowPunct/>
              <w:topLinePunct w:val="0"/>
              <w:autoSpaceDE/>
              <w:autoSpaceDN/>
              <w:bidi w:val="0"/>
              <w:adjustRightInd/>
              <w:snapToGrid/>
              <w:spacing w:line="576" w:lineRule="exact"/>
              <w:ind w:firstLine="440" w:firstLineChars="200"/>
              <w:jc w:val="left"/>
              <w:textAlignment w:val="auto"/>
              <w:rPr>
                <w:rFonts w:hint="default" w:ascii="Nimbus Roman No9 L" w:hAnsi="Nimbus Roman No9 L" w:cs="Nimbus Roman No9 L"/>
                <w:kern w:val="0"/>
                <w:sz w:val="22"/>
              </w:rPr>
            </w:pPr>
          </w:p>
          <w:p>
            <w:pPr>
              <w:keepNext w:val="0"/>
              <w:keepLines w:val="0"/>
              <w:pageBreakBefore w:val="0"/>
              <w:widowControl/>
              <w:kinsoku/>
              <w:overflowPunct/>
              <w:topLinePunct w:val="0"/>
              <w:autoSpaceDE/>
              <w:autoSpaceDN/>
              <w:bidi w:val="0"/>
              <w:adjustRightInd/>
              <w:snapToGrid/>
              <w:spacing w:line="576" w:lineRule="exact"/>
              <w:ind w:firstLine="440" w:firstLineChars="200"/>
              <w:jc w:val="left"/>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 xml:space="preserve">                            法定代表人（主要负责人）签字：</w:t>
            </w:r>
          </w:p>
          <w:p>
            <w:pPr>
              <w:keepNext w:val="0"/>
              <w:keepLines w:val="0"/>
              <w:pageBreakBefore w:val="0"/>
              <w:widowControl/>
              <w:kinsoku/>
              <w:overflowPunct/>
              <w:topLinePunct w:val="0"/>
              <w:autoSpaceDE/>
              <w:autoSpaceDN/>
              <w:bidi w:val="0"/>
              <w:adjustRightInd/>
              <w:snapToGrid/>
              <w:spacing w:line="576" w:lineRule="exact"/>
              <w:ind w:firstLine="440" w:firstLineChars="200"/>
              <w:jc w:val="left"/>
              <w:textAlignment w:val="auto"/>
              <w:rPr>
                <w:rFonts w:hint="default" w:ascii="Nimbus Roman No9 L" w:hAnsi="Nimbus Roman No9 L" w:cs="Nimbus Roman No9 L"/>
                <w:kern w:val="0"/>
                <w:sz w:val="22"/>
              </w:rPr>
            </w:pPr>
          </w:p>
          <w:p>
            <w:pPr>
              <w:keepNext w:val="0"/>
              <w:keepLines w:val="0"/>
              <w:pageBreakBefore w:val="0"/>
              <w:widowControl/>
              <w:kinsoku/>
              <w:overflowPunct/>
              <w:topLinePunct w:val="0"/>
              <w:autoSpaceDE/>
              <w:autoSpaceDN/>
              <w:bidi w:val="0"/>
              <w:adjustRightInd/>
              <w:snapToGrid/>
              <w:spacing w:line="576" w:lineRule="exact"/>
              <w:ind w:firstLine="5610" w:firstLineChars="2550"/>
              <w:jc w:val="left"/>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单位盖章：</w:t>
            </w:r>
          </w:p>
          <w:p>
            <w:pPr>
              <w:keepNext w:val="0"/>
              <w:keepLines w:val="0"/>
              <w:pageBreakBefore w:val="0"/>
              <w:widowControl/>
              <w:kinsoku/>
              <w:overflowPunct/>
              <w:topLinePunct w:val="0"/>
              <w:autoSpaceDE/>
              <w:autoSpaceDN/>
              <w:bidi w:val="0"/>
              <w:adjustRightInd/>
              <w:snapToGrid/>
              <w:spacing w:line="576" w:lineRule="exact"/>
              <w:ind w:firstLine="5610" w:firstLineChars="2550"/>
              <w:jc w:val="left"/>
              <w:textAlignment w:val="auto"/>
              <w:rPr>
                <w:rFonts w:hint="default" w:ascii="Nimbus Roman No9 L" w:hAnsi="Nimbus Roman No9 L" w:cs="Nimbus Roman No9 L"/>
                <w:kern w:val="0"/>
                <w:sz w:val="22"/>
              </w:rPr>
            </w:pPr>
          </w:p>
          <w:p>
            <w:pPr>
              <w:keepNext w:val="0"/>
              <w:keepLines w:val="0"/>
              <w:pageBreakBefore w:val="0"/>
              <w:kinsoku/>
              <w:wordWrap w:val="0"/>
              <w:overflowPunct/>
              <w:topLinePunct w:val="0"/>
              <w:autoSpaceDE/>
              <w:autoSpaceDN/>
              <w:bidi w:val="0"/>
              <w:adjustRightInd/>
              <w:snapToGrid/>
              <w:spacing w:line="576" w:lineRule="exact"/>
              <w:jc w:val="right"/>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 xml:space="preserve">                                              年     月     日</w:t>
            </w:r>
          </w:p>
        </w:tc>
      </w:tr>
    </w:tbl>
    <w:p>
      <w:pPr>
        <w:keepNext w:val="0"/>
        <w:keepLines w:val="0"/>
        <w:pageBreakBefore w:val="0"/>
        <w:widowControl/>
        <w:shd w:val="clear" w:color="auto" w:fill="FFFFFF"/>
        <w:kinsoku/>
        <w:wordWrap/>
        <w:overflowPunct/>
        <w:topLinePunct w:val="0"/>
        <w:autoSpaceDE/>
        <w:autoSpaceDN/>
        <w:bidi w:val="0"/>
        <w:adjustRightInd/>
        <w:snapToGrid/>
        <w:spacing w:line="576" w:lineRule="exact"/>
        <w:jc w:val="left"/>
        <w:textAlignment w:val="auto"/>
        <w:rPr>
          <w:rFonts w:hint="default" w:ascii="Nimbus Roman No9 L" w:hAnsi="Nimbus Roman No9 L" w:eastAsia="黑体" w:cs="Nimbus Roman No9 L"/>
          <w:kern w:val="0"/>
          <w:sz w:val="22"/>
        </w:rPr>
      </w:pPr>
      <w:r>
        <w:rPr>
          <w:rFonts w:hint="default" w:ascii="Nimbus Roman No9 L" w:hAnsi="Nimbus Roman No9 L" w:eastAsia="黑体" w:cs="Nimbus Roman No9 L"/>
          <w:kern w:val="0"/>
          <w:sz w:val="22"/>
        </w:rPr>
        <w:t>填表说明：</w:t>
      </w:r>
    </w:p>
    <w:p>
      <w:pPr>
        <w:keepNext w:val="0"/>
        <w:keepLines w:val="0"/>
        <w:pageBreakBefore w:val="0"/>
        <w:widowControl/>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一、本表按照实际内容填写，*号内容为必填项目。其中，企业名称、社会信用代码等按照营业执照内容填写；药品生产（经营）许可证编号按照药品生产（经营）许可证内容填写。</w:t>
      </w:r>
    </w:p>
    <w:p>
      <w:pPr>
        <w:keepNext w:val="0"/>
        <w:keepLines w:val="0"/>
        <w:pageBreakBefore w:val="0"/>
        <w:widowControl/>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二、涉及多个自建网站、网络客户端应用程序（含小程序）的，应当在报告内容中逐个列明；入驻同个或多个药品网络交易第三方平台开展经营活动的，应当将店铺名称、店铺首页链接在报告内容中逐个列明。所填栏目不够填写时，可根据实际情况增加行数填写。</w:t>
      </w: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pPr>
      <w:r>
        <w:rPr>
          <w:rFonts w:hint="default" w:ascii="Nimbus Roman No9 L" w:hAnsi="Nimbus Roman No9 L" w:cs="Nimbus Roman No9 L"/>
          <w:kern w:val="0"/>
          <w:sz w:val="22"/>
        </w:rPr>
        <w:t>三、本表填报内容应使用A4纸双面打印，不得手写。</w:t>
      </w:r>
    </w:p>
    <w:p>
      <w:pPr>
        <w:keepNext w:val="0"/>
        <w:keepLines w:val="0"/>
        <w:pageBreakBefore w:val="0"/>
        <w:kinsoku/>
        <w:overflowPunct/>
        <w:topLinePunct w:val="0"/>
        <w:autoSpaceDE/>
        <w:autoSpaceDN/>
        <w:bidi w:val="0"/>
        <w:adjustRightInd/>
        <w:snapToGrid/>
        <w:spacing w:line="576" w:lineRule="exact"/>
        <w:textAlignment w:val="auto"/>
      </w:pPr>
    </w:p>
    <w:p>
      <w:pPr>
        <w:keepNext w:val="0"/>
        <w:keepLines w:val="0"/>
        <w:pageBreakBefore w:val="0"/>
        <w:tabs>
          <w:tab w:val="left" w:pos="7380"/>
          <w:tab w:val="left" w:pos="7560"/>
        </w:tabs>
        <w:kinsoku/>
        <w:overflowPunct/>
        <w:topLinePunct w:val="0"/>
        <w:autoSpaceDE/>
        <w:autoSpaceDN/>
        <w:bidi w:val="0"/>
        <w:adjustRightInd/>
        <w:snapToGrid/>
        <w:spacing w:line="576" w:lineRule="exact"/>
        <w:jc w:val="both"/>
        <w:textAlignment w:val="auto"/>
        <w:rPr>
          <w:rFonts w:hint="default" w:ascii="Nimbus Roman No9 L" w:hAnsi="Nimbus Roman No9 L" w:eastAsia="黑体" w:cs="Nimbus Roman No9 L"/>
          <w:sz w:val="30"/>
          <w:szCs w:val="30"/>
        </w:rPr>
      </w:pPr>
      <w:r>
        <w:rPr>
          <w:rFonts w:hint="default" w:ascii="Nimbus Roman No9 L" w:hAnsi="Nimbus Roman No9 L" w:eastAsia="黑体" w:cs="Nimbus Roman No9 L"/>
          <w:sz w:val="30"/>
          <w:szCs w:val="30"/>
        </w:rPr>
        <w:t>附件2</w:t>
      </w:r>
    </w:p>
    <w:p>
      <w:pPr>
        <w:keepNext w:val="0"/>
        <w:keepLines w:val="0"/>
        <w:pageBreakBefore w:val="0"/>
        <w:tabs>
          <w:tab w:val="left" w:pos="7380"/>
          <w:tab w:val="left" w:pos="7560"/>
        </w:tabs>
        <w:kinsoku/>
        <w:overflowPunct/>
        <w:topLinePunct w:val="0"/>
        <w:autoSpaceDE/>
        <w:autoSpaceDN/>
        <w:bidi w:val="0"/>
        <w:adjustRightInd/>
        <w:snapToGrid/>
        <w:spacing w:line="576"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黑体" w:cs="Nimbus Roman No9 L"/>
          <w:sz w:val="30"/>
          <w:szCs w:val="30"/>
        </w:rPr>
        <w:t>药品网络销售企业报告信息表（变更）</w:t>
      </w:r>
    </w:p>
    <w:tbl>
      <w:tblPr>
        <w:tblStyle w:val="7"/>
        <w:tblW w:w="9075"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903"/>
        <w:gridCol w:w="713"/>
        <w:gridCol w:w="328"/>
        <w:gridCol w:w="984"/>
        <w:gridCol w:w="1107"/>
        <w:gridCol w:w="153"/>
        <w:gridCol w:w="2267"/>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2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药品网络销售企业报告号*</w:t>
            </w:r>
          </w:p>
        </w:tc>
        <w:tc>
          <w:tcPr>
            <w:tcW w:w="7455" w:type="dxa"/>
            <w:gridSpan w:val="7"/>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2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药品网络</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销售类型</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（变更前）*</w:t>
            </w:r>
          </w:p>
        </w:tc>
        <w:tc>
          <w:tcPr>
            <w:tcW w:w="7455" w:type="dxa"/>
            <w:gridSpan w:val="7"/>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 自建类     □ 入驻类     □ 自建+入驻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20"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药品网络</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销售类型</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（变更后）*</w:t>
            </w:r>
          </w:p>
        </w:tc>
        <w:tc>
          <w:tcPr>
            <w:tcW w:w="7455" w:type="dxa"/>
            <w:gridSpan w:val="7"/>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 自建类     □ 入驻类     □ 自建+入驻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restart"/>
            <w:tcBorders>
              <w:top w:val="single" w:color="auto" w:sz="4" w:space="0"/>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联系人</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（变更前）*</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姓  名</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电  话</w:t>
            </w:r>
          </w:p>
        </w:tc>
        <w:tc>
          <w:tcPr>
            <w:tcW w:w="2267"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身份证件类型</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证件号码</w:t>
            </w:r>
          </w:p>
        </w:tc>
        <w:tc>
          <w:tcPr>
            <w:tcW w:w="2267"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传  真</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电子邮箱</w:t>
            </w:r>
          </w:p>
        </w:tc>
        <w:tc>
          <w:tcPr>
            <w:tcW w:w="2267"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restart"/>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联系人</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（变更后）*</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姓  名</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电  话</w:t>
            </w:r>
          </w:p>
        </w:tc>
        <w:tc>
          <w:tcPr>
            <w:tcW w:w="2267"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身份证件类型</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证件号码</w:t>
            </w:r>
          </w:p>
        </w:tc>
        <w:tc>
          <w:tcPr>
            <w:tcW w:w="2267"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传  真</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电子邮箱</w:t>
            </w:r>
          </w:p>
        </w:tc>
        <w:tc>
          <w:tcPr>
            <w:tcW w:w="2267"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restart"/>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主  体</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信  息</w:t>
            </w:r>
          </w:p>
          <w:p>
            <w:pPr>
              <w:keepNext w:val="0"/>
              <w:keepLines w:val="0"/>
              <w:pageBreakBefore w:val="0"/>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（变更前）</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企业名称*</w:t>
            </w:r>
          </w:p>
        </w:tc>
        <w:tc>
          <w:tcPr>
            <w:tcW w:w="4511" w:type="dxa"/>
            <w:gridSpan w:val="4"/>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社会信用代码*</w:t>
            </w:r>
          </w:p>
        </w:tc>
        <w:tc>
          <w:tcPr>
            <w:tcW w:w="4511" w:type="dxa"/>
            <w:gridSpan w:val="4"/>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主体业态（可多选）</w:t>
            </w:r>
            <w:r>
              <w:rPr>
                <w:rFonts w:hint="default" w:ascii="Nimbus Roman No9 L" w:hAnsi="Nimbus Roman No9 L" w:eastAsia="宋体" w:cs="Nimbus Roman No9 L"/>
                <w:szCs w:val="21"/>
              </w:rPr>
              <w:t>*</w:t>
            </w:r>
          </w:p>
        </w:tc>
        <w:tc>
          <w:tcPr>
            <w:tcW w:w="4511" w:type="dxa"/>
            <w:gridSpan w:val="4"/>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 xml:space="preserve">□ 药品上市许可持有人 □ 药品生产企业 </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 xml:space="preserve">  □ 药品批发企业  □ 药品零售企业</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药品生产（经营）</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许可证编号*</w:t>
            </w:r>
          </w:p>
        </w:tc>
        <w:tc>
          <w:tcPr>
            <w:tcW w:w="4511" w:type="dxa"/>
            <w:gridSpan w:val="4"/>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spacing w:val="-20"/>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互联网药品信息服务</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资格证书编号（自建类必填）</w:t>
            </w:r>
          </w:p>
        </w:tc>
        <w:tc>
          <w:tcPr>
            <w:tcW w:w="4511" w:type="dxa"/>
            <w:gridSpan w:val="4"/>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restart"/>
            <w:tcBorders>
              <w:top w:val="single" w:color="auto" w:sz="4" w:space="0"/>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主  体</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信  息</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（变更后）</w:t>
            </w:r>
          </w:p>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企业名称*</w:t>
            </w:r>
          </w:p>
        </w:tc>
        <w:tc>
          <w:tcPr>
            <w:tcW w:w="4511" w:type="dxa"/>
            <w:gridSpan w:val="4"/>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社会信用代码*</w:t>
            </w:r>
          </w:p>
        </w:tc>
        <w:tc>
          <w:tcPr>
            <w:tcW w:w="4511" w:type="dxa"/>
            <w:gridSpan w:val="4"/>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主体业态（可多选）</w:t>
            </w:r>
            <w:r>
              <w:rPr>
                <w:rFonts w:hint="default" w:ascii="Nimbus Roman No9 L" w:hAnsi="Nimbus Roman No9 L" w:eastAsia="宋体" w:cs="Nimbus Roman No9 L"/>
                <w:szCs w:val="21"/>
              </w:rPr>
              <w:t>*</w:t>
            </w:r>
          </w:p>
        </w:tc>
        <w:tc>
          <w:tcPr>
            <w:tcW w:w="4511" w:type="dxa"/>
            <w:gridSpan w:val="4"/>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 xml:space="preserve">□ 药品上市许可持有人 □ 药品生产企业 </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 xml:space="preserve">  □ 药品批发企业  □ 药品零售企业</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药品生产（经营）</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许可证编号*</w:t>
            </w:r>
          </w:p>
        </w:tc>
        <w:tc>
          <w:tcPr>
            <w:tcW w:w="4511" w:type="dxa"/>
            <w:gridSpan w:val="4"/>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spacing w:val="-20"/>
                <w:kern w:val="0"/>
                <w:sz w:val="22"/>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互联网药品信息服务</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资格证书编号（自建类必填）</w:t>
            </w:r>
          </w:p>
        </w:tc>
        <w:tc>
          <w:tcPr>
            <w:tcW w:w="4511" w:type="dxa"/>
            <w:gridSpan w:val="4"/>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szCs w:val="24"/>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restart"/>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网站信息</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（自建类，</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变更前）</w:t>
            </w:r>
          </w:p>
        </w:tc>
        <w:tc>
          <w:tcPr>
            <w:tcW w:w="2944"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网站名称*</w:t>
            </w:r>
          </w:p>
        </w:tc>
        <w:tc>
          <w:tcPr>
            <w:tcW w:w="4511"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网络客户端应用程序名</w:t>
            </w:r>
          </w:p>
        </w:tc>
        <w:tc>
          <w:tcPr>
            <w:tcW w:w="4511"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网站域名*</w:t>
            </w:r>
          </w:p>
        </w:tc>
        <w:tc>
          <w:tcPr>
            <w:tcW w:w="4511"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网站IP地址*</w:t>
            </w:r>
          </w:p>
        </w:tc>
        <w:tc>
          <w:tcPr>
            <w:tcW w:w="4511"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服务器存放地址*</w:t>
            </w:r>
          </w:p>
        </w:tc>
        <w:tc>
          <w:tcPr>
            <w:tcW w:w="4511"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非经营性互联网信息服务备案编号*</w:t>
            </w:r>
          </w:p>
        </w:tc>
        <w:tc>
          <w:tcPr>
            <w:tcW w:w="4511"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电信业务经营许可证编号</w:t>
            </w:r>
          </w:p>
        </w:tc>
        <w:tc>
          <w:tcPr>
            <w:tcW w:w="4511"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restart"/>
            <w:tcBorders>
              <w:top w:val="single" w:color="auto" w:sz="8" w:space="0"/>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网站信息</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（自建类，</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变更后）</w:t>
            </w:r>
          </w:p>
        </w:tc>
        <w:tc>
          <w:tcPr>
            <w:tcW w:w="2944"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网站名称*</w:t>
            </w:r>
          </w:p>
        </w:tc>
        <w:tc>
          <w:tcPr>
            <w:tcW w:w="4511"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网络客户端应用程序名</w:t>
            </w:r>
          </w:p>
        </w:tc>
        <w:tc>
          <w:tcPr>
            <w:tcW w:w="4511"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网站域名*</w:t>
            </w:r>
          </w:p>
        </w:tc>
        <w:tc>
          <w:tcPr>
            <w:tcW w:w="4511"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网站IP地址*</w:t>
            </w:r>
          </w:p>
        </w:tc>
        <w:tc>
          <w:tcPr>
            <w:tcW w:w="4511"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服务器存放地址*</w:t>
            </w:r>
          </w:p>
        </w:tc>
        <w:tc>
          <w:tcPr>
            <w:tcW w:w="4511"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非经营性互联网信息服务备案编号*</w:t>
            </w:r>
          </w:p>
        </w:tc>
        <w:tc>
          <w:tcPr>
            <w:tcW w:w="4511"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944" w:type="dxa"/>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电信业务经营许可证编号</w:t>
            </w:r>
          </w:p>
        </w:tc>
        <w:tc>
          <w:tcPr>
            <w:tcW w:w="4511" w:type="dxa"/>
            <w:gridSpan w:val="4"/>
            <w:tcBorders>
              <w:top w:val="single" w:color="auto" w:sz="8" w:space="0"/>
              <w:left w:val="single" w:color="auto" w:sz="4"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restart"/>
            <w:tcBorders>
              <w:top w:val="single" w:color="auto" w:sz="8" w:space="0"/>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入驻药品网络交易第三方平台信息（入驻类，变更前）</w:t>
            </w:r>
          </w:p>
        </w:tc>
        <w:tc>
          <w:tcPr>
            <w:tcW w:w="2616" w:type="dxa"/>
            <w:gridSpan w:val="2"/>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药品网络交易</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第三方平台名称*</w:t>
            </w:r>
          </w:p>
        </w:tc>
        <w:tc>
          <w:tcPr>
            <w:tcW w:w="2419" w:type="dxa"/>
            <w:gridSpan w:val="3"/>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入驻店铺名称*</w:t>
            </w:r>
          </w:p>
        </w:tc>
        <w:tc>
          <w:tcPr>
            <w:tcW w:w="2420" w:type="dxa"/>
            <w:gridSpan w:val="2"/>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入驻店铺主页链接*</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616" w:type="dxa"/>
            <w:gridSpan w:val="2"/>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19" w:type="dxa"/>
            <w:gridSpan w:val="3"/>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20" w:type="dxa"/>
            <w:gridSpan w:val="2"/>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616" w:type="dxa"/>
            <w:gridSpan w:val="2"/>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19" w:type="dxa"/>
            <w:gridSpan w:val="3"/>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20" w:type="dxa"/>
            <w:gridSpan w:val="2"/>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616" w:type="dxa"/>
            <w:gridSpan w:val="2"/>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19" w:type="dxa"/>
            <w:gridSpan w:val="3"/>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20" w:type="dxa"/>
            <w:gridSpan w:val="2"/>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restart"/>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入驻药品网络交易第三方平台信息（入驻类，变更后）</w:t>
            </w:r>
          </w:p>
        </w:tc>
        <w:tc>
          <w:tcPr>
            <w:tcW w:w="2616" w:type="dxa"/>
            <w:gridSpan w:val="2"/>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药品网络交易</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第三方平台名称*</w:t>
            </w:r>
          </w:p>
        </w:tc>
        <w:tc>
          <w:tcPr>
            <w:tcW w:w="2419" w:type="dxa"/>
            <w:gridSpan w:val="3"/>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入驻店铺名称*</w:t>
            </w:r>
          </w:p>
        </w:tc>
        <w:tc>
          <w:tcPr>
            <w:tcW w:w="2420" w:type="dxa"/>
            <w:gridSpan w:val="2"/>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入驻店铺主页链接*</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616" w:type="dxa"/>
            <w:gridSpan w:val="2"/>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19" w:type="dxa"/>
            <w:gridSpan w:val="3"/>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20" w:type="dxa"/>
            <w:gridSpan w:val="2"/>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616" w:type="dxa"/>
            <w:gridSpan w:val="2"/>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19" w:type="dxa"/>
            <w:gridSpan w:val="3"/>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20" w:type="dxa"/>
            <w:gridSpan w:val="2"/>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20" w:type="dxa"/>
            <w:vMerge w:val="continue"/>
            <w:tcBorders>
              <w:left w:val="single" w:color="auto" w:sz="8" w:space="0"/>
              <w:bottom w:val="single" w:color="auto" w:sz="8"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616" w:type="dxa"/>
            <w:gridSpan w:val="2"/>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19" w:type="dxa"/>
            <w:gridSpan w:val="3"/>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420" w:type="dxa"/>
            <w:gridSpan w:val="2"/>
            <w:tcBorders>
              <w:top w:val="single" w:color="auto"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9075" w:type="dxa"/>
            <w:gridSpan w:val="8"/>
            <w:tcBorders>
              <w:top w:val="single" w:color="auto" w:sz="8" w:space="0"/>
              <w:left w:val="single" w:color="auto" w:sz="8" w:space="0"/>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480" w:firstLineChars="200"/>
              <w:jc w:val="left"/>
              <w:textAlignment w:val="auto"/>
              <w:rPr>
                <w:rFonts w:hint="default" w:ascii="Nimbus Roman No9 L" w:hAnsi="Nimbus Roman No9 L" w:cs="Nimbus Roman No9 L"/>
                <w:kern w:val="0"/>
                <w:sz w:val="24"/>
              </w:rPr>
            </w:pPr>
          </w:p>
          <w:p>
            <w:pPr>
              <w:keepNext w:val="0"/>
              <w:keepLines w:val="0"/>
              <w:pageBreakBefore w:val="0"/>
              <w:widowControl/>
              <w:kinsoku/>
              <w:overflowPunct/>
              <w:topLinePunct w:val="0"/>
              <w:autoSpaceDE/>
              <w:autoSpaceDN/>
              <w:bidi w:val="0"/>
              <w:adjustRightInd/>
              <w:snapToGrid/>
              <w:spacing w:line="576" w:lineRule="exact"/>
              <w:ind w:firstLine="480" w:firstLineChars="200"/>
              <w:jc w:val="left"/>
              <w:textAlignment w:val="auto"/>
              <w:rPr>
                <w:rFonts w:hint="default" w:ascii="Nimbus Roman No9 L" w:hAnsi="Nimbus Roman No9 L" w:cs="Nimbus Roman No9 L"/>
                <w:kern w:val="0"/>
                <w:sz w:val="24"/>
              </w:rPr>
            </w:pPr>
            <w:r>
              <w:rPr>
                <w:rFonts w:hint="default" w:ascii="Nimbus Roman No9 L" w:hAnsi="Nimbus Roman No9 L" w:cs="Nimbus Roman No9 L"/>
                <w:kern w:val="0"/>
                <w:sz w:val="24"/>
              </w:rPr>
              <w:t>本单位承诺填报信息全部真实、合法、有效，并承担一切法律责任。同时，保证按照法律法规的要求从事药品网络销售活动。</w:t>
            </w:r>
          </w:p>
          <w:p>
            <w:pPr>
              <w:keepNext w:val="0"/>
              <w:keepLines w:val="0"/>
              <w:pageBreakBefore w:val="0"/>
              <w:widowControl/>
              <w:kinsoku/>
              <w:overflowPunct/>
              <w:topLinePunct w:val="0"/>
              <w:autoSpaceDE/>
              <w:autoSpaceDN/>
              <w:bidi w:val="0"/>
              <w:adjustRightInd/>
              <w:snapToGrid/>
              <w:spacing w:line="576" w:lineRule="exact"/>
              <w:ind w:firstLine="440" w:firstLineChars="200"/>
              <w:jc w:val="left"/>
              <w:textAlignment w:val="auto"/>
              <w:rPr>
                <w:rFonts w:hint="default" w:ascii="Nimbus Roman No9 L" w:hAnsi="Nimbus Roman No9 L" w:cs="Nimbus Roman No9 L"/>
                <w:kern w:val="0"/>
                <w:sz w:val="22"/>
              </w:rPr>
            </w:pPr>
          </w:p>
          <w:p>
            <w:pPr>
              <w:keepNext w:val="0"/>
              <w:keepLines w:val="0"/>
              <w:pageBreakBefore w:val="0"/>
              <w:widowControl/>
              <w:kinsoku/>
              <w:overflowPunct/>
              <w:topLinePunct w:val="0"/>
              <w:autoSpaceDE/>
              <w:autoSpaceDN/>
              <w:bidi w:val="0"/>
              <w:adjustRightInd/>
              <w:snapToGrid/>
              <w:spacing w:line="576" w:lineRule="exact"/>
              <w:ind w:firstLine="440" w:firstLineChars="200"/>
              <w:jc w:val="left"/>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 xml:space="preserve">                            法定代表人（主要负责人）签字：</w:t>
            </w:r>
          </w:p>
          <w:p>
            <w:pPr>
              <w:keepNext w:val="0"/>
              <w:keepLines w:val="0"/>
              <w:pageBreakBefore w:val="0"/>
              <w:widowControl/>
              <w:kinsoku/>
              <w:overflowPunct/>
              <w:topLinePunct w:val="0"/>
              <w:autoSpaceDE/>
              <w:autoSpaceDN/>
              <w:bidi w:val="0"/>
              <w:adjustRightInd/>
              <w:snapToGrid/>
              <w:spacing w:line="576" w:lineRule="exact"/>
              <w:ind w:firstLine="440" w:firstLineChars="200"/>
              <w:jc w:val="left"/>
              <w:textAlignment w:val="auto"/>
              <w:rPr>
                <w:rFonts w:hint="default" w:ascii="Nimbus Roman No9 L" w:hAnsi="Nimbus Roman No9 L" w:cs="Nimbus Roman No9 L"/>
                <w:kern w:val="0"/>
                <w:sz w:val="22"/>
              </w:rPr>
            </w:pPr>
          </w:p>
          <w:p>
            <w:pPr>
              <w:keepNext w:val="0"/>
              <w:keepLines w:val="0"/>
              <w:pageBreakBefore w:val="0"/>
              <w:widowControl/>
              <w:kinsoku/>
              <w:overflowPunct/>
              <w:topLinePunct w:val="0"/>
              <w:autoSpaceDE/>
              <w:autoSpaceDN/>
              <w:bidi w:val="0"/>
              <w:adjustRightInd/>
              <w:snapToGrid/>
              <w:spacing w:line="576" w:lineRule="exact"/>
              <w:ind w:firstLine="5610" w:firstLineChars="2550"/>
              <w:jc w:val="left"/>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单位盖章：</w:t>
            </w:r>
          </w:p>
          <w:p>
            <w:pPr>
              <w:keepNext w:val="0"/>
              <w:keepLines w:val="0"/>
              <w:pageBreakBefore w:val="0"/>
              <w:widowControl/>
              <w:kinsoku/>
              <w:overflowPunct/>
              <w:topLinePunct w:val="0"/>
              <w:autoSpaceDE/>
              <w:autoSpaceDN/>
              <w:bidi w:val="0"/>
              <w:adjustRightInd/>
              <w:snapToGrid/>
              <w:spacing w:line="576" w:lineRule="exact"/>
              <w:ind w:firstLine="5610" w:firstLineChars="2550"/>
              <w:jc w:val="left"/>
              <w:textAlignment w:val="auto"/>
              <w:rPr>
                <w:rFonts w:hint="default" w:ascii="Nimbus Roman No9 L" w:hAnsi="Nimbus Roman No9 L" w:cs="Nimbus Roman No9 L"/>
                <w:kern w:val="0"/>
                <w:sz w:val="22"/>
              </w:rPr>
            </w:pPr>
          </w:p>
          <w:p>
            <w:pPr>
              <w:keepNext w:val="0"/>
              <w:keepLines w:val="0"/>
              <w:pageBreakBefore w:val="0"/>
              <w:kinsoku/>
              <w:wordWrap w:val="0"/>
              <w:overflowPunct/>
              <w:topLinePunct w:val="0"/>
              <w:autoSpaceDE/>
              <w:autoSpaceDN/>
              <w:bidi w:val="0"/>
              <w:adjustRightInd/>
              <w:snapToGrid/>
              <w:spacing w:line="576" w:lineRule="exact"/>
              <w:jc w:val="right"/>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 xml:space="preserve">                                              年     月     日</w:t>
            </w:r>
          </w:p>
        </w:tc>
      </w:tr>
    </w:tbl>
    <w:p>
      <w:pPr>
        <w:keepNext w:val="0"/>
        <w:keepLines w:val="0"/>
        <w:pageBreakBefore w:val="0"/>
        <w:widowControl/>
        <w:shd w:val="clear" w:color="auto" w:fill="FFFFFF"/>
        <w:kinsoku/>
        <w:wordWrap/>
        <w:overflowPunct/>
        <w:topLinePunct w:val="0"/>
        <w:autoSpaceDE/>
        <w:autoSpaceDN/>
        <w:bidi w:val="0"/>
        <w:adjustRightInd/>
        <w:snapToGrid/>
        <w:spacing w:line="576" w:lineRule="exact"/>
        <w:jc w:val="left"/>
        <w:textAlignment w:val="auto"/>
        <w:rPr>
          <w:rFonts w:hint="default" w:ascii="Nimbus Roman No9 L" w:hAnsi="Nimbus Roman No9 L" w:eastAsia="黑体" w:cs="Nimbus Roman No9 L"/>
          <w:kern w:val="0"/>
          <w:sz w:val="22"/>
        </w:rPr>
      </w:pPr>
      <w:r>
        <w:rPr>
          <w:rFonts w:hint="default" w:ascii="Nimbus Roman No9 L" w:hAnsi="Nimbus Roman No9 L" w:eastAsia="黑体" w:cs="Nimbus Roman No9 L"/>
          <w:kern w:val="0"/>
          <w:sz w:val="22"/>
        </w:rPr>
        <w:t>填表说明：</w:t>
      </w:r>
    </w:p>
    <w:p>
      <w:pPr>
        <w:keepNext w:val="0"/>
        <w:keepLines w:val="0"/>
        <w:pageBreakBefore w:val="0"/>
        <w:widowControl/>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一、本表按照实际内容填写，相关信息变更的，需重新填写；未变更的，则按照首次或最近一次变更的信息自动生成。</w:t>
      </w:r>
    </w:p>
    <w:p>
      <w:pPr>
        <w:keepNext w:val="0"/>
        <w:keepLines w:val="0"/>
        <w:pageBreakBefore w:val="0"/>
        <w:widowControl/>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二、增加或删减自建网站、网络客户端应用程序（含小程序）的，应当在报告内容中逐个列明；增加入驻药品网络交易第三方平台开展经营活动数量的，应当新入驻的将店铺名称、店铺首页链接在报告内容中逐个列明；删减入驻药品网络交易第三方平台开展经营活动数量的，应将已入驻的药品网络交易第三方平台信息逐一删除。所填栏目不够填写时，可根据实际情况增加行数填写。</w:t>
      </w: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三、本表填报内容应使用A4纸双面打印，不得手写。</w:t>
      </w: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附件3</w:t>
      </w:r>
    </w:p>
    <w:p>
      <w:pPr>
        <w:keepNext w:val="0"/>
        <w:keepLines w:val="0"/>
        <w:pageBreakBefore w:val="0"/>
        <w:tabs>
          <w:tab w:val="left" w:pos="7380"/>
          <w:tab w:val="left" w:pos="7560"/>
        </w:tabs>
        <w:kinsoku/>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药品网络交易第三方平台备案表(首次）</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81"/>
        <w:gridCol w:w="1830"/>
        <w:gridCol w:w="66"/>
        <w:gridCol w:w="1560"/>
        <w:gridCol w:w="1371"/>
        <w:gridCol w:w="47"/>
        <w:gridCol w:w="24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联系人*</w:t>
            </w: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姓</w:t>
            </w:r>
            <w:r>
              <w:rPr>
                <w:rFonts w:hint="eastAsia" w:ascii="Times New Roman" w:hAnsi="Times New Roman" w:eastAsia="仿宋_GB2312" w:cs="Times New Roman"/>
                <w:color w:val="000000"/>
                <w:kern w:val="0"/>
                <w:sz w:val="22"/>
                <w:lang w:val="en-US" w:eastAsia="zh-CN"/>
              </w:rPr>
              <w:t xml:space="preserve">  </w:t>
            </w:r>
            <w:r>
              <w:rPr>
                <w:rFonts w:ascii="Times New Roman" w:hAnsi="Times New Roman" w:eastAsia="仿宋_GB2312" w:cs="Times New Roman"/>
                <w:color w:val="000000"/>
                <w:kern w:val="0"/>
                <w:sz w:val="22"/>
              </w:rPr>
              <w:t>名</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电</w:t>
            </w:r>
            <w:r>
              <w:rPr>
                <w:rFonts w:hint="eastAsia" w:ascii="Times New Roman" w:hAnsi="Times New Roman" w:eastAsia="仿宋_GB2312" w:cs="Times New Roman"/>
                <w:color w:val="000000"/>
                <w:kern w:val="0"/>
                <w:sz w:val="22"/>
                <w:lang w:val="en-US" w:eastAsia="zh-CN"/>
              </w:rPr>
              <w:t xml:space="preserve">  </w:t>
            </w:r>
            <w:r>
              <w:rPr>
                <w:rFonts w:ascii="Times New Roman" w:hAnsi="Times New Roman" w:eastAsia="仿宋_GB2312" w:cs="Times New Roman"/>
                <w:color w:val="000000"/>
                <w:kern w:val="0"/>
                <w:sz w:val="22"/>
              </w:rPr>
              <w:t>话</w:t>
            </w:r>
          </w:p>
        </w:tc>
        <w:tc>
          <w:tcPr>
            <w:tcW w:w="253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身份证件类型</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000000"/>
                <w:kern w:val="0"/>
                <w:sz w:val="22"/>
                <w:lang w:val="en"/>
              </w:rPr>
            </w:pPr>
            <w:r>
              <w:rPr>
                <w:rFonts w:ascii="Times New Roman" w:hAnsi="Times New Roman" w:eastAsia="仿宋_GB2312" w:cs="Times New Roman"/>
                <w:color w:val="000000"/>
                <w:kern w:val="0"/>
                <w:sz w:val="22"/>
              </w:rPr>
              <w:t>证件</w:t>
            </w:r>
            <w:r>
              <w:rPr>
                <w:rFonts w:hint="eastAsia" w:ascii="Times New Roman" w:hAnsi="Times New Roman" w:eastAsia="仿宋_GB2312" w:cs="Times New Roman"/>
                <w:color w:val="000000"/>
                <w:kern w:val="0"/>
                <w:sz w:val="22"/>
                <w:lang w:eastAsia="zh-CN"/>
              </w:rPr>
              <w:t>号码</w:t>
            </w:r>
          </w:p>
        </w:tc>
        <w:tc>
          <w:tcPr>
            <w:tcW w:w="253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传</w:t>
            </w:r>
            <w:r>
              <w:rPr>
                <w:rFonts w:hint="eastAsia" w:ascii="Times New Roman" w:hAnsi="Times New Roman" w:eastAsia="仿宋_GB2312" w:cs="Times New Roman"/>
                <w:color w:val="000000"/>
                <w:kern w:val="0"/>
                <w:sz w:val="22"/>
                <w:lang w:val="en-US" w:eastAsia="zh-CN"/>
              </w:rPr>
              <w:t xml:space="preserve">  </w:t>
            </w:r>
            <w:r>
              <w:rPr>
                <w:rFonts w:ascii="Times New Roman" w:hAnsi="Times New Roman" w:eastAsia="仿宋_GB2312" w:cs="Times New Roman"/>
                <w:color w:val="000000"/>
                <w:kern w:val="0"/>
                <w:sz w:val="22"/>
              </w:rPr>
              <w:t>真</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hint="eastAsia" w:ascii="Times New Roman" w:hAnsi="Times New Roman" w:eastAsia="仿宋_GB2312" w:cs="Times New Roman"/>
                <w:color w:val="000000"/>
                <w:kern w:val="0"/>
                <w:sz w:val="22"/>
                <w:lang w:eastAsia="zh-CN"/>
              </w:rPr>
            </w:pPr>
            <w:r>
              <w:rPr>
                <w:rFonts w:ascii="Times New Roman" w:hAnsi="Times New Roman" w:eastAsia="仿宋_GB2312" w:cs="Times New Roman"/>
                <w:color w:val="000000"/>
                <w:kern w:val="0"/>
                <w:sz w:val="22"/>
              </w:rPr>
              <w:t>电子邮</w:t>
            </w:r>
            <w:r>
              <w:rPr>
                <w:rFonts w:hint="eastAsia" w:ascii="Times New Roman" w:hAnsi="Times New Roman" w:eastAsia="仿宋_GB2312" w:cs="Times New Roman"/>
                <w:color w:val="000000"/>
                <w:kern w:val="0"/>
                <w:sz w:val="22"/>
                <w:lang w:eastAsia="zh-CN"/>
              </w:rPr>
              <w:t>箱</w:t>
            </w:r>
          </w:p>
        </w:tc>
        <w:tc>
          <w:tcPr>
            <w:tcW w:w="253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备案主体</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信  息</w:t>
            </w: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企业名称*</w:t>
            </w:r>
          </w:p>
        </w:tc>
        <w:tc>
          <w:tcPr>
            <w:tcW w:w="5461"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ascii="Times New Roman" w:hAnsi="Times New Roman" w:eastAsia="仿宋_GB2312" w:cs="Times New Roman"/>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住</w:t>
            </w:r>
            <w:r>
              <w:rPr>
                <w:rFonts w:hint="eastAsia" w:ascii="Times New Roman" w:hAnsi="Times New Roman" w:eastAsia="仿宋_GB2312" w:cs="Times New Roman"/>
                <w:color w:val="000000"/>
                <w:kern w:val="0"/>
                <w:sz w:val="22"/>
                <w:lang w:val="en-US" w:eastAsia="zh-CN"/>
              </w:rPr>
              <w:t xml:space="preserve">  </w:t>
            </w:r>
            <w:r>
              <w:rPr>
                <w:rFonts w:ascii="Times New Roman" w:hAnsi="Times New Roman" w:eastAsia="仿宋_GB2312" w:cs="Times New Roman"/>
                <w:color w:val="000000"/>
                <w:kern w:val="0"/>
                <w:sz w:val="22"/>
              </w:rPr>
              <w:t>所*</w:t>
            </w:r>
          </w:p>
        </w:tc>
        <w:tc>
          <w:tcPr>
            <w:tcW w:w="5461"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ascii="Times New Roman" w:hAnsi="Times New Roman" w:eastAsia="仿宋_GB2312" w:cs="Times New Roman"/>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办公场所*</w:t>
            </w:r>
          </w:p>
        </w:tc>
        <w:tc>
          <w:tcPr>
            <w:tcW w:w="5461"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ascii="Times New Roman" w:hAnsi="Times New Roman" w:eastAsia="仿宋_GB2312" w:cs="Times New Roman"/>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社会信用代码*</w:t>
            </w:r>
          </w:p>
        </w:tc>
        <w:tc>
          <w:tcPr>
            <w:tcW w:w="5461"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ascii="Times New Roman" w:hAnsi="Times New Roman" w:eastAsia="仿宋_GB2312" w:cs="Times New Roman"/>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1"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3456"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互联网药品信息服务</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资格证书编号*</w:t>
            </w:r>
          </w:p>
        </w:tc>
        <w:tc>
          <w:tcPr>
            <w:tcW w:w="390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ascii="Times New Roman" w:hAnsi="Times New Roman" w:eastAsia="仿宋_GB2312" w:cs="Times New Roman"/>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735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法定代表人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22"/>
              </w:rPr>
              <w:t>姓  名*</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ascii="Times New Roman" w:hAnsi="Times New Roman" w:eastAsia="仿宋_GB2312" w:cs="Times New Roman"/>
                <w:color w:val="000000"/>
                <w:kern w:val="0"/>
                <w:sz w:val="22"/>
              </w:rPr>
            </w:pPr>
          </w:p>
        </w:tc>
        <w:tc>
          <w:tcPr>
            <w:tcW w:w="1418"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联系电话*</w:t>
            </w:r>
          </w:p>
        </w:tc>
        <w:tc>
          <w:tcPr>
            <w:tcW w:w="24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ascii="Times New Roman" w:hAnsi="Times New Roman" w:eastAsia="仿宋_GB2312" w:cs="Times New Roman"/>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身份证件类型*</w:t>
            </w:r>
          </w:p>
        </w:tc>
        <w:tc>
          <w:tcPr>
            <w:tcW w:w="5461"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证件号码*</w:t>
            </w:r>
          </w:p>
        </w:tc>
        <w:tc>
          <w:tcPr>
            <w:tcW w:w="5461"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ascii="Times New Roman" w:hAnsi="Times New Roman" w:eastAsia="仿宋_GB2312" w:cs="Times New Roman"/>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735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ind w:firstLine="220" w:firstLineChars="100"/>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主要负责人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22"/>
              </w:rPr>
              <w:t>姓  名*</w:t>
            </w:r>
          </w:p>
        </w:tc>
        <w:tc>
          <w:tcPr>
            <w:tcW w:w="162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18"/>
                <w:szCs w:val="18"/>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22"/>
              </w:rPr>
              <w:t>联系电话*</w:t>
            </w:r>
          </w:p>
        </w:tc>
        <w:tc>
          <w:tcPr>
            <w:tcW w:w="253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身份证件类型*</w:t>
            </w:r>
          </w:p>
        </w:tc>
        <w:tc>
          <w:tcPr>
            <w:tcW w:w="5527"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kern w:val="0"/>
                <w:sz w:val="22"/>
              </w:rPr>
            </w:pPr>
            <w:r>
              <w:rPr>
                <w:rFonts w:ascii="Times New Roman" w:hAnsi="Times New Roman" w:eastAsia="仿宋_GB2312" w:cs="Times New Roman"/>
                <w:kern w:val="0"/>
                <w:sz w:val="22"/>
              </w:rPr>
              <w:t>证件号码*</w:t>
            </w:r>
          </w:p>
        </w:tc>
        <w:tc>
          <w:tcPr>
            <w:tcW w:w="5527"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735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eastAsia="zh-CN"/>
              </w:rPr>
              <w:t>药品质量安全管理</w:t>
            </w:r>
            <w:r>
              <w:rPr>
                <w:rFonts w:hint="eastAsia" w:ascii="Times New Roman" w:hAnsi="Times New Roman" w:eastAsia="仿宋_GB2312" w:cs="Times New Roman"/>
                <w:color w:val="000000"/>
                <w:kern w:val="0"/>
                <w:sz w:val="22"/>
                <w:lang w:val="en-US" w:eastAsia="zh-CN"/>
              </w:rPr>
              <w:t>机构</w:t>
            </w:r>
            <w:r>
              <w:rPr>
                <w:rFonts w:hint="eastAsia" w:ascii="Times New Roman" w:hAnsi="Times New Roman" w:eastAsia="仿宋_GB2312" w:cs="Times New Roman"/>
                <w:color w:val="000000"/>
                <w:kern w:val="0"/>
                <w:sz w:val="22"/>
                <w:lang w:eastAsia="zh-CN"/>
              </w:rPr>
              <w:t>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姓名*</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c>
          <w:tcPr>
            <w:tcW w:w="1418"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联系电话*</w:t>
            </w:r>
          </w:p>
        </w:tc>
        <w:tc>
          <w:tcPr>
            <w:tcW w:w="24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r>
    </w:tbl>
    <w:tbl>
      <w:tblPr>
        <w:tblStyle w:val="7"/>
        <w:tblpPr w:leftFromText="180" w:rightFromText="180" w:vertAnchor="text" w:horzAnchor="page" w:tblpX="1462" w:tblpY="262"/>
        <w:tblOverlap w:val="never"/>
        <w:tblW w:w="0" w:type="auto"/>
        <w:tblInd w:w="0" w:type="dxa"/>
        <w:tblLayout w:type="fixed"/>
        <w:tblCellMar>
          <w:top w:w="0" w:type="dxa"/>
          <w:left w:w="108" w:type="dxa"/>
          <w:bottom w:w="0" w:type="dxa"/>
          <w:right w:w="108" w:type="dxa"/>
        </w:tblCellMar>
      </w:tblPr>
      <w:tblGrid>
        <w:gridCol w:w="1803"/>
        <w:gridCol w:w="1985"/>
        <w:gridCol w:w="5392"/>
      </w:tblGrid>
      <w:tr>
        <w:tblPrEx>
          <w:tblCellMar>
            <w:top w:w="0" w:type="dxa"/>
            <w:left w:w="108" w:type="dxa"/>
            <w:bottom w:w="0" w:type="dxa"/>
            <w:right w:w="108" w:type="dxa"/>
          </w:tblCellMar>
        </w:tblPrEx>
        <w:trPr>
          <w:trHeight w:val="610" w:hRule="atLeast"/>
        </w:trPr>
        <w:tc>
          <w:tcPr>
            <w:tcW w:w="1803" w:type="dxa"/>
            <w:vMerge w:val="restart"/>
            <w:tcBorders>
              <w:top w:val="single" w:color="000000" w:sz="8"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c>
          <w:tcPr>
            <w:tcW w:w="1985" w:type="dxa"/>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身份证件类型*</w:t>
            </w:r>
          </w:p>
        </w:tc>
        <w:tc>
          <w:tcPr>
            <w:tcW w:w="5392" w:type="dxa"/>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r>
      <w:tr>
        <w:tblPrEx>
          <w:tblCellMar>
            <w:top w:w="0" w:type="dxa"/>
            <w:left w:w="108" w:type="dxa"/>
            <w:bottom w:w="0" w:type="dxa"/>
            <w:right w:w="108" w:type="dxa"/>
          </w:tblCellMar>
        </w:tblPrEx>
        <w:trPr>
          <w:trHeight w:val="610" w:hRule="atLeast"/>
        </w:trPr>
        <w:tc>
          <w:tcPr>
            <w:tcW w:w="1803" w:type="dxa"/>
            <w:vMerge w:val="continue"/>
            <w:tcBorders>
              <w:top w:val="single" w:color="000000" w:sz="8"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985" w:type="dxa"/>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证件号码*</w:t>
            </w:r>
          </w:p>
        </w:tc>
        <w:tc>
          <w:tcPr>
            <w:tcW w:w="5392" w:type="dxa"/>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r>
      <w:tr>
        <w:tblPrEx>
          <w:tblCellMar>
            <w:top w:w="0" w:type="dxa"/>
            <w:left w:w="108" w:type="dxa"/>
            <w:bottom w:w="0" w:type="dxa"/>
            <w:right w:w="108" w:type="dxa"/>
          </w:tblCellMar>
        </w:tblPrEx>
        <w:trPr>
          <w:trHeight w:val="610" w:hRule="atLeast"/>
        </w:trPr>
        <w:tc>
          <w:tcPr>
            <w:tcW w:w="1803" w:type="dxa"/>
            <w:vMerge w:val="restart"/>
            <w:tcBorders>
              <w:top w:val="single" w:color="auto" w:sz="4" w:space="0"/>
              <w:left w:val="single" w:color="auto" w:sz="8" w:space="0"/>
              <w:bottom w:val="nil"/>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网站信息</w:t>
            </w:r>
          </w:p>
        </w:tc>
        <w:tc>
          <w:tcPr>
            <w:tcW w:w="1985" w:type="dxa"/>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网站名称*</w:t>
            </w:r>
          </w:p>
        </w:tc>
        <w:tc>
          <w:tcPr>
            <w:tcW w:w="5392" w:type="dxa"/>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r>
      <w:tr>
        <w:tblPrEx>
          <w:tblCellMar>
            <w:top w:w="0" w:type="dxa"/>
            <w:left w:w="108" w:type="dxa"/>
            <w:bottom w:w="0" w:type="dxa"/>
            <w:right w:w="108" w:type="dxa"/>
          </w:tblCellMar>
        </w:tblPrEx>
        <w:trPr>
          <w:trHeight w:val="610" w:hRule="atLeast"/>
        </w:trPr>
        <w:tc>
          <w:tcPr>
            <w:tcW w:w="1803" w:type="dxa"/>
            <w:vMerge w:val="continue"/>
            <w:tcBorders>
              <w:top w:val="single" w:color="auto" w:sz="4" w:space="0"/>
              <w:left w:val="single" w:color="auto" w:sz="8" w:space="0"/>
              <w:bottom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网络客户端</w:t>
            </w:r>
          </w:p>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应用程序名</w:t>
            </w:r>
          </w:p>
        </w:tc>
        <w:tc>
          <w:tcPr>
            <w:tcW w:w="5392"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r>
      <w:tr>
        <w:tblPrEx>
          <w:tblCellMar>
            <w:top w:w="0" w:type="dxa"/>
            <w:left w:w="108" w:type="dxa"/>
            <w:bottom w:w="0" w:type="dxa"/>
            <w:right w:w="108" w:type="dxa"/>
          </w:tblCellMar>
        </w:tblPrEx>
        <w:trPr>
          <w:trHeight w:val="610" w:hRule="atLeast"/>
        </w:trPr>
        <w:tc>
          <w:tcPr>
            <w:tcW w:w="1803" w:type="dxa"/>
            <w:vMerge w:val="continue"/>
            <w:tcBorders>
              <w:top w:val="single" w:color="auto" w:sz="4" w:space="0"/>
              <w:left w:val="single" w:color="auto" w:sz="8" w:space="0"/>
              <w:bottom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网站域名*</w:t>
            </w:r>
          </w:p>
        </w:tc>
        <w:tc>
          <w:tcPr>
            <w:tcW w:w="5392"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（网站主页面域名）</w:t>
            </w:r>
          </w:p>
        </w:tc>
      </w:tr>
      <w:tr>
        <w:tblPrEx>
          <w:tblCellMar>
            <w:top w:w="0" w:type="dxa"/>
            <w:left w:w="108" w:type="dxa"/>
            <w:bottom w:w="0" w:type="dxa"/>
            <w:right w:w="108" w:type="dxa"/>
          </w:tblCellMar>
        </w:tblPrEx>
        <w:trPr>
          <w:trHeight w:val="610" w:hRule="atLeast"/>
        </w:trPr>
        <w:tc>
          <w:tcPr>
            <w:tcW w:w="1803" w:type="dxa"/>
            <w:vMerge w:val="continue"/>
            <w:tcBorders>
              <w:top w:val="single" w:color="auto" w:sz="4" w:space="0"/>
              <w:left w:val="single" w:color="auto" w:sz="8" w:space="0"/>
              <w:bottom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网站IP地址*</w:t>
            </w:r>
          </w:p>
        </w:tc>
        <w:tc>
          <w:tcPr>
            <w:tcW w:w="5392"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（网站主页面IP地址）</w:t>
            </w:r>
          </w:p>
        </w:tc>
      </w:tr>
      <w:tr>
        <w:tblPrEx>
          <w:tblCellMar>
            <w:top w:w="0" w:type="dxa"/>
            <w:left w:w="108" w:type="dxa"/>
            <w:bottom w:w="0" w:type="dxa"/>
            <w:right w:w="108" w:type="dxa"/>
          </w:tblCellMar>
        </w:tblPrEx>
        <w:trPr>
          <w:trHeight w:val="610" w:hRule="atLeast"/>
        </w:trPr>
        <w:tc>
          <w:tcPr>
            <w:tcW w:w="1803" w:type="dxa"/>
            <w:vMerge w:val="continue"/>
            <w:tcBorders>
              <w:top w:val="single" w:color="auto" w:sz="4" w:space="0"/>
              <w:left w:val="single" w:color="auto" w:sz="8" w:space="0"/>
              <w:bottom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服务器存放地址*</w:t>
            </w:r>
          </w:p>
        </w:tc>
        <w:tc>
          <w:tcPr>
            <w:tcW w:w="5392"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r>
      <w:tr>
        <w:tblPrEx>
          <w:tblCellMar>
            <w:top w:w="0" w:type="dxa"/>
            <w:left w:w="108" w:type="dxa"/>
            <w:bottom w:w="0" w:type="dxa"/>
            <w:right w:w="108" w:type="dxa"/>
          </w:tblCellMar>
        </w:tblPrEx>
        <w:trPr>
          <w:trHeight w:val="610" w:hRule="atLeast"/>
        </w:trPr>
        <w:tc>
          <w:tcPr>
            <w:tcW w:w="1803" w:type="dxa"/>
            <w:vMerge w:val="continue"/>
            <w:tcBorders>
              <w:top w:val="single" w:color="auto" w:sz="4" w:space="0"/>
              <w:left w:val="single" w:color="auto" w:sz="8" w:space="0"/>
              <w:bottom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非经营性互联网信息服务备案编号*</w:t>
            </w:r>
          </w:p>
        </w:tc>
        <w:tc>
          <w:tcPr>
            <w:tcW w:w="5392"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r>
      <w:tr>
        <w:tblPrEx>
          <w:tblCellMar>
            <w:top w:w="0" w:type="dxa"/>
            <w:left w:w="108" w:type="dxa"/>
            <w:bottom w:w="0" w:type="dxa"/>
            <w:right w:w="108" w:type="dxa"/>
          </w:tblCellMar>
        </w:tblPrEx>
        <w:trPr>
          <w:trHeight w:val="610" w:hRule="atLeast"/>
        </w:trPr>
        <w:tc>
          <w:tcPr>
            <w:tcW w:w="1803" w:type="dxa"/>
            <w:vMerge w:val="continue"/>
            <w:tcBorders>
              <w:top w:val="single" w:color="auto" w:sz="4" w:space="0"/>
              <w:left w:val="single" w:color="auto" w:sz="8" w:space="0"/>
              <w:bottom w:val="nil"/>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left"/>
              <w:textAlignment w:val="auto"/>
              <w:rPr>
                <w:rFonts w:ascii="Times New Roman" w:hAnsi="Times New Roman" w:eastAsia="仿宋_GB2312" w:cs="Times New Roman"/>
                <w:color w:val="000000"/>
                <w:kern w:val="0"/>
                <w:sz w:val="22"/>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电信业务经营许可证编号</w:t>
            </w:r>
          </w:p>
        </w:tc>
        <w:tc>
          <w:tcPr>
            <w:tcW w:w="5392"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576" w:lineRule="exact"/>
              <w:jc w:val="center"/>
              <w:textAlignment w:val="auto"/>
              <w:rPr>
                <w:rFonts w:ascii="Times New Roman" w:hAnsi="Times New Roman" w:eastAsia="仿宋_GB2312" w:cs="Times New Roman"/>
                <w:color w:val="000000"/>
                <w:kern w:val="0"/>
                <w:sz w:val="22"/>
              </w:rPr>
            </w:pPr>
          </w:p>
        </w:tc>
      </w:tr>
      <w:tr>
        <w:tblPrEx>
          <w:tblCellMar>
            <w:top w:w="0" w:type="dxa"/>
            <w:left w:w="108" w:type="dxa"/>
            <w:bottom w:w="0" w:type="dxa"/>
            <w:right w:w="108" w:type="dxa"/>
          </w:tblCellMar>
        </w:tblPrEx>
        <w:trPr>
          <w:trHeight w:val="3047" w:hRule="atLeast"/>
        </w:trPr>
        <w:tc>
          <w:tcPr>
            <w:tcW w:w="9180" w:type="dxa"/>
            <w:gridSpan w:val="3"/>
            <w:tcBorders>
              <w:top w:val="single" w:color="auto" w:sz="8" w:space="0"/>
              <w:left w:val="single" w:color="auto" w:sz="8" w:space="0"/>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480" w:firstLineChars="200"/>
              <w:jc w:val="left"/>
              <w:textAlignment w:val="auto"/>
              <w:rPr>
                <w:rFonts w:ascii="Times New Roman" w:hAnsi="Times New Roman" w:eastAsia="仿宋_GB2312" w:cs="Times New Roman"/>
                <w:color w:val="000000"/>
                <w:kern w:val="0"/>
                <w:sz w:val="24"/>
              </w:rPr>
            </w:pPr>
          </w:p>
          <w:p>
            <w:pPr>
              <w:keepNext w:val="0"/>
              <w:keepLines w:val="0"/>
              <w:pageBreakBefore w:val="0"/>
              <w:widowControl/>
              <w:kinsoku/>
              <w:wordWrap/>
              <w:overflowPunct/>
              <w:topLinePunct w:val="0"/>
              <w:autoSpaceDE/>
              <w:autoSpaceDN/>
              <w:bidi w:val="0"/>
              <w:adjustRightInd/>
              <w:snapToGrid/>
              <w:spacing w:line="576" w:lineRule="exact"/>
              <w:ind w:firstLine="480" w:firstLineChars="200"/>
              <w:jc w:val="left"/>
              <w:textAlignment w:val="auto"/>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本单位承诺备案填报信息和提交的材料全部真实、合法、有效，并承担一切法律责任。同时，保证按照法律法规的要求提供</w:t>
            </w:r>
            <w:r>
              <w:rPr>
                <w:rFonts w:hint="eastAsia" w:ascii="Times New Roman" w:hAnsi="Times New Roman" w:eastAsia="仿宋_GB2312" w:cs="Times New Roman"/>
                <w:color w:val="000000"/>
                <w:kern w:val="0"/>
                <w:sz w:val="24"/>
                <w:lang w:eastAsia="zh-CN"/>
              </w:rPr>
              <w:t>药品</w:t>
            </w:r>
            <w:r>
              <w:rPr>
                <w:rFonts w:ascii="Times New Roman" w:hAnsi="Times New Roman" w:eastAsia="仿宋_GB2312" w:cs="Times New Roman"/>
                <w:color w:val="000000"/>
                <w:kern w:val="0"/>
                <w:sz w:val="24"/>
              </w:rPr>
              <w:t>网络交易</w:t>
            </w:r>
            <w:r>
              <w:rPr>
                <w:rFonts w:hint="eastAsia" w:ascii="Times New Roman" w:hAnsi="Times New Roman" w:eastAsia="仿宋_GB2312" w:cs="Times New Roman"/>
                <w:color w:val="000000"/>
                <w:kern w:val="0"/>
                <w:sz w:val="24"/>
                <w:lang w:eastAsia="zh-CN"/>
              </w:rPr>
              <w:t>第三方平台</w:t>
            </w:r>
            <w:r>
              <w:rPr>
                <w:rFonts w:ascii="Times New Roman" w:hAnsi="Times New Roman" w:eastAsia="仿宋_GB2312" w:cs="Times New Roman"/>
                <w:color w:val="000000"/>
                <w:kern w:val="0"/>
                <w:sz w:val="24"/>
              </w:rPr>
              <w:t>服务。</w:t>
            </w:r>
          </w:p>
          <w:p>
            <w:pPr>
              <w:keepNext w:val="0"/>
              <w:keepLines w:val="0"/>
              <w:pageBreakBefore w:val="0"/>
              <w:widowControl/>
              <w:kinsoku/>
              <w:wordWrap/>
              <w:overflowPunct/>
              <w:topLinePunct w:val="0"/>
              <w:autoSpaceDE/>
              <w:autoSpaceDN/>
              <w:bidi w:val="0"/>
              <w:adjustRightInd/>
              <w:snapToGrid/>
              <w:spacing w:line="576" w:lineRule="exact"/>
              <w:ind w:firstLine="440" w:firstLineChars="200"/>
              <w:jc w:val="left"/>
              <w:textAlignment w:val="auto"/>
              <w:rPr>
                <w:rFonts w:ascii="Times New Roman" w:hAnsi="Times New Roman" w:eastAsia="仿宋_GB2312" w:cs="Times New Roman"/>
                <w:color w:val="000000"/>
                <w:kern w:val="0"/>
                <w:sz w:val="22"/>
              </w:rPr>
            </w:pPr>
          </w:p>
          <w:p>
            <w:pPr>
              <w:keepNext w:val="0"/>
              <w:keepLines w:val="0"/>
              <w:pageBreakBefore w:val="0"/>
              <w:widowControl/>
              <w:kinsoku/>
              <w:wordWrap/>
              <w:overflowPunct/>
              <w:topLinePunct w:val="0"/>
              <w:autoSpaceDE/>
              <w:autoSpaceDN/>
              <w:bidi w:val="0"/>
              <w:adjustRightInd/>
              <w:snapToGrid/>
              <w:spacing w:line="576" w:lineRule="exact"/>
              <w:ind w:firstLine="440" w:firstLineChars="200"/>
              <w:jc w:val="left"/>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 xml:space="preserve">                            法定代表人（主要负责人）签字：</w:t>
            </w:r>
          </w:p>
          <w:p>
            <w:pPr>
              <w:keepNext w:val="0"/>
              <w:keepLines w:val="0"/>
              <w:pageBreakBefore w:val="0"/>
              <w:widowControl/>
              <w:kinsoku/>
              <w:wordWrap/>
              <w:overflowPunct/>
              <w:topLinePunct w:val="0"/>
              <w:autoSpaceDE/>
              <w:autoSpaceDN/>
              <w:bidi w:val="0"/>
              <w:adjustRightInd/>
              <w:snapToGrid/>
              <w:spacing w:line="576" w:lineRule="exact"/>
              <w:ind w:firstLine="440" w:firstLineChars="200"/>
              <w:jc w:val="left"/>
              <w:textAlignment w:val="auto"/>
              <w:rPr>
                <w:rFonts w:ascii="Times New Roman" w:hAnsi="Times New Roman" w:eastAsia="仿宋_GB2312" w:cs="Times New Roman"/>
                <w:color w:val="000000"/>
                <w:kern w:val="0"/>
                <w:sz w:val="22"/>
              </w:rPr>
            </w:pPr>
          </w:p>
          <w:p>
            <w:pPr>
              <w:keepNext w:val="0"/>
              <w:keepLines w:val="0"/>
              <w:pageBreakBefore w:val="0"/>
              <w:widowControl/>
              <w:kinsoku/>
              <w:overflowPunct/>
              <w:topLinePunct w:val="0"/>
              <w:autoSpaceDE/>
              <w:autoSpaceDN/>
              <w:bidi w:val="0"/>
              <w:adjustRightInd/>
              <w:snapToGrid/>
              <w:spacing w:line="576" w:lineRule="exact"/>
              <w:ind w:firstLine="5610" w:firstLineChars="2550"/>
              <w:jc w:val="left"/>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单位盖章：</w:t>
            </w:r>
          </w:p>
          <w:p>
            <w:pPr>
              <w:keepNext w:val="0"/>
              <w:keepLines w:val="0"/>
              <w:pageBreakBefore w:val="0"/>
              <w:widowControl/>
              <w:kinsoku/>
              <w:overflowPunct/>
              <w:topLinePunct w:val="0"/>
              <w:autoSpaceDE/>
              <w:autoSpaceDN/>
              <w:bidi w:val="0"/>
              <w:adjustRightInd/>
              <w:snapToGrid/>
              <w:spacing w:line="576" w:lineRule="exact"/>
              <w:ind w:firstLine="5610" w:firstLineChars="2550"/>
              <w:jc w:val="left"/>
              <w:textAlignment w:val="auto"/>
              <w:rPr>
                <w:rFonts w:ascii="Times New Roman" w:hAnsi="Times New Roman" w:eastAsia="仿宋_GB2312" w:cs="Times New Roman"/>
                <w:color w:val="000000"/>
                <w:kern w:val="0"/>
                <w:sz w:val="22"/>
              </w:rPr>
            </w:pPr>
          </w:p>
          <w:p>
            <w:pPr>
              <w:keepNext w:val="0"/>
              <w:keepLines w:val="0"/>
              <w:pageBreakBefore w:val="0"/>
              <w:kinsoku/>
              <w:overflowPunct/>
              <w:topLinePunct w:val="0"/>
              <w:autoSpaceDE/>
              <w:autoSpaceDN/>
              <w:bidi w:val="0"/>
              <w:adjustRightInd/>
              <w:snapToGrid/>
              <w:spacing w:line="576" w:lineRule="exact"/>
              <w:jc w:val="right"/>
              <w:textAlignment w:val="auto"/>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 xml:space="preserve">                                              年     月     日  </w:t>
            </w:r>
          </w:p>
        </w:tc>
      </w:tr>
    </w:tbl>
    <w:p>
      <w:pPr>
        <w:keepNext w:val="0"/>
        <w:keepLines w:val="0"/>
        <w:pageBreakBefore w:val="0"/>
        <w:kinsoku/>
        <w:overflowPunct/>
        <w:topLinePunct w:val="0"/>
        <w:autoSpaceDE/>
        <w:autoSpaceDN/>
        <w:bidi w:val="0"/>
        <w:adjustRightInd/>
        <w:snapToGrid/>
        <w:spacing w:line="576" w:lineRule="exact"/>
        <w:textAlignment w:val="auto"/>
        <w:rPr>
          <w:rFonts w:ascii="Times New Roman" w:hAnsi="Times New Roman" w:eastAsia="仿宋_GB2312" w:cs="Times New Roman"/>
        </w:rPr>
      </w:pPr>
    </w:p>
    <w:p>
      <w:pPr>
        <w:keepNext w:val="0"/>
        <w:keepLines w:val="0"/>
        <w:pageBreakBefore w:val="0"/>
        <w:kinsoku/>
        <w:overflowPunct/>
        <w:topLinePunct w:val="0"/>
        <w:autoSpaceDE/>
        <w:autoSpaceDN/>
        <w:bidi w:val="0"/>
        <w:adjustRightInd/>
        <w:snapToGrid/>
        <w:spacing w:line="576" w:lineRule="exact"/>
        <w:jc w:val="left"/>
        <w:textAlignment w:val="auto"/>
        <w:rPr>
          <w:rFonts w:ascii="Times New Roman" w:hAnsi="Times New Roman" w:eastAsia="黑体" w:cs="Times New Roman"/>
          <w:color w:val="000000"/>
          <w:kern w:val="0"/>
          <w:sz w:val="22"/>
          <w:szCs w:val="22"/>
        </w:rPr>
      </w:pPr>
      <w:r>
        <w:rPr>
          <w:rFonts w:ascii="Times New Roman" w:hAnsi="Times New Roman" w:eastAsia="黑体" w:cs="Times New Roman"/>
          <w:color w:val="000000"/>
          <w:kern w:val="0"/>
          <w:sz w:val="22"/>
          <w:szCs w:val="22"/>
        </w:rPr>
        <w:t>填表说明</w:t>
      </w:r>
      <w:r>
        <w:rPr>
          <w:rFonts w:hint="eastAsia" w:ascii="Times New Roman" w:hAnsi="Times New Roman" w:eastAsia="黑体" w:cs="Times New Roman"/>
          <w:color w:val="000000"/>
          <w:kern w:val="0"/>
          <w:sz w:val="22"/>
          <w:szCs w:val="22"/>
        </w:rPr>
        <w:t>：</w:t>
      </w:r>
    </w:p>
    <w:p>
      <w:pPr>
        <w:keepNext w:val="0"/>
        <w:keepLines w:val="0"/>
        <w:pageBreakBefore w:val="0"/>
        <w:kinsoku/>
        <w:overflowPunct/>
        <w:topLinePunct w:val="0"/>
        <w:autoSpaceDE/>
        <w:autoSpaceDN/>
        <w:bidi w:val="0"/>
        <w:adjustRightInd/>
        <w:snapToGrid/>
        <w:spacing w:line="576" w:lineRule="exact"/>
        <w:ind w:firstLine="440" w:firstLineChars="200"/>
        <w:textAlignment w:val="auto"/>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一、本表按照实际内容填写，*号内容为必填项目。其中，企业名称、社会信用代码、住所、法定代表人等应</w:t>
      </w:r>
      <w:r>
        <w:rPr>
          <w:rFonts w:hint="eastAsia" w:ascii="Times New Roman" w:hAnsi="Times New Roman" w:eastAsia="仿宋_GB2312" w:cs="Times New Roman"/>
          <w:color w:val="000000"/>
          <w:kern w:val="0"/>
          <w:sz w:val="22"/>
          <w:szCs w:val="22"/>
          <w:lang w:val="en-US" w:eastAsia="zh-CN"/>
        </w:rPr>
        <w:t>当</w:t>
      </w:r>
      <w:r>
        <w:rPr>
          <w:rFonts w:ascii="Times New Roman" w:hAnsi="Times New Roman" w:eastAsia="仿宋_GB2312" w:cs="Times New Roman"/>
          <w:color w:val="000000"/>
          <w:kern w:val="0"/>
          <w:sz w:val="22"/>
          <w:szCs w:val="22"/>
        </w:rPr>
        <w:t>按营业执照内容填写。</w:t>
      </w:r>
    </w:p>
    <w:p>
      <w:pPr>
        <w:keepNext w:val="0"/>
        <w:keepLines w:val="0"/>
        <w:pageBreakBefore w:val="0"/>
        <w:kinsoku/>
        <w:overflowPunct/>
        <w:topLinePunct w:val="0"/>
        <w:autoSpaceDE/>
        <w:autoSpaceDN/>
        <w:bidi w:val="0"/>
        <w:adjustRightInd/>
        <w:snapToGrid/>
        <w:spacing w:line="576" w:lineRule="exact"/>
        <w:ind w:firstLine="440" w:firstLineChars="200"/>
        <w:textAlignment w:val="auto"/>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rPr>
        <w:t>二、本表填报内容应使用A4纸双面打印，不得手写。</w:t>
      </w:r>
    </w:p>
    <w:p>
      <w:pPr>
        <w:keepNext w:val="0"/>
        <w:keepLines w:val="0"/>
        <w:pageBreakBefore w:val="0"/>
        <w:kinsoku/>
        <w:overflowPunct/>
        <w:topLinePunct w:val="0"/>
        <w:autoSpaceDE/>
        <w:autoSpaceDN/>
        <w:bidi w:val="0"/>
        <w:adjustRightInd/>
        <w:snapToGrid/>
        <w:spacing w:line="576" w:lineRule="exact"/>
        <w:ind w:firstLine="440" w:firstLineChars="200"/>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ind w:firstLine="440" w:firstLineChars="200"/>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ind w:firstLine="440" w:firstLineChars="200"/>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ind w:firstLine="440" w:firstLineChars="200"/>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ind w:firstLine="440" w:firstLineChars="200"/>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ind w:firstLine="440" w:firstLineChars="200"/>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ind w:firstLine="440" w:firstLineChars="200"/>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textAlignment w:val="auto"/>
        <w:rPr>
          <w:rFonts w:ascii="Times New Roman" w:hAnsi="Times New Roman" w:eastAsia="仿宋_GB2312" w:cs="Times New Roman"/>
          <w:color w:val="000000"/>
          <w:kern w:val="0"/>
          <w:sz w:val="22"/>
          <w:szCs w:val="22"/>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附件4</w:t>
      </w:r>
    </w:p>
    <w:p>
      <w:pPr>
        <w:keepNext w:val="0"/>
        <w:keepLines w:val="0"/>
        <w:pageBreakBefore w:val="0"/>
        <w:tabs>
          <w:tab w:val="left" w:pos="7380"/>
          <w:tab w:val="left" w:pos="7560"/>
        </w:tabs>
        <w:kinsoku/>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药品网络交易第三方平台备案信息</w:t>
      </w:r>
    </w:p>
    <w:p>
      <w:pPr>
        <w:keepNext w:val="0"/>
        <w:keepLines w:val="0"/>
        <w:pageBreakBefore w:val="0"/>
        <w:widowControl/>
        <w:kinsoku/>
        <w:overflowPunct/>
        <w:topLinePunct w:val="0"/>
        <w:autoSpaceDE/>
        <w:autoSpaceDN/>
        <w:bidi w:val="0"/>
        <w:adjustRightInd/>
        <w:snapToGrid/>
        <w:spacing w:line="576" w:lineRule="exact"/>
        <w:jc w:val="right"/>
        <w:textAlignment w:val="auto"/>
        <w:rPr>
          <w:rFonts w:ascii="Times New Roman" w:hAnsi="Times New Roman" w:eastAsia="仿宋_GB2312" w:cs="Times New Roman"/>
          <w:bCs/>
          <w:spacing w:val="20"/>
          <w:sz w:val="24"/>
        </w:rPr>
      </w:pPr>
      <w:r>
        <w:rPr>
          <w:rFonts w:ascii="Times New Roman" w:hAnsi="Times New Roman" w:eastAsia="仿宋_GB2312" w:cs="Times New Roman"/>
          <w:bCs/>
          <w:spacing w:val="20"/>
          <w:sz w:val="24"/>
        </w:rPr>
        <w:t>备案编号：</w:t>
      </w:r>
      <w:r>
        <w:rPr>
          <w:rFonts w:ascii="Times New Roman" w:hAnsi="Times New Roman" w:eastAsia="仿宋_GB2312" w:cs="Times New Roman"/>
          <w:color w:val="000000"/>
          <w:kern w:val="0"/>
          <w:sz w:val="24"/>
        </w:rPr>
        <w:t>（   ）网</w:t>
      </w:r>
      <w:r>
        <w:rPr>
          <w:rFonts w:hint="eastAsia" w:ascii="Times New Roman" w:hAnsi="Times New Roman" w:eastAsia="仿宋_GB2312" w:cs="Times New Roman"/>
          <w:color w:val="000000"/>
          <w:kern w:val="0"/>
          <w:sz w:val="24"/>
          <w:lang w:eastAsia="zh-CN"/>
        </w:rPr>
        <w:t>药</w:t>
      </w:r>
      <w:r>
        <w:rPr>
          <w:rFonts w:ascii="Times New Roman" w:hAnsi="Times New Roman" w:eastAsia="仿宋_GB2312" w:cs="Times New Roman"/>
          <w:color w:val="000000"/>
          <w:kern w:val="0"/>
          <w:sz w:val="24"/>
        </w:rPr>
        <w:t>平台备字〔     〕第       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宋体" w:cs="Times New Roman"/>
                <w:b/>
                <w:bCs/>
              </w:rPr>
            </w:pPr>
            <w:r>
              <w:rPr>
                <w:rFonts w:ascii="Times New Roman" w:hAnsi="Times New Roman" w:eastAsia="宋体" w:cs="Times New Roman"/>
                <w:b/>
                <w:bCs/>
              </w:rPr>
              <w:t>企业名称</w:t>
            </w:r>
          </w:p>
        </w:tc>
        <w:tc>
          <w:tcPr>
            <w:tcW w:w="6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宋体" w:cs="Times New Roman"/>
                <w:b/>
                <w:bCs/>
              </w:rPr>
            </w:pPr>
            <w:r>
              <w:rPr>
                <w:rFonts w:ascii="Times New Roman" w:hAnsi="Times New Roman" w:eastAsia="宋体" w:cs="Times New Roman"/>
                <w:b/>
                <w:bCs/>
              </w:rPr>
              <w:t>法定代表人</w:t>
            </w:r>
          </w:p>
        </w:tc>
        <w:tc>
          <w:tcPr>
            <w:tcW w:w="6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宋体" w:cs="Times New Roman"/>
                <w:b/>
                <w:bCs/>
              </w:rPr>
            </w:pPr>
            <w:r>
              <w:rPr>
                <w:rFonts w:ascii="Times New Roman" w:hAnsi="Times New Roman" w:eastAsia="宋体" w:cs="Times New Roman"/>
                <w:b/>
                <w:bCs/>
              </w:rPr>
              <w:t>网站名称</w:t>
            </w:r>
          </w:p>
        </w:tc>
        <w:tc>
          <w:tcPr>
            <w:tcW w:w="6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宋体" w:cs="Times New Roman"/>
                <w:b/>
                <w:bCs/>
              </w:rPr>
            </w:pPr>
            <w:r>
              <w:rPr>
                <w:rFonts w:ascii="Times New Roman" w:hAnsi="Times New Roman" w:eastAsia="宋体" w:cs="Times New Roman"/>
                <w:b/>
                <w:bCs/>
              </w:rPr>
              <w:t>网络客户端</w:t>
            </w:r>
          </w:p>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宋体" w:cs="Times New Roman"/>
                <w:b/>
                <w:bCs/>
              </w:rPr>
            </w:pPr>
            <w:r>
              <w:rPr>
                <w:rFonts w:ascii="Times New Roman" w:hAnsi="Times New Roman" w:eastAsia="宋体" w:cs="Times New Roman"/>
                <w:b/>
                <w:bCs/>
              </w:rPr>
              <w:t>应用程序名</w:t>
            </w:r>
          </w:p>
        </w:tc>
        <w:tc>
          <w:tcPr>
            <w:tcW w:w="6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宋体" w:cs="Times New Roman"/>
                <w:b/>
                <w:bCs/>
              </w:rPr>
            </w:pPr>
            <w:r>
              <w:rPr>
                <w:rFonts w:ascii="Times New Roman" w:hAnsi="Times New Roman" w:eastAsia="宋体" w:cs="Times New Roman"/>
                <w:b/>
                <w:bCs/>
              </w:rPr>
              <w:t>网站域名</w:t>
            </w:r>
          </w:p>
        </w:tc>
        <w:tc>
          <w:tcPr>
            <w:tcW w:w="6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宋体" w:cs="Times New Roman"/>
                <w:b/>
                <w:bCs/>
              </w:rPr>
            </w:pPr>
            <w:r>
              <w:rPr>
                <w:rFonts w:ascii="Times New Roman" w:hAnsi="Times New Roman" w:eastAsia="宋体" w:cs="Times New Roman"/>
                <w:b/>
                <w:bCs/>
              </w:rPr>
              <w:t>网站IP地址</w:t>
            </w:r>
          </w:p>
        </w:tc>
        <w:tc>
          <w:tcPr>
            <w:tcW w:w="6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电信业务经营许可证编号</w:t>
            </w:r>
          </w:p>
        </w:tc>
        <w:tc>
          <w:tcPr>
            <w:tcW w:w="6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宋体" w:cs="Times New Roman"/>
                <w:b/>
                <w:bCs/>
              </w:rPr>
            </w:pPr>
            <w:r>
              <w:rPr>
                <w:rFonts w:ascii="Times New Roman" w:hAnsi="Times New Roman" w:eastAsia="宋体" w:cs="Times New Roman"/>
                <w:b/>
                <w:bCs/>
              </w:rPr>
              <w:t>非经营性互联网信息服务备案编号</w:t>
            </w:r>
          </w:p>
        </w:tc>
        <w:tc>
          <w:tcPr>
            <w:tcW w:w="6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76" w:lineRule="exact"/>
              <w:jc w:val="center"/>
              <w:textAlignment w:val="auto"/>
              <w:rPr>
                <w:rFonts w:ascii="Times New Roman" w:hAnsi="Times New Roman" w:eastAsia="宋体" w:cs="Times New Roman"/>
                <w:b/>
                <w:bCs/>
              </w:rPr>
            </w:pPr>
          </w:p>
        </w:tc>
      </w:tr>
    </w:tbl>
    <w:p>
      <w:pPr>
        <w:keepNext w:val="0"/>
        <w:keepLines w:val="0"/>
        <w:pageBreakBefore w:val="0"/>
        <w:kinsoku/>
        <w:overflowPunct/>
        <w:topLinePunct w:val="0"/>
        <w:autoSpaceDE/>
        <w:autoSpaceDN/>
        <w:bidi w:val="0"/>
        <w:adjustRightInd/>
        <w:snapToGrid/>
        <w:spacing w:line="576" w:lineRule="exact"/>
        <w:jc w:val="left"/>
        <w:textAlignment w:val="auto"/>
        <w:rPr>
          <w:rFonts w:ascii="Times New Roman" w:hAnsi="Times New Roman" w:eastAsia="黑体" w:cs="Times New Roman"/>
          <w:bCs/>
          <w:sz w:val="24"/>
          <w:szCs w:val="28"/>
        </w:rPr>
      </w:pPr>
    </w:p>
    <w:p>
      <w:pPr>
        <w:keepNext w:val="0"/>
        <w:keepLines w:val="0"/>
        <w:pageBreakBefore w:val="0"/>
        <w:kinsoku/>
        <w:overflowPunct/>
        <w:topLinePunct w:val="0"/>
        <w:autoSpaceDE/>
        <w:autoSpaceDN/>
        <w:bidi w:val="0"/>
        <w:adjustRightInd/>
        <w:snapToGrid/>
        <w:spacing w:line="576" w:lineRule="exact"/>
        <w:jc w:val="left"/>
        <w:textAlignment w:val="auto"/>
        <w:rPr>
          <w:rFonts w:hint="eastAsia" w:ascii="Times New Roman" w:hAnsi="Times New Roman" w:eastAsia="黑体" w:cs="Times New Roman"/>
          <w:color w:val="000000"/>
          <w:kern w:val="0"/>
          <w:sz w:val="22"/>
          <w:szCs w:val="22"/>
          <w:lang w:val="en-US" w:eastAsia="zh-CN"/>
        </w:rPr>
      </w:pPr>
      <w:r>
        <w:rPr>
          <w:rFonts w:hint="eastAsia" w:ascii="Times New Roman" w:hAnsi="Times New Roman" w:eastAsia="黑体" w:cs="Times New Roman"/>
          <w:color w:val="000000"/>
          <w:kern w:val="0"/>
          <w:sz w:val="22"/>
          <w:szCs w:val="22"/>
          <w:lang w:val="en-US" w:eastAsia="zh-CN"/>
        </w:rPr>
        <w:t>填表说明：</w:t>
      </w:r>
    </w:p>
    <w:p>
      <w:pPr>
        <w:keepNext w:val="0"/>
        <w:keepLines w:val="0"/>
        <w:pageBreakBefore w:val="0"/>
        <w:widowControl w:val="0"/>
        <w:kinsoku/>
        <w:wordWrap/>
        <w:overflowPunct/>
        <w:topLinePunct w:val="0"/>
        <w:autoSpaceDE/>
        <w:autoSpaceDN/>
        <w:bidi w:val="0"/>
        <w:adjustRightInd/>
        <w:snapToGrid/>
        <w:spacing w:line="576" w:lineRule="exact"/>
        <w:ind w:firstLine="440" w:firstLineChars="200"/>
        <w:jc w:val="left"/>
        <w:textAlignment w:val="auto"/>
        <w:rPr>
          <w:rFonts w:hint="eastAsia" w:ascii="Times New Roman" w:hAnsi="Times New Roman" w:eastAsia="仿宋_GB2312" w:cs="Times New Roman"/>
          <w:color w:val="000000"/>
          <w:kern w:val="0"/>
          <w:sz w:val="22"/>
          <w:szCs w:val="22"/>
          <w:lang w:val="en-US" w:eastAsia="zh-CN"/>
        </w:rPr>
      </w:pPr>
      <w:r>
        <w:rPr>
          <w:rFonts w:hint="eastAsia" w:ascii="Times New Roman" w:hAnsi="Times New Roman" w:eastAsia="仿宋_GB2312" w:cs="Times New Roman"/>
          <w:color w:val="000000"/>
          <w:kern w:val="0"/>
          <w:sz w:val="22"/>
          <w:szCs w:val="22"/>
          <w:lang w:val="en-US" w:eastAsia="zh-CN"/>
        </w:rPr>
        <w:t>一、</w:t>
      </w:r>
      <w:r>
        <w:rPr>
          <w:rFonts w:hint="eastAsia" w:ascii="Times New Roman" w:hAnsi="Times New Roman" w:eastAsia="仿宋_GB2312" w:cs="Times New Roman"/>
          <w:color w:val="000000"/>
          <w:kern w:val="0"/>
          <w:sz w:val="22"/>
          <w:szCs w:val="22"/>
          <w:lang w:eastAsia="zh-CN"/>
        </w:rPr>
        <w:t>药品网络交易第三方平台备案编号中，（</w:t>
      </w:r>
      <w:r>
        <w:rPr>
          <w:rFonts w:hint="eastAsia" w:ascii="Times New Roman" w:hAnsi="Times New Roman" w:eastAsia="仿宋_GB2312" w:cs="Times New Roman"/>
          <w:color w:val="000000"/>
          <w:kern w:val="0"/>
          <w:sz w:val="22"/>
          <w:szCs w:val="22"/>
          <w:lang w:val="en-US" w:eastAsia="zh-CN"/>
        </w:rPr>
        <w:t xml:space="preserve">   </w:t>
      </w:r>
      <w:r>
        <w:rPr>
          <w:rFonts w:hint="eastAsia" w:ascii="Times New Roman" w:hAnsi="Times New Roman" w:eastAsia="仿宋_GB2312" w:cs="Times New Roman"/>
          <w:color w:val="000000"/>
          <w:kern w:val="0"/>
          <w:sz w:val="22"/>
          <w:szCs w:val="22"/>
          <w:lang w:eastAsia="zh-CN"/>
        </w:rPr>
        <w:t>）内填写省份简称，〔</w:t>
      </w:r>
      <w:r>
        <w:rPr>
          <w:rFonts w:hint="eastAsia" w:ascii="Times New Roman" w:hAnsi="Times New Roman" w:eastAsia="仿宋_GB2312" w:cs="Times New Roman"/>
          <w:color w:val="000000"/>
          <w:kern w:val="0"/>
          <w:sz w:val="22"/>
          <w:szCs w:val="22"/>
          <w:lang w:val="en-US" w:eastAsia="zh-CN"/>
        </w:rPr>
        <w:t xml:space="preserve">    </w:t>
      </w:r>
      <w:r>
        <w:rPr>
          <w:rFonts w:hint="eastAsia" w:ascii="Times New Roman" w:hAnsi="Times New Roman" w:eastAsia="仿宋_GB2312" w:cs="Times New Roman"/>
          <w:color w:val="000000"/>
          <w:kern w:val="0"/>
          <w:sz w:val="22"/>
          <w:szCs w:val="22"/>
          <w:lang w:eastAsia="zh-CN"/>
        </w:rPr>
        <w:t>〕内填写年份，“第       号”填写</w:t>
      </w:r>
      <w:r>
        <w:rPr>
          <w:rFonts w:hint="eastAsia" w:ascii="Times New Roman" w:hAnsi="Times New Roman" w:eastAsia="仿宋_GB2312" w:cs="Times New Roman"/>
          <w:color w:val="000000"/>
          <w:kern w:val="0"/>
          <w:sz w:val="22"/>
          <w:szCs w:val="22"/>
          <w:lang w:val="en-US" w:eastAsia="zh-CN"/>
        </w:rPr>
        <w:t>6位数流水号和3位数变更号。</w:t>
      </w:r>
    </w:p>
    <w:p>
      <w:pPr>
        <w:keepNext w:val="0"/>
        <w:keepLines w:val="0"/>
        <w:pageBreakBefore w:val="0"/>
        <w:widowControl w:val="0"/>
        <w:kinsoku/>
        <w:wordWrap/>
        <w:overflowPunct/>
        <w:topLinePunct w:val="0"/>
        <w:autoSpaceDE/>
        <w:autoSpaceDN/>
        <w:bidi w:val="0"/>
        <w:adjustRightInd/>
        <w:snapToGrid/>
        <w:spacing w:line="576" w:lineRule="exact"/>
        <w:ind w:firstLine="440" w:firstLineChars="200"/>
        <w:jc w:val="left"/>
        <w:textAlignment w:val="auto"/>
        <w:rPr>
          <w:rFonts w:hint="eastAsia" w:ascii="Times New Roman" w:hAnsi="Times New Roman" w:eastAsia="仿宋_GB2312" w:cs="Times New Roman"/>
          <w:color w:val="000000"/>
          <w:kern w:val="0"/>
          <w:sz w:val="22"/>
          <w:szCs w:val="22"/>
          <w:lang w:val="en-US" w:eastAsia="zh-CN"/>
        </w:rPr>
      </w:pPr>
      <w:r>
        <w:rPr>
          <w:rFonts w:hint="eastAsia" w:ascii="Times New Roman" w:hAnsi="Times New Roman" w:eastAsia="仿宋_GB2312" w:cs="Times New Roman"/>
          <w:color w:val="000000"/>
          <w:kern w:val="0"/>
          <w:sz w:val="22"/>
          <w:szCs w:val="22"/>
          <w:lang w:val="en-US" w:eastAsia="zh-CN"/>
        </w:rPr>
        <w:t>二、办理备案，如：（京）网药平台备字〔2022〕第000001-000号、（沪）网药平台备字〔2022〕第000023-000号。</w:t>
      </w:r>
    </w:p>
    <w:p>
      <w:pPr>
        <w:keepNext w:val="0"/>
        <w:keepLines w:val="0"/>
        <w:pageBreakBefore w:val="0"/>
        <w:widowControl w:val="0"/>
        <w:kinsoku/>
        <w:wordWrap/>
        <w:overflowPunct/>
        <w:topLinePunct w:val="0"/>
        <w:autoSpaceDE/>
        <w:autoSpaceDN/>
        <w:bidi w:val="0"/>
        <w:adjustRightInd/>
        <w:snapToGrid/>
        <w:spacing w:line="576" w:lineRule="exact"/>
        <w:ind w:firstLine="440" w:firstLineChars="200"/>
        <w:jc w:val="left"/>
        <w:textAlignment w:val="auto"/>
        <w:rPr>
          <w:rFonts w:hint="eastAsia" w:ascii="Times New Roman" w:hAnsi="Times New Roman" w:eastAsia="仿宋_GB2312" w:cs="Times New Roman"/>
          <w:color w:val="000000"/>
          <w:kern w:val="0"/>
          <w:sz w:val="22"/>
          <w:szCs w:val="22"/>
          <w:lang w:val="en-US" w:eastAsia="zh-CN"/>
        </w:rPr>
      </w:pPr>
      <w:r>
        <w:rPr>
          <w:rFonts w:hint="eastAsia" w:ascii="Times New Roman" w:hAnsi="Times New Roman" w:eastAsia="仿宋_GB2312" w:cs="Times New Roman"/>
          <w:color w:val="000000"/>
          <w:kern w:val="0"/>
          <w:sz w:val="22"/>
          <w:szCs w:val="22"/>
          <w:lang w:val="en-US" w:eastAsia="zh-CN"/>
        </w:rPr>
        <w:t>三、</w:t>
      </w:r>
      <w:r>
        <w:rPr>
          <w:rFonts w:hint="eastAsia" w:ascii="Times New Roman" w:hAnsi="Times New Roman" w:eastAsia="仿宋_GB2312" w:cs="Times New Roman"/>
          <w:color w:val="000000"/>
          <w:kern w:val="0"/>
          <w:sz w:val="22"/>
          <w:szCs w:val="22"/>
        </w:rPr>
        <w:t>变更备案，按照平台变更次数进行编号，如是第一次变更的：（京）网药平台备字〔2022〕第000001-001号，如是第二十次变更的：（沪）网药平台备字〔2022〕第000023-020号。</w:t>
      </w:r>
    </w:p>
    <w:p>
      <w:pPr>
        <w:keepNext w:val="0"/>
        <w:keepLines w:val="0"/>
        <w:pageBreakBefore w:val="0"/>
        <w:widowControl w:val="0"/>
        <w:kinsoku/>
        <w:wordWrap/>
        <w:overflowPunct/>
        <w:topLinePunct w:val="0"/>
        <w:autoSpaceDE/>
        <w:autoSpaceDN/>
        <w:bidi w:val="0"/>
        <w:adjustRightInd/>
        <w:snapToGrid/>
        <w:spacing w:line="576" w:lineRule="exact"/>
        <w:ind w:firstLine="440" w:firstLineChars="200"/>
        <w:jc w:val="left"/>
        <w:textAlignment w:val="auto"/>
        <w:rPr>
          <w:rFonts w:hint="eastAsia" w:ascii="Times New Roman" w:hAnsi="Times New Roman" w:eastAsia="仿宋_GB2312" w:cs="Times New Roman"/>
          <w:color w:val="000000"/>
          <w:kern w:val="0"/>
          <w:sz w:val="22"/>
          <w:szCs w:val="22"/>
          <w:lang w:val="en-US" w:eastAsia="zh-CN"/>
        </w:rPr>
      </w:pPr>
      <w:r>
        <w:rPr>
          <w:rFonts w:hint="eastAsia" w:ascii="Times New Roman" w:hAnsi="Times New Roman" w:eastAsia="仿宋_GB2312" w:cs="Times New Roman"/>
          <w:color w:val="000000"/>
          <w:kern w:val="0"/>
          <w:sz w:val="22"/>
          <w:szCs w:val="22"/>
          <w:lang w:val="en-US" w:eastAsia="zh-CN"/>
        </w:rPr>
        <w:t>四、备案信息中包含多个网站名称、多个网络客户端应用程序名、多个网站域名的可并列填写，使用 / 进行分隔。</w:t>
      </w:r>
    </w:p>
    <w:p>
      <w:pPr>
        <w:keepNext w:val="0"/>
        <w:keepLines w:val="0"/>
        <w:pageBreakBefore w:val="0"/>
        <w:kinsoku/>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color w:val="000000"/>
          <w:kern w:val="0"/>
          <w:sz w:val="22"/>
          <w:szCs w:val="22"/>
          <w:lang w:val="en-US" w:eastAsia="zh-CN"/>
        </w:rPr>
      </w:pPr>
    </w:p>
    <w:p>
      <w:pPr>
        <w:keepNext w:val="0"/>
        <w:keepLines w:val="0"/>
        <w:pageBreakBefore w:val="0"/>
        <w:kinsoku/>
        <w:wordWrap w:val="0"/>
        <w:overflowPunct/>
        <w:topLinePunct w:val="0"/>
        <w:autoSpaceDE/>
        <w:autoSpaceDN/>
        <w:bidi w:val="0"/>
        <w:adjustRightInd/>
        <w:snapToGrid/>
        <w:spacing w:line="576" w:lineRule="exact"/>
        <w:ind w:left="4393" w:leftChars="2092" w:right="17" w:rightChars="8" w:firstLine="0" w:firstLineChars="0"/>
        <w:jc w:val="center"/>
        <w:textAlignment w:val="auto"/>
        <w:rPr>
          <w:rFonts w:ascii="Times New Roman" w:hAnsi="Times New Roman" w:eastAsia="仿宋_GB2312" w:cs="Times New Roman"/>
          <w:bCs/>
          <w:sz w:val="22"/>
          <w:szCs w:val="22"/>
        </w:rPr>
      </w:pPr>
      <w:r>
        <w:rPr>
          <w:rFonts w:ascii="Times New Roman" w:hAnsi="Times New Roman" w:eastAsia="仿宋_GB2312" w:cs="Times New Roman"/>
          <w:bCs/>
          <w:sz w:val="22"/>
          <w:szCs w:val="22"/>
        </w:rPr>
        <w:t>备案部门（公章）</w:t>
      </w:r>
    </w:p>
    <w:p>
      <w:pPr>
        <w:keepNext w:val="0"/>
        <w:keepLines w:val="0"/>
        <w:pageBreakBefore w:val="0"/>
        <w:kinsoku/>
        <w:wordWrap w:val="0"/>
        <w:overflowPunct/>
        <w:topLinePunct w:val="0"/>
        <w:autoSpaceDE/>
        <w:autoSpaceDN/>
        <w:bidi w:val="0"/>
        <w:adjustRightInd/>
        <w:snapToGrid/>
        <w:spacing w:line="576" w:lineRule="exact"/>
        <w:ind w:left="4393" w:leftChars="2092" w:right="17" w:rightChars="8" w:firstLine="0" w:firstLineChars="0"/>
        <w:jc w:val="center"/>
        <w:textAlignment w:val="auto"/>
        <w:rPr>
          <w:rFonts w:ascii="Times New Roman" w:hAnsi="Times New Roman" w:eastAsia="仿宋_GB2312" w:cs="Times New Roman"/>
          <w:bCs/>
          <w:sz w:val="22"/>
          <w:szCs w:val="22"/>
        </w:rPr>
      </w:pPr>
    </w:p>
    <w:p>
      <w:pPr>
        <w:keepNext w:val="0"/>
        <w:keepLines w:val="0"/>
        <w:pageBreakBefore w:val="0"/>
        <w:kinsoku/>
        <w:overflowPunct/>
        <w:topLinePunct w:val="0"/>
        <w:autoSpaceDE/>
        <w:autoSpaceDN/>
        <w:bidi w:val="0"/>
        <w:adjustRightInd/>
        <w:snapToGrid/>
        <w:spacing w:line="576" w:lineRule="exact"/>
        <w:ind w:left="4393" w:leftChars="2092" w:right="17" w:rightChars="8" w:firstLine="0" w:firstLineChars="0"/>
        <w:jc w:val="center"/>
        <w:textAlignment w:val="auto"/>
        <w:rPr>
          <w:rFonts w:ascii="Times New Roman" w:hAnsi="Times New Roman" w:eastAsia="仿宋_GB2312" w:cs="Times New Roman"/>
          <w:sz w:val="22"/>
          <w:szCs w:val="22"/>
        </w:rPr>
      </w:pPr>
      <w:r>
        <w:rPr>
          <w:rFonts w:ascii="Times New Roman" w:hAnsi="Times New Roman" w:eastAsia="仿宋_GB2312" w:cs="Times New Roman"/>
          <w:bCs/>
          <w:sz w:val="22"/>
          <w:szCs w:val="22"/>
        </w:rPr>
        <w:t xml:space="preserve">备案日期： </w:t>
      </w:r>
      <w:r>
        <w:rPr>
          <w:rFonts w:hint="eastAsia" w:ascii="Times New Roman" w:hAnsi="Times New Roman" w:eastAsia="仿宋_GB2312" w:cs="Times New Roman"/>
          <w:bCs/>
          <w:sz w:val="22"/>
          <w:szCs w:val="22"/>
          <w:lang w:val="en-US" w:eastAsia="zh-CN"/>
        </w:rPr>
        <w:t xml:space="preserve">   </w:t>
      </w:r>
      <w:r>
        <w:rPr>
          <w:rFonts w:ascii="Times New Roman" w:hAnsi="Times New Roman" w:eastAsia="仿宋_GB2312" w:cs="Times New Roman"/>
          <w:bCs/>
          <w:sz w:val="22"/>
          <w:szCs w:val="22"/>
        </w:rPr>
        <w:t xml:space="preserve">年 </w:t>
      </w:r>
      <w:r>
        <w:rPr>
          <w:rFonts w:hint="eastAsia" w:ascii="Times New Roman" w:hAnsi="Times New Roman" w:eastAsia="仿宋_GB2312" w:cs="Times New Roman"/>
          <w:bCs/>
          <w:sz w:val="22"/>
          <w:szCs w:val="22"/>
          <w:lang w:val="en-US" w:eastAsia="zh-CN"/>
        </w:rPr>
        <w:t xml:space="preserve">  </w:t>
      </w:r>
      <w:r>
        <w:rPr>
          <w:rFonts w:ascii="Times New Roman" w:hAnsi="Times New Roman" w:eastAsia="仿宋_GB2312" w:cs="Times New Roman"/>
          <w:bCs/>
          <w:sz w:val="22"/>
          <w:szCs w:val="22"/>
        </w:rPr>
        <w:t xml:space="preserve"> 月  </w:t>
      </w:r>
      <w:r>
        <w:rPr>
          <w:rFonts w:hint="eastAsia" w:ascii="Times New Roman" w:hAnsi="Times New Roman" w:eastAsia="仿宋_GB2312" w:cs="Times New Roman"/>
          <w:bCs/>
          <w:sz w:val="22"/>
          <w:szCs w:val="22"/>
          <w:lang w:val="en-US" w:eastAsia="zh-CN"/>
        </w:rPr>
        <w:t xml:space="preserve">  </w:t>
      </w:r>
      <w:r>
        <w:rPr>
          <w:rFonts w:ascii="Times New Roman" w:hAnsi="Times New Roman" w:eastAsia="仿宋_GB2312" w:cs="Times New Roman"/>
          <w:bCs/>
          <w:sz w:val="22"/>
          <w:szCs w:val="22"/>
        </w:rPr>
        <w:t>日</w:t>
      </w: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4337050</wp:posOffset>
                </wp:positionH>
                <wp:positionV relativeFrom="paragraph">
                  <wp:posOffset>238760</wp:posOffset>
                </wp:positionV>
                <wp:extent cx="1504950" cy="523875"/>
                <wp:effectExtent l="4445" t="4445" r="14605" b="5080"/>
                <wp:wrapNone/>
                <wp:docPr id="2" name="文本框 40"/>
                <wp:cNvGraphicFramePr/>
                <a:graphic xmlns:a="http://schemas.openxmlformats.org/drawingml/2006/main">
                  <a:graphicData uri="http://schemas.microsoft.com/office/word/2010/wordprocessingShape">
                    <wps:wsp>
                      <wps:cNvSpPr txBox="true"/>
                      <wps:spPr>
                        <a:xfrm>
                          <a:off x="0" y="0"/>
                          <a:ext cx="1504950" cy="5238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vert="horz" wrap="square" anchor="t" anchorCtr="false" upright="true"/>
                    </wps:wsp>
                  </a:graphicData>
                </a:graphic>
              </wp:anchor>
            </w:drawing>
          </mc:Choice>
          <mc:Fallback>
            <w:pict>
              <v:shape id="文本框 40" o:spid="_x0000_s1026" o:spt="202" type="#_x0000_t202" style="position:absolute;left:0pt;margin-left:341.5pt;margin-top:18.8pt;height:41.25pt;width:118.5pt;z-index:251660288;mso-width-relative:page;mso-height-relative:page;" fillcolor="#FFFFFF" filled="t" stroked="t" coordsize="21600,21600" o:gfxdata="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JNW&#10;nbjYAAAACgEAAA8AAAAAAAAAAQAgAAAAOAAAAGRycy9kb3ducmV2LnhtbFBLAQIUABQAAAAIAIdO&#10;4kBxKrHHDQIAACYEAAAOAAAAAAAAAAEAIAAAAD0BAABkcnMvZTJvRG9jLnhtbFBLBQYAAAAABgAG&#10;AFkBAAC8BQAAAAA=&#10;">
                <v:fill on="t" focussize="0,0"/>
                <v:stroke color="#FFFFFF" joinstyle="miter"/>
                <v:imagedata o:title=""/>
                <o:lock v:ext="edit" aspectratio="f"/>
                <v:textbox>
                  <w:txbxContent>
                    <w:p/>
                  </w:txbxContent>
                </v:textbox>
              </v:shape>
            </w:pict>
          </mc:Fallback>
        </mc:AlternateContent>
      </w: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4337050</wp:posOffset>
                </wp:positionH>
                <wp:positionV relativeFrom="paragraph">
                  <wp:posOffset>238760</wp:posOffset>
                </wp:positionV>
                <wp:extent cx="1504950" cy="523875"/>
                <wp:effectExtent l="4445" t="4445" r="14605" b="5080"/>
                <wp:wrapNone/>
                <wp:docPr id="5" name="文本框 40"/>
                <wp:cNvGraphicFramePr/>
                <a:graphic xmlns:a="http://schemas.openxmlformats.org/drawingml/2006/main">
                  <a:graphicData uri="http://schemas.microsoft.com/office/word/2010/wordprocessingShape">
                    <wps:wsp>
                      <wps:cNvSpPr txBox="true"/>
                      <wps:spPr>
                        <a:xfrm>
                          <a:off x="0" y="0"/>
                          <a:ext cx="1504950" cy="5238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vert="horz" wrap="square" anchor="t" anchorCtr="false" upright="true"/>
                    </wps:wsp>
                  </a:graphicData>
                </a:graphic>
              </wp:anchor>
            </w:drawing>
          </mc:Choice>
          <mc:Fallback>
            <w:pict>
              <v:shape id="文本框 40" o:spid="_x0000_s1026" o:spt="202" type="#_x0000_t202" style="position:absolute;left:0pt;margin-left:341.5pt;margin-top:18.8pt;height:41.25pt;width:118.5pt;z-index:251659264;mso-width-relative:page;mso-height-relative:page;" fillcolor="#FFFFFF" filled="t" stroked="t" coordsize="21600,21600" o:gfxdata="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JNW&#10;nbjYAAAACgEAAA8AAAAAAAAAAQAgAAAAOAAAAGRycy9kb3ducmV2LnhtbFBLAQIUABQAAAAIAIdO&#10;4kANfbquDQIAACYEAAAOAAAAAAAAAAEAIAAAAD0BAABkcnMvZTJvRG9jLnhtbFBLBQYAAAAABgAG&#10;AFkBAAC8BQAAAAA=&#10;">
                <v:fill on="t" focussize="0,0"/>
                <v:stroke color="#FFFFFF" joinstyle="miter"/>
                <v:imagedata o:title=""/>
                <o:lock v:ext="edit" aspectratio="f"/>
                <v:textbox>
                  <w:txbxContent>
                    <w:p/>
                  </w:txbxContent>
                </v:textbox>
              </v:shape>
            </w:pict>
          </mc:Fallback>
        </mc:AlternateContent>
      </w: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附件5</w:t>
      </w:r>
    </w:p>
    <w:p>
      <w:pPr>
        <w:keepNext w:val="0"/>
        <w:keepLines w:val="0"/>
        <w:pageBreakBefore w:val="0"/>
        <w:tabs>
          <w:tab w:val="left" w:pos="7380"/>
          <w:tab w:val="left" w:pos="7560"/>
        </w:tabs>
        <w:kinsoku/>
        <w:overflowPunct/>
        <w:topLinePunct w:val="0"/>
        <w:autoSpaceDE/>
        <w:autoSpaceDN/>
        <w:bidi w:val="0"/>
        <w:adjustRightInd/>
        <w:snapToGrid/>
        <w:spacing w:line="576" w:lineRule="exact"/>
        <w:jc w:val="center"/>
        <w:textAlignment w:val="auto"/>
        <w:rPr>
          <w:rFonts w:hint="default" w:ascii="Nimbus Roman No9 L" w:hAnsi="Nimbus Roman No9 L" w:eastAsia="方正小标宋简体" w:cs="Nimbus Roman No9 L"/>
          <w:sz w:val="44"/>
          <w:szCs w:val="44"/>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药品网络交易第三方平台备案表（变更）</w:t>
      </w:r>
    </w:p>
    <w:tbl>
      <w:tblPr>
        <w:tblStyle w:val="7"/>
        <w:tblW w:w="913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71"/>
        <w:gridCol w:w="1821"/>
        <w:gridCol w:w="66"/>
        <w:gridCol w:w="1552"/>
        <w:gridCol w:w="1411"/>
        <w:gridCol w:w="25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3677"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备案号（首次或最近一次备案后取得的备案号）*</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联系人</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（变更前）*</w:t>
            </w: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姓  名</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电  话</w:t>
            </w:r>
          </w:p>
        </w:tc>
        <w:tc>
          <w:tcPr>
            <w:tcW w:w="25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身份证件类型</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lang w:val="en"/>
              </w:rPr>
            </w:pPr>
            <w:r>
              <w:rPr>
                <w:rFonts w:hint="default" w:ascii="Nimbus Roman No9 L" w:hAnsi="Nimbus Roman No9 L" w:cs="Nimbus Roman No9 L"/>
                <w:kern w:val="0"/>
                <w:sz w:val="22"/>
              </w:rPr>
              <w:t>证件号码</w:t>
            </w:r>
          </w:p>
        </w:tc>
        <w:tc>
          <w:tcPr>
            <w:tcW w:w="25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传  真</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电子邮箱</w:t>
            </w:r>
          </w:p>
        </w:tc>
        <w:tc>
          <w:tcPr>
            <w:tcW w:w="25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联系人</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（变更后）*</w:t>
            </w: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姓  名</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电  话</w:t>
            </w:r>
          </w:p>
        </w:tc>
        <w:tc>
          <w:tcPr>
            <w:tcW w:w="25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身份证件类型</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lang w:val="en"/>
              </w:rPr>
            </w:pPr>
            <w:r>
              <w:rPr>
                <w:rFonts w:hint="default" w:ascii="Nimbus Roman No9 L" w:hAnsi="Nimbus Roman No9 L" w:cs="Nimbus Roman No9 L"/>
                <w:kern w:val="0"/>
                <w:sz w:val="22"/>
              </w:rPr>
              <w:t>证件号码</w:t>
            </w:r>
          </w:p>
        </w:tc>
        <w:tc>
          <w:tcPr>
            <w:tcW w:w="25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传  真</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电子邮箱</w:t>
            </w:r>
          </w:p>
        </w:tc>
        <w:tc>
          <w:tcPr>
            <w:tcW w:w="25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0" w:hRule="atLeast"/>
          <w:jc w:val="center"/>
        </w:trPr>
        <w:tc>
          <w:tcPr>
            <w:tcW w:w="1781"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备案主体</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信  息</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（变更前）</w:t>
            </w:r>
          </w:p>
        </w:tc>
        <w:tc>
          <w:tcPr>
            <w:tcW w:w="1896" w:type="dxa"/>
            <w:gridSpan w:val="2"/>
            <w:tcBorders>
              <w:top w:val="single" w:color="000000" w:sz="8" w:space="0"/>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企业名称*</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住  所*</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办公场所*</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社会信用代码*</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1"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3456"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互联网药品信息服务</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资格证书编号*</w:t>
            </w:r>
          </w:p>
        </w:tc>
        <w:tc>
          <w:tcPr>
            <w:tcW w:w="390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7357"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法定代表人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r>
              <w:rPr>
                <w:rFonts w:hint="default" w:ascii="Nimbus Roman No9 L" w:hAnsi="Nimbus Roman No9 L" w:cs="Nimbus Roman No9 L"/>
                <w:kern w:val="0"/>
                <w:sz w:val="22"/>
              </w:rPr>
              <w:t>姓  名*</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联系电话*</w:t>
            </w:r>
          </w:p>
        </w:tc>
        <w:tc>
          <w:tcPr>
            <w:tcW w:w="24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身份证件类型*</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证件号码*</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7357"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主要负责人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r>
              <w:rPr>
                <w:rFonts w:hint="default" w:ascii="Nimbus Roman No9 L" w:hAnsi="Nimbus Roman No9 L" w:cs="Nimbus Roman No9 L"/>
                <w:kern w:val="0"/>
                <w:sz w:val="22"/>
              </w:rPr>
              <w:t>姓  名*</w:t>
            </w:r>
          </w:p>
        </w:tc>
        <w:tc>
          <w:tcPr>
            <w:tcW w:w="162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r>
              <w:rPr>
                <w:rFonts w:hint="default" w:ascii="Nimbus Roman No9 L" w:hAnsi="Nimbus Roman No9 L" w:cs="Nimbus Roman No9 L"/>
                <w:kern w:val="0"/>
                <w:sz w:val="22"/>
              </w:rPr>
              <w:t>联系电话*</w:t>
            </w:r>
          </w:p>
        </w:tc>
        <w:tc>
          <w:tcPr>
            <w:tcW w:w="25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身份证件类型*</w:t>
            </w:r>
          </w:p>
        </w:tc>
        <w:tc>
          <w:tcPr>
            <w:tcW w:w="5527"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证件号码*</w:t>
            </w:r>
          </w:p>
        </w:tc>
        <w:tc>
          <w:tcPr>
            <w:tcW w:w="5527"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7357"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药品质量安全管理机构负责人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姓名*</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联系电话*</w:t>
            </w:r>
          </w:p>
        </w:tc>
        <w:tc>
          <w:tcPr>
            <w:tcW w:w="24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身份证件类型*</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证件号码*</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备案主体</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信  息</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（变更后）</w:t>
            </w: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企业名称*</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住  所*</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办公场所*</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社会信用代码*</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3456"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互联网药品信息服务</w:t>
            </w:r>
          </w:p>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资格证书编号*</w:t>
            </w:r>
          </w:p>
        </w:tc>
        <w:tc>
          <w:tcPr>
            <w:tcW w:w="390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7357"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法定代表人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r>
              <w:rPr>
                <w:rFonts w:hint="default" w:ascii="Nimbus Roman No9 L" w:hAnsi="Nimbus Roman No9 L" w:cs="Nimbus Roman No9 L"/>
                <w:kern w:val="0"/>
                <w:sz w:val="22"/>
              </w:rPr>
              <w:t>姓  名*</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szCs w:val="24"/>
              </w:rPr>
            </w:pP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联系电话*</w:t>
            </w:r>
          </w:p>
        </w:tc>
        <w:tc>
          <w:tcPr>
            <w:tcW w:w="24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身份证件类型*</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证件号码*</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7357"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主要负责人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r>
              <w:rPr>
                <w:rFonts w:hint="default" w:ascii="Nimbus Roman No9 L" w:hAnsi="Nimbus Roman No9 L" w:cs="Nimbus Roman No9 L"/>
                <w:kern w:val="0"/>
                <w:sz w:val="22"/>
              </w:rPr>
              <w:t>姓  名*</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r>
              <w:rPr>
                <w:rFonts w:hint="default" w:ascii="Nimbus Roman No9 L" w:hAnsi="Nimbus Roman No9 L" w:cs="Nimbus Roman No9 L"/>
                <w:kern w:val="0"/>
                <w:sz w:val="22"/>
              </w:rPr>
              <w:t>联系电话*</w:t>
            </w:r>
          </w:p>
        </w:tc>
        <w:tc>
          <w:tcPr>
            <w:tcW w:w="24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身份证件类型*</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证件号码*</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7357"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药品质量安全管理机构负责人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姓名*</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联系电话*</w:t>
            </w:r>
          </w:p>
        </w:tc>
        <w:tc>
          <w:tcPr>
            <w:tcW w:w="24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身份证件类型*</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证件号码*</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网站信息</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（变更前）</w:t>
            </w: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网站名称*</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网络客户端</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应用程序名</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网站域名*</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（网站主页面域名）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网站IP地址*</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（网站主页面IP地址）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服务器存放地址*</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非经营性互联网信息服务备案编号*</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电信业务经营许可证编号</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restart"/>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网站信息</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（变更后）</w:t>
            </w: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网站名称*</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网络客户端</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应用程序名</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网站域名*</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网站IP地址*</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服务器存放地址*</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非经营性互联网信息服务备案编号*</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jc w:val="center"/>
        </w:trPr>
        <w:tc>
          <w:tcPr>
            <w:tcW w:w="1781"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189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r>
              <w:rPr>
                <w:rFonts w:hint="default" w:ascii="Nimbus Roman No9 L" w:hAnsi="Nimbus Roman No9 L" w:cs="Nimbus Roman No9 L"/>
                <w:kern w:val="0"/>
                <w:sz w:val="22"/>
              </w:rPr>
              <w:t>电信业务经营许可证编号</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04" w:hRule="exact"/>
          <w:jc w:val="center"/>
        </w:trPr>
        <w:tc>
          <w:tcPr>
            <w:tcW w:w="9138" w:type="dxa"/>
            <w:gridSpan w:val="6"/>
            <w:tcBorders>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4"/>
              </w:rPr>
            </w:pPr>
          </w:p>
          <w:p>
            <w:pPr>
              <w:keepNext w:val="0"/>
              <w:keepLines w:val="0"/>
              <w:pageBreakBefore w:val="0"/>
              <w:widowControl/>
              <w:kinsoku/>
              <w:wordWrap/>
              <w:overflowPunct/>
              <w:topLinePunct w:val="0"/>
              <w:autoSpaceDE/>
              <w:autoSpaceDN/>
              <w:bidi w:val="0"/>
              <w:adjustRightInd/>
              <w:snapToGrid/>
              <w:spacing w:line="576" w:lineRule="exact"/>
              <w:ind w:firstLine="480" w:firstLineChars="200"/>
              <w:jc w:val="left"/>
              <w:textAlignment w:val="auto"/>
              <w:rPr>
                <w:rFonts w:hint="default" w:ascii="Nimbus Roman No9 L" w:hAnsi="Nimbus Roman No9 L" w:cs="Nimbus Roman No9 L"/>
                <w:kern w:val="0"/>
                <w:sz w:val="24"/>
              </w:rPr>
            </w:pPr>
            <w:r>
              <w:rPr>
                <w:rFonts w:hint="default" w:ascii="Nimbus Roman No9 L" w:hAnsi="Nimbus Roman No9 L" w:cs="Nimbus Roman No9 L"/>
                <w:kern w:val="0"/>
                <w:sz w:val="24"/>
              </w:rPr>
              <w:t>本单位承诺备案填报信息和提交的材料全部真实、合法、有效，并承担一切法律责任。同时，保证按照法律法规的要求提供药品网络交易第三方平台服务。</w:t>
            </w:r>
          </w:p>
          <w:p>
            <w:pPr>
              <w:keepNext w:val="0"/>
              <w:keepLines w:val="0"/>
              <w:pageBreakBefore w:val="0"/>
              <w:widowControl/>
              <w:kinsoku/>
              <w:wordWrap/>
              <w:overflowPunct/>
              <w:topLinePunct w:val="0"/>
              <w:autoSpaceDE/>
              <w:autoSpaceDN/>
              <w:bidi w:val="0"/>
              <w:adjustRightInd/>
              <w:snapToGrid/>
              <w:spacing w:line="576" w:lineRule="exact"/>
              <w:ind w:firstLine="440" w:firstLineChars="200"/>
              <w:jc w:val="left"/>
              <w:textAlignment w:val="auto"/>
              <w:rPr>
                <w:rFonts w:hint="default" w:ascii="Nimbus Roman No9 L" w:hAnsi="Nimbus Roman No9 L" w:cs="Nimbus Roman No9 L"/>
                <w:kern w:val="0"/>
                <w:sz w:val="22"/>
              </w:rPr>
            </w:pPr>
          </w:p>
          <w:p>
            <w:pPr>
              <w:keepNext w:val="0"/>
              <w:keepLines w:val="0"/>
              <w:pageBreakBefore w:val="0"/>
              <w:widowControl/>
              <w:kinsoku/>
              <w:wordWrap/>
              <w:overflowPunct/>
              <w:topLinePunct w:val="0"/>
              <w:autoSpaceDE/>
              <w:autoSpaceDN/>
              <w:bidi w:val="0"/>
              <w:adjustRightInd/>
              <w:snapToGrid/>
              <w:spacing w:line="576" w:lineRule="exact"/>
              <w:ind w:firstLine="440" w:firstLineChars="200"/>
              <w:jc w:val="left"/>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 xml:space="preserve">                            法定代表人（主要负责人）签字：</w:t>
            </w:r>
          </w:p>
          <w:p>
            <w:pPr>
              <w:keepNext w:val="0"/>
              <w:keepLines w:val="0"/>
              <w:pageBreakBefore w:val="0"/>
              <w:widowControl/>
              <w:kinsoku/>
              <w:wordWrap/>
              <w:overflowPunct/>
              <w:topLinePunct w:val="0"/>
              <w:autoSpaceDE/>
              <w:autoSpaceDN/>
              <w:bidi w:val="0"/>
              <w:adjustRightInd/>
              <w:snapToGrid/>
              <w:spacing w:line="576" w:lineRule="exact"/>
              <w:ind w:firstLine="440" w:firstLineChars="200"/>
              <w:jc w:val="left"/>
              <w:textAlignment w:val="auto"/>
              <w:rPr>
                <w:rFonts w:hint="default" w:ascii="Nimbus Roman No9 L" w:hAnsi="Nimbus Roman No9 L" w:cs="Nimbus Roman No9 L"/>
                <w:kern w:val="0"/>
                <w:sz w:val="22"/>
              </w:rPr>
            </w:pPr>
          </w:p>
          <w:p>
            <w:pPr>
              <w:keepNext w:val="0"/>
              <w:keepLines w:val="0"/>
              <w:pageBreakBefore w:val="0"/>
              <w:widowControl/>
              <w:kinsoku/>
              <w:wordWrap/>
              <w:overflowPunct/>
              <w:topLinePunct w:val="0"/>
              <w:autoSpaceDE/>
              <w:autoSpaceDN/>
              <w:bidi w:val="0"/>
              <w:adjustRightInd/>
              <w:snapToGrid/>
              <w:spacing w:line="576" w:lineRule="exact"/>
              <w:ind w:firstLine="5610" w:firstLineChars="2550"/>
              <w:jc w:val="left"/>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单位盖章：</w:t>
            </w:r>
          </w:p>
          <w:p>
            <w:pPr>
              <w:keepNext w:val="0"/>
              <w:keepLines w:val="0"/>
              <w:pageBreakBefore w:val="0"/>
              <w:widowControl/>
              <w:kinsoku/>
              <w:wordWrap/>
              <w:overflowPunct/>
              <w:topLinePunct w:val="0"/>
              <w:autoSpaceDE/>
              <w:autoSpaceDN/>
              <w:bidi w:val="0"/>
              <w:adjustRightInd/>
              <w:snapToGrid/>
              <w:spacing w:line="576" w:lineRule="exact"/>
              <w:ind w:firstLine="5610" w:firstLineChars="2550"/>
              <w:jc w:val="left"/>
              <w:textAlignment w:val="auto"/>
              <w:rPr>
                <w:rFonts w:hint="default" w:ascii="Nimbus Roman No9 L" w:hAnsi="Nimbus Roman No9 L" w:cs="Nimbus Roman No9 L"/>
                <w:kern w:val="0"/>
                <w:sz w:val="22"/>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 xml:space="preserve">                                              年     月     日</w:t>
            </w:r>
          </w:p>
        </w:tc>
      </w:tr>
    </w:tbl>
    <w:p>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Nimbus Roman No9 L" w:hAnsi="Nimbus Roman No9 L" w:eastAsia="黑体" w:cs="Nimbus Roman No9 L"/>
          <w:kern w:val="0"/>
          <w:sz w:val="22"/>
        </w:rPr>
      </w:pPr>
      <w:r>
        <w:rPr>
          <w:rFonts w:hint="default" w:ascii="Nimbus Roman No9 L" w:hAnsi="Nimbus Roman No9 L" w:eastAsia="黑体" w:cs="Nimbus Roman No9 L"/>
          <w:kern w:val="0"/>
          <w:sz w:val="22"/>
        </w:rPr>
        <w:t>填表说明：</w:t>
      </w: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一、本表按照实际内容填写，相关信息变更的，需重新填写；未变更的，则按照首次或最近一次变更的信息</w:t>
      </w:r>
      <w:r>
        <w:rPr>
          <w:rFonts w:hint="eastAsia" w:ascii="Nimbus Roman No9 L" w:hAnsi="Nimbus Roman No9 L" w:cs="Nimbus Roman No9 L"/>
          <w:kern w:val="0"/>
          <w:sz w:val="22"/>
          <w:lang w:eastAsia="zh-CN"/>
        </w:rPr>
        <w:t>填写</w:t>
      </w:r>
      <w:r>
        <w:rPr>
          <w:rFonts w:hint="default" w:ascii="Nimbus Roman No9 L" w:hAnsi="Nimbus Roman No9 L" w:cs="Nimbus Roman No9 L"/>
          <w:kern w:val="0"/>
          <w:sz w:val="22"/>
        </w:rPr>
        <w:t>。</w:t>
      </w: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sz w:val="28"/>
        </w:rPr>
      </w:pPr>
      <w:r>
        <w:rPr>
          <w:rFonts w:hint="default" w:ascii="Nimbus Roman No9 L" w:hAnsi="Nimbus Roman No9 L" w:cs="Nimbus Roman No9 L"/>
          <w:kern w:val="0"/>
          <w:sz w:val="22"/>
        </w:rPr>
        <w:t>二、本表填报内容应使用A4纸双面打印，不得手写。</w:t>
      </w:r>
      <w:r>
        <w:rPr>
          <w:rFonts w:hint="default" w:ascii="Nimbus Roman No9 L" w:hAnsi="Nimbus Roman No9 L" w:cs="Nimbus Roman No9 L"/>
          <w:sz w:val="28"/>
        </w:rPr>
        <mc:AlternateContent>
          <mc:Choice Requires="wps">
            <w:drawing>
              <wp:anchor distT="0" distB="0" distL="114300" distR="114300" simplePos="0" relativeHeight="251661312" behindDoc="0" locked="0" layoutInCell="1" allowOverlap="1">
                <wp:simplePos x="0" y="0"/>
                <wp:positionH relativeFrom="column">
                  <wp:posOffset>4337050</wp:posOffset>
                </wp:positionH>
                <wp:positionV relativeFrom="paragraph">
                  <wp:posOffset>238760</wp:posOffset>
                </wp:positionV>
                <wp:extent cx="1504950" cy="523875"/>
                <wp:effectExtent l="4445" t="4445" r="14605" b="5080"/>
                <wp:wrapNone/>
                <wp:docPr id="3" name="文本框 3"/>
                <wp:cNvGraphicFramePr/>
                <a:graphic xmlns:a="http://schemas.openxmlformats.org/drawingml/2006/main">
                  <a:graphicData uri="http://schemas.microsoft.com/office/word/2010/wordprocessingShape">
                    <wps:wsp>
                      <wps:cNvSpPr txBox="true"/>
                      <wps:spPr bwMode="auto">
                        <a:xfrm>
                          <a:off x="0" y="0"/>
                          <a:ext cx="1504950" cy="523875"/>
                        </a:xfrm>
                        <a:prstGeom prst="rect">
                          <a:avLst/>
                        </a:prstGeom>
                        <a:solidFill>
                          <a:srgbClr val="FFFFFF"/>
                        </a:solidFill>
                        <a:ln w="9525" cmpd="sng">
                          <a:solidFill>
                            <a:srgbClr val="FFFFFF"/>
                          </a:solidFill>
                          <a:miter lim="800000"/>
                        </a:ln>
                        <a:effectLst/>
                      </wps:spPr>
                      <wps:txbx>
                        <w:txbxContent>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41.5pt;margin-top:18.8pt;height:41.25pt;width:118.5pt;z-index:251661312;mso-width-relative:page;mso-height-relative:page;" fillcolor="#FFFFFF" filled="t" stroked="t" coordsize="21600,21600" o:gfxdata="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TVp242AAAAAoBAAAPAAAAAAAAAAEAIAAAADgAAABkcnMvZG93bnJldi54&#10;bWxQSwECFAAUAAAACACHTuJAKYc4Xh0CAAAsBAAADgAAAAAAAAABACAAAAA9AQAAZHJzL2Uyb0Rv&#10;Yy54bWxQSwUGAAAAAAYABgBZAQAAzAUAAAAA&#10;">
                <v:fill on="t" focussize="0,0"/>
                <v:stroke color="#FFFFFF" miterlimit="8" joinstyle="miter"/>
                <v:imagedata o:title=""/>
                <o:lock v:ext="edit" aspectratio="f"/>
                <v:textbox>
                  <w:txbxContent>
                    <w:p/>
                  </w:txbxContent>
                </v:textbox>
              </v:shape>
            </w:pict>
          </mc:Fallback>
        </mc:AlternateContent>
      </w:r>
    </w:p>
    <w:p>
      <w:pPr>
        <w:keepNext w:val="0"/>
        <w:keepLines w:val="0"/>
        <w:pageBreakBefore w:val="0"/>
        <w:kinsoku/>
        <w:overflowPunct/>
        <w:topLinePunct w:val="0"/>
        <w:autoSpaceDE/>
        <w:autoSpaceDN/>
        <w:bidi w:val="0"/>
        <w:adjustRightInd/>
        <w:snapToGrid/>
        <w:spacing w:line="576" w:lineRule="exact"/>
        <w:textAlignment w:val="auto"/>
        <w:rPr>
          <w:rFonts w:hint="default" w:ascii="Nimbus Roman No9 L" w:hAnsi="Nimbus Roman No9 L" w:eastAsia="黑体" w:cs="Nimbus Roman No9 L"/>
          <w:szCs w:val="32"/>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p>
    <w:p>
      <w:pPr>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附件6</w:t>
      </w:r>
    </w:p>
    <w:p>
      <w:pPr>
        <w:keepNext w:val="0"/>
        <w:keepLines w:val="0"/>
        <w:pageBreakBefore w:val="0"/>
        <w:tabs>
          <w:tab w:val="left" w:pos="7380"/>
          <w:tab w:val="left" w:pos="7560"/>
        </w:tabs>
        <w:kinsoku/>
        <w:overflowPunct/>
        <w:topLinePunct w:val="0"/>
        <w:autoSpaceDE/>
        <w:autoSpaceDN/>
        <w:bidi w:val="0"/>
        <w:adjustRightInd/>
        <w:snapToGrid/>
        <w:spacing w:line="576" w:lineRule="exact"/>
        <w:jc w:val="center"/>
        <w:textAlignment w:val="auto"/>
        <w:rPr>
          <w:rFonts w:hint="default" w:ascii="Nimbus Roman No9 L" w:hAnsi="Nimbus Roman No9 L" w:eastAsia="方正小标宋简体" w:cs="Nimbus Roman No9 L"/>
          <w:sz w:val="44"/>
          <w:szCs w:val="44"/>
        </w:rPr>
      </w:pPr>
    </w:p>
    <w:p>
      <w:pPr>
        <w:keepNext w:val="0"/>
        <w:keepLines w:val="0"/>
        <w:pageBreakBefore w:val="0"/>
        <w:tabs>
          <w:tab w:val="left" w:pos="7380"/>
          <w:tab w:val="left" w:pos="7560"/>
        </w:tabs>
        <w:kinsoku/>
        <w:overflowPunct/>
        <w:topLinePunct w:val="0"/>
        <w:autoSpaceDE/>
        <w:autoSpaceDN/>
        <w:bidi w:val="0"/>
        <w:adjustRightInd/>
        <w:snapToGrid/>
        <w:spacing w:line="576"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药品网络交易第三方平台备案表（取消）</w:t>
      </w:r>
    </w:p>
    <w:tbl>
      <w:tblPr>
        <w:tblStyle w:val="7"/>
        <w:tblW w:w="913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401"/>
        <w:gridCol w:w="2191"/>
        <w:gridCol w:w="66"/>
        <w:gridCol w:w="1552"/>
        <w:gridCol w:w="1411"/>
        <w:gridCol w:w="25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3677"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备案号（首次或最近一次备案后取得的备案号）*</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40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联系人*</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姓  名</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电  话</w:t>
            </w:r>
          </w:p>
        </w:tc>
        <w:tc>
          <w:tcPr>
            <w:tcW w:w="25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身份证件类型</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lang w:val="en"/>
              </w:rPr>
            </w:pPr>
            <w:r>
              <w:rPr>
                <w:rFonts w:hint="default" w:ascii="Nimbus Roman No9 L" w:hAnsi="Nimbus Roman No9 L" w:cs="Nimbus Roman No9 L"/>
                <w:kern w:val="0"/>
                <w:sz w:val="22"/>
              </w:rPr>
              <w:t>证件号码</w:t>
            </w:r>
          </w:p>
        </w:tc>
        <w:tc>
          <w:tcPr>
            <w:tcW w:w="25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408"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传  真</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电子邮箱</w:t>
            </w:r>
          </w:p>
        </w:tc>
        <w:tc>
          <w:tcPr>
            <w:tcW w:w="25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408"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备案主体</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信  息</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备案号*</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企业名称*</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住  所*</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办公场所*</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社会信用代码*</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1"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3829"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互联网药品信息服务</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资格证书编号*</w:t>
            </w:r>
          </w:p>
        </w:tc>
        <w:tc>
          <w:tcPr>
            <w:tcW w:w="390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773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法定代表人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r>
              <w:rPr>
                <w:rFonts w:hint="default" w:ascii="Nimbus Roman No9 L" w:hAnsi="Nimbus Roman No9 L" w:cs="Nimbus Roman No9 L"/>
                <w:kern w:val="0"/>
                <w:sz w:val="22"/>
              </w:rPr>
              <w:t>姓  名*</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联系电话*</w:t>
            </w:r>
          </w:p>
        </w:tc>
        <w:tc>
          <w:tcPr>
            <w:tcW w:w="24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身份证件类型*</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证件号码*</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5"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773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220" w:firstLineChars="100"/>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主要负责人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0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r>
              <w:rPr>
                <w:rFonts w:hint="default" w:ascii="Nimbus Roman No9 L" w:hAnsi="Nimbus Roman No9 L" w:cs="Nimbus Roman No9 L"/>
                <w:kern w:val="0"/>
                <w:sz w:val="22"/>
              </w:rPr>
              <w:t>姓  名*</w:t>
            </w:r>
          </w:p>
        </w:tc>
        <w:tc>
          <w:tcPr>
            <w:tcW w:w="162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p>
        </w:tc>
        <w:tc>
          <w:tcPr>
            <w:tcW w:w="137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r>
              <w:rPr>
                <w:rFonts w:hint="default" w:ascii="Nimbus Roman No9 L" w:hAnsi="Nimbus Roman No9 L" w:cs="Nimbus Roman No9 L"/>
                <w:kern w:val="0"/>
                <w:sz w:val="22"/>
              </w:rPr>
              <w:t>联系电话*</w:t>
            </w:r>
          </w:p>
        </w:tc>
        <w:tc>
          <w:tcPr>
            <w:tcW w:w="253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0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身份证件类型*</w:t>
            </w:r>
          </w:p>
        </w:tc>
        <w:tc>
          <w:tcPr>
            <w:tcW w:w="5527"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0"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0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证件号码*</w:t>
            </w:r>
          </w:p>
        </w:tc>
        <w:tc>
          <w:tcPr>
            <w:tcW w:w="5527"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773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药品质量安全管理机构负责人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姓名*</w:t>
            </w:r>
          </w:p>
        </w:tc>
        <w:tc>
          <w:tcPr>
            <w:tcW w:w="15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c>
          <w:tcPr>
            <w:tcW w:w="141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联系电话*</w:t>
            </w:r>
          </w:p>
        </w:tc>
        <w:tc>
          <w:tcPr>
            <w:tcW w:w="24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身份证件类型*</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408"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证件号码*</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408" w:type="dxa"/>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网站信息</w:t>
            </w: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网站名称*</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7"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网络客户端</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应用程序名</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网站域名*</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（网站主页面域名）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网站IP地址*</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（网站主页面IP地址）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服务器存放地址*</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9" w:hRule="atLeast"/>
          <w:jc w:val="center"/>
        </w:trPr>
        <w:tc>
          <w:tcPr>
            <w:tcW w:w="1408" w:type="dxa"/>
            <w:vMerge w:val="continue"/>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非经营性互联网信息服务备案编号*</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1408" w:type="dxa"/>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Nimbus Roman No9 L" w:hAnsi="Nimbus Roman No9 L" w:cs="Nimbus Roman No9 L"/>
                <w:kern w:val="0"/>
                <w:sz w:val="22"/>
              </w:rPr>
            </w:pPr>
          </w:p>
        </w:tc>
        <w:tc>
          <w:tcPr>
            <w:tcW w:w="226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电信业务经营许可证编号</w:t>
            </w:r>
          </w:p>
        </w:tc>
        <w:tc>
          <w:tcPr>
            <w:tcW w:w="5461"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76" w:hRule="atLeast"/>
          <w:jc w:val="center"/>
        </w:trPr>
        <w:tc>
          <w:tcPr>
            <w:tcW w:w="9138" w:type="dxa"/>
            <w:gridSpan w:val="6"/>
            <w:tcBorders>
              <w:top w:val="single" w:color="000000" w:sz="8" w:space="0"/>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firstLine="480" w:firstLineChars="200"/>
              <w:jc w:val="left"/>
              <w:textAlignment w:val="auto"/>
              <w:rPr>
                <w:rFonts w:hint="default" w:ascii="Nimbus Roman No9 L" w:hAnsi="Nimbus Roman No9 L" w:cs="Nimbus Roman No9 L"/>
                <w:kern w:val="0"/>
                <w:sz w:val="24"/>
              </w:rPr>
            </w:pPr>
          </w:p>
          <w:p>
            <w:pPr>
              <w:keepNext w:val="0"/>
              <w:keepLines w:val="0"/>
              <w:pageBreakBefore w:val="0"/>
              <w:widowControl/>
              <w:kinsoku/>
              <w:wordWrap/>
              <w:overflowPunct/>
              <w:topLinePunct w:val="0"/>
              <w:autoSpaceDE/>
              <w:autoSpaceDN/>
              <w:bidi w:val="0"/>
              <w:adjustRightInd/>
              <w:snapToGrid/>
              <w:spacing w:line="576" w:lineRule="exact"/>
              <w:ind w:firstLine="480" w:firstLineChars="200"/>
              <w:jc w:val="left"/>
              <w:textAlignment w:val="auto"/>
              <w:rPr>
                <w:rFonts w:hint="default" w:ascii="Nimbus Roman No9 L" w:hAnsi="Nimbus Roman No9 L" w:cs="Nimbus Roman No9 L"/>
                <w:kern w:val="0"/>
                <w:sz w:val="24"/>
              </w:rPr>
            </w:pPr>
            <w:r>
              <w:rPr>
                <w:rFonts w:hint="default" w:ascii="Nimbus Roman No9 L" w:hAnsi="Nimbus Roman No9 L" w:cs="Nimbus Roman No9 L"/>
                <w:kern w:val="0"/>
                <w:sz w:val="24"/>
              </w:rPr>
              <w:t>本单位承诺备案填报信息和提交的材料全部真实、合法、有效，并承担一切法律责任。同时，本单位如重新开展药品网络交易第三方平台服务的，保证按照法律法规的要求，重新向所在地省级药品监督管理部门办理备案。</w:t>
            </w:r>
          </w:p>
          <w:p>
            <w:pPr>
              <w:keepNext w:val="0"/>
              <w:keepLines w:val="0"/>
              <w:pageBreakBefore w:val="0"/>
              <w:widowControl/>
              <w:kinsoku/>
              <w:wordWrap/>
              <w:overflowPunct/>
              <w:topLinePunct w:val="0"/>
              <w:autoSpaceDE/>
              <w:autoSpaceDN/>
              <w:bidi w:val="0"/>
              <w:adjustRightInd/>
              <w:snapToGrid/>
              <w:spacing w:line="576" w:lineRule="exact"/>
              <w:ind w:firstLine="440" w:firstLineChars="200"/>
              <w:jc w:val="left"/>
              <w:textAlignment w:val="auto"/>
              <w:rPr>
                <w:rFonts w:hint="default" w:ascii="Nimbus Roman No9 L" w:hAnsi="Nimbus Roman No9 L" w:cs="Nimbus Roman No9 L"/>
                <w:kern w:val="0"/>
                <w:sz w:val="22"/>
              </w:rPr>
            </w:pPr>
          </w:p>
          <w:p>
            <w:pPr>
              <w:keepNext w:val="0"/>
              <w:keepLines w:val="0"/>
              <w:pageBreakBefore w:val="0"/>
              <w:widowControl/>
              <w:kinsoku/>
              <w:wordWrap/>
              <w:overflowPunct/>
              <w:topLinePunct w:val="0"/>
              <w:autoSpaceDE/>
              <w:autoSpaceDN/>
              <w:bidi w:val="0"/>
              <w:adjustRightInd/>
              <w:snapToGrid/>
              <w:spacing w:line="576" w:lineRule="exact"/>
              <w:ind w:firstLine="440" w:firstLineChars="200"/>
              <w:jc w:val="left"/>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 xml:space="preserve">                            法定代表人（主要负责人）签字：</w:t>
            </w:r>
          </w:p>
          <w:p>
            <w:pPr>
              <w:keepNext w:val="0"/>
              <w:keepLines w:val="0"/>
              <w:pageBreakBefore w:val="0"/>
              <w:widowControl/>
              <w:kinsoku/>
              <w:wordWrap/>
              <w:overflowPunct/>
              <w:topLinePunct w:val="0"/>
              <w:autoSpaceDE/>
              <w:autoSpaceDN/>
              <w:bidi w:val="0"/>
              <w:adjustRightInd/>
              <w:snapToGrid/>
              <w:spacing w:line="576" w:lineRule="exact"/>
              <w:ind w:firstLine="440" w:firstLineChars="200"/>
              <w:jc w:val="left"/>
              <w:textAlignment w:val="auto"/>
              <w:rPr>
                <w:rFonts w:hint="default" w:ascii="Nimbus Roman No9 L" w:hAnsi="Nimbus Roman No9 L" w:cs="Nimbus Roman No9 L"/>
                <w:kern w:val="0"/>
                <w:sz w:val="22"/>
              </w:rPr>
            </w:pPr>
          </w:p>
          <w:p>
            <w:pPr>
              <w:keepNext w:val="0"/>
              <w:keepLines w:val="0"/>
              <w:pageBreakBefore w:val="0"/>
              <w:widowControl/>
              <w:kinsoku/>
              <w:wordWrap/>
              <w:overflowPunct/>
              <w:topLinePunct w:val="0"/>
              <w:autoSpaceDE/>
              <w:autoSpaceDN/>
              <w:bidi w:val="0"/>
              <w:adjustRightInd/>
              <w:snapToGrid/>
              <w:spacing w:line="576" w:lineRule="exact"/>
              <w:ind w:firstLine="5610" w:firstLineChars="2550"/>
              <w:jc w:val="left"/>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单位盖章：</w:t>
            </w:r>
          </w:p>
          <w:p>
            <w:pPr>
              <w:keepNext w:val="0"/>
              <w:keepLines w:val="0"/>
              <w:pageBreakBefore w:val="0"/>
              <w:widowControl/>
              <w:kinsoku/>
              <w:wordWrap/>
              <w:overflowPunct/>
              <w:topLinePunct w:val="0"/>
              <w:autoSpaceDE/>
              <w:autoSpaceDN/>
              <w:bidi w:val="0"/>
              <w:adjustRightInd/>
              <w:snapToGrid/>
              <w:spacing w:line="576" w:lineRule="exact"/>
              <w:ind w:firstLine="5610" w:firstLineChars="2550"/>
              <w:jc w:val="left"/>
              <w:textAlignment w:val="auto"/>
              <w:rPr>
                <w:rFonts w:hint="default" w:ascii="Nimbus Roman No9 L" w:hAnsi="Nimbus Roman No9 L" w:cs="Nimbus Roman No9 L"/>
                <w:kern w:val="0"/>
                <w:sz w:val="22"/>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 xml:space="preserve">                                                                年     月     日</w:t>
            </w:r>
          </w:p>
        </w:tc>
      </w:tr>
    </w:tbl>
    <w:p>
      <w:pPr>
        <w:keepNext w:val="0"/>
        <w:keepLines w:val="0"/>
        <w:pageBreakBefore w:val="0"/>
        <w:kinsoku/>
        <w:wordWrap/>
        <w:overflowPunct/>
        <w:topLinePunct w:val="0"/>
        <w:autoSpaceDE/>
        <w:autoSpaceDN/>
        <w:bidi w:val="0"/>
        <w:adjustRightInd/>
        <w:snapToGrid/>
        <w:spacing w:line="576" w:lineRule="exact"/>
        <w:jc w:val="left"/>
        <w:textAlignment w:val="auto"/>
        <w:rPr>
          <w:rFonts w:hint="default" w:ascii="Nimbus Roman No9 L" w:hAnsi="Nimbus Roman No9 L" w:eastAsia="黑体" w:cs="Nimbus Roman No9 L"/>
          <w:kern w:val="0"/>
          <w:sz w:val="22"/>
        </w:rPr>
      </w:pPr>
      <w:r>
        <w:rPr>
          <w:rFonts w:hint="default" w:ascii="Nimbus Roman No9 L" w:hAnsi="Nimbus Roman No9 L" w:eastAsia="黑体" w:cs="Nimbus Roman No9 L"/>
          <w:kern w:val="0"/>
          <w:sz w:val="22"/>
        </w:rPr>
        <w:t>填表说明：</w:t>
      </w: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default" w:ascii="Nimbus Roman No9 L" w:hAnsi="Nimbus Roman No9 L" w:cs="Nimbus Roman No9 L"/>
          <w:kern w:val="0"/>
          <w:sz w:val="22"/>
        </w:rPr>
      </w:pPr>
      <w:r>
        <w:rPr>
          <w:rFonts w:hint="default" w:ascii="Nimbus Roman No9 L" w:hAnsi="Nimbus Roman No9 L" w:cs="Nimbus Roman No9 L"/>
          <w:kern w:val="0"/>
          <w:sz w:val="22"/>
        </w:rPr>
        <w:t>一、本表按照首次或最近一次变更的信息</w:t>
      </w:r>
      <w:r>
        <w:rPr>
          <w:rFonts w:hint="eastAsia" w:ascii="Nimbus Roman No9 L" w:hAnsi="Nimbus Roman No9 L" w:cs="Nimbus Roman No9 L"/>
          <w:kern w:val="0"/>
          <w:sz w:val="22"/>
          <w:lang w:eastAsia="zh-CN"/>
        </w:rPr>
        <w:t>填报</w:t>
      </w:r>
      <w:r>
        <w:rPr>
          <w:rFonts w:hint="default" w:ascii="Nimbus Roman No9 L" w:hAnsi="Nimbus Roman No9 L" w:cs="Nimbus Roman No9 L"/>
          <w:kern w:val="0"/>
          <w:sz w:val="22"/>
        </w:rPr>
        <w:t>。</w:t>
      </w:r>
    </w:p>
    <w:p>
      <w:pPr>
        <w:keepNext w:val="0"/>
        <w:keepLines w:val="0"/>
        <w:pageBreakBefore w:val="0"/>
        <w:kinsoku/>
        <w:wordWrap/>
        <w:overflowPunct/>
        <w:topLinePunct w:val="0"/>
        <w:autoSpaceDE/>
        <w:autoSpaceDN/>
        <w:bidi w:val="0"/>
        <w:adjustRightInd/>
        <w:snapToGrid/>
        <w:spacing w:line="576" w:lineRule="exact"/>
        <w:ind w:firstLine="440" w:firstLineChars="200"/>
        <w:textAlignment w:val="auto"/>
        <w:rPr>
          <w:rFonts w:hint="eastAsia" w:ascii="仿宋" w:hAnsi="仿宋" w:eastAsia="仿宋" w:cs="仿宋"/>
          <w:kern w:val="0"/>
          <w:sz w:val="30"/>
          <w:szCs w:val="30"/>
        </w:rPr>
      </w:pPr>
      <w:r>
        <w:rPr>
          <w:rFonts w:hint="default" w:ascii="Nimbus Roman No9 L" w:hAnsi="Nimbus Roman No9 L" w:cs="Nimbus Roman No9 L"/>
          <w:kern w:val="0"/>
          <w:sz w:val="22"/>
        </w:rPr>
        <w:t>二、本表填报内容应使用A4纸双面打印，不得手写。</w:t>
      </w:r>
      <w:r>
        <w:rPr>
          <w:rFonts w:hint="default" w:ascii="Nimbus Roman No9 L" w:hAnsi="Nimbus Roman No9 L" w:cs="Nimbus Roman No9 L"/>
          <w:sz w:val="28"/>
        </w:rPr>
        <mc:AlternateContent>
          <mc:Choice Requires="wps">
            <w:drawing>
              <wp:anchor distT="0" distB="0" distL="114300" distR="114300" simplePos="0" relativeHeight="251662336" behindDoc="0" locked="0" layoutInCell="1" allowOverlap="1">
                <wp:simplePos x="0" y="0"/>
                <wp:positionH relativeFrom="column">
                  <wp:posOffset>4337050</wp:posOffset>
                </wp:positionH>
                <wp:positionV relativeFrom="paragraph">
                  <wp:posOffset>238760</wp:posOffset>
                </wp:positionV>
                <wp:extent cx="1504950" cy="523875"/>
                <wp:effectExtent l="4445" t="4445" r="14605" b="5080"/>
                <wp:wrapNone/>
                <wp:docPr id="4" name="文本框 4"/>
                <wp:cNvGraphicFramePr/>
                <a:graphic xmlns:a="http://schemas.openxmlformats.org/drawingml/2006/main">
                  <a:graphicData uri="http://schemas.microsoft.com/office/word/2010/wordprocessingShape">
                    <wps:wsp>
                      <wps:cNvSpPr txBox="true"/>
                      <wps:spPr bwMode="auto">
                        <a:xfrm>
                          <a:off x="0" y="0"/>
                          <a:ext cx="1504950" cy="523875"/>
                        </a:xfrm>
                        <a:prstGeom prst="rect">
                          <a:avLst/>
                        </a:prstGeom>
                        <a:solidFill>
                          <a:srgbClr val="FFFFFF"/>
                        </a:solidFill>
                        <a:ln w="9525" cmpd="sng">
                          <a:solidFill>
                            <a:srgbClr val="FFFFFF"/>
                          </a:solidFill>
                          <a:miter lim="800000"/>
                        </a:ln>
                        <a:effectLst/>
                      </wps:spPr>
                      <wps:txbx>
                        <w:txbxContent>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41.5pt;margin-top:18.8pt;height:41.25pt;width:118.5pt;z-index:251662336;mso-width-relative:page;mso-height-relative:page;" fillcolor="#FFFFFF" filled="t" stroked="t" coordsize="21600,21600" o:gfxdata="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NWnbjYAAAACgEAAA8AAAAAAAAAAQAgAAAAOAAAAGRycy9kb3ducmV2Lnht&#10;bFBLAQIUABQAAAAIAIdO4kCkxfPpHAIAACwEAAAOAAAAAAAAAAEAIAAAAD0BAABkcnMvZTJvRG9j&#10;LnhtbFBLBQYAAAAABgAGAFkBAADLBQAAAAA=&#10;">
                <v:fill on="t" focussize="0,0"/>
                <v:stroke color="#FFFFFF" miterlimit="8" joinstyle="miter"/>
                <v:imagedata o:title=""/>
                <o:lock v:ext="edit" aspectratio="f"/>
                <v:textbox>
                  <w:txbxContent>
                    <w:p/>
                  </w:txbxContent>
                </v:textbox>
              </v:shape>
            </w:pict>
          </mc:Fallback>
        </mc:AlternateContent>
      </w:r>
    </w:p>
    <w:sectPr>
      <w:footerReference r:id="rId3" w:type="default"/>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wNzUxNTFlYTEwYjQzYjg0Y2Q3NWEzNmEzNTg5MGYifQ=="/>
  </w:docVars>
  <w:rsids>
    <w:rsidRoot w:val="431D456F"/>
    <w:rsid w:val="000D4963"/>
    <w:rsid w:val="000D580D"/>
    <w:rsid w:val="00130279"/>
    <w:rsid w:val="0016442D"/>
    <w:rsid w:val="00166ECE"/>
    <w:rsid w:val="001764F1"/>
    <w:rsid w:val="001A4855"/>
    <w:rsid w:val="001E3630"/>
    <w:rsid w:val="002256B0"/>
    <w:rsid w:val="0025607C"/>
    <w:rsid w:val="0026567A"/>
    <w:rsid w:val="00266A5A"/>
    <w:rsid w:val="002754C5"/>
    <w:rsid w:val="0029143C"/>
    <w:rsid w:val="00296D3A"/>
    <w:rsid w:val="002B0EE7"/>
    <w:rsid w:val="00311493"/>
    <w:rsid w:val="00364C9D"/>
    <w:rsid w:val="003921A0"/>
    <w:rsid w:val="00410EA7"/>
    <w:rsid w:val="0041243A"/>
    <w:rsid w:val="00455A71"/>
    <w:rsid w:val="005238E3"/>
    <w:rsid w:val="00586EDD"/>
    <w:rsid w:val="005B0B44"/>
    <w:rsid w:val="00642030"/>
    <w:rsid w:val="006C2A73"/>
    <w:rsid w:val="00796056"/>
    <w:rsid w:val="007F6094"/>
    <w:rsid w:val="00872F0C"/>
    <w:rsid w:val="008828BB"/>
    <w:rsid w:val="008913C6"/>
    <w:rsid w:val="008B4F5B"/>
    <w:rsid w:val="008D6D5B"/>
    <w:rsid w:val="008F0483"/>
    <w:rsid w:val="00910E8A"/>
    <w:rsid w:val="0094599D"/>
    <w:rsid w:val="009F554B"/>
    <w:rsid w:val="00A0375B"/>
    <w:rsid w:val="00A15F8E"/>
    <w:rsid w:val="00A30132"/>
    <w:rsid w:val="00A46107"/>
    <w:rsid w:val="00A471D7"/>
    <w:rsid w:val="00A84AB9"/>
    <w:rsid w:val="00AF718A"/>
    <w:rsid w:val="00B04BAF"/>
    <w:rsid w:val="00B6356E"/>
    <w:rsid w:val="00C672CA"/>
    <w:rsid w:val="00CE091F"/>
    <w:rsid w:val="00D13B18"/>
    <w:rsid w:val="00D5147A"/>
    <w:rsid w:val="00D8171F"/>
    <w:rsid w:val="00D94115"/>
    <w:rsid w:val="00DF2A71"/>
    <w:rsid w:val="00E40A02"/>
    <w:rsid w:val="00E65DB7"/>
    <w:rsid w:val="00E973C6"/>
    <w:rsid w:val="00EF2907"/>
    <w:rsid w:val="00F128F1"/>
    <w:rsid w:val="00F26596"/>
    <w:rsid w:val="00F73A87"/>
    <w:rsid w:val="00FD07A3"/>
    <w:rsid w:val="1F54BD86"/>
    <w:rsid w:val="215018EE"/>
    <w:rsid w:val="2F7FCF36"/>
    <w:rsid w:val="39623434"/>
    <w:rsid w:val="3F424B14"/>
    <w:rsid w:val="431D456F"/>
    <w:rsid w:val="44354C47"/>
    <w:rsid w:val="488D1986"/>
    <w:rsid w:val="4B6D4B32"/>
    <w:rsid w:val="56FF4822"/>
    <w:rsid w:val="5A0D2274"/>
    <w:rsid w:val="5BFF3D6E"/>
    <w:rsid w:val="5EF35ABB"/>
    <w:rsid w:val="5FE9CB3B"/>
    <w:rsid w:val="60934D78"/>
    <w:rsid w:val="633B5253"/>
    <w:rsid w:val="63CE4319"/>
    <w:rsid w:val="69DC7D20"/>
    <w:rsid w:val="76B366DF"/>
    <w:rsid w:val="7DED7C7F"/>
    <w:rsid w:val="7DF779E5"/>
    <w:rsid w:val="7EE6DFF8"/>
    <w:rsid w:val="7F6CA72F"/>
    <w:rsid w:val="7F9BB846"/>
    <w:rsid w:val="7FBA5BBB"/>
    <w:rsid w:val="7FDFF4EF"/>
    <w:rsid w:val="9F47BEFD"/>
    <w:rsid w:val="DDFAB803"/>
    <w:rsid w:val="DFB36A7A"/>
    <w:rsid w:val="F7CDBAEA"/>
    <w:rsid w:val="F99B3CB3"/>
    <w:rsid w:val="FDF40590"/>
    <w:rsid w:val="FFFEA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paragraph" w:customStyle="1" w:styleId="13">
    <w:name w:val="样式1"/>
    <w:basedOn w:val="1"/>
    <w:next w:val="1"/>
    <w:qFormat/>
    <w:uiPriority w:val="0"/>
    <w:pPr>
      <w:ind w:firstLine="602" w:firstLineChars="200"/>
    </w:pPr>
    <w:rPr>
      <w:rFonts w:ascii="仿宋" w:hAnsi="仿宋" w:eastAsia="仿宋"/>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1434</Words>
  <Characters>8180</Characters>
  <Lines>68</Lines>
  <Paragraphs>19</Paragraphs>
  <TotalTime>15</TotalTime>
  <ScaleCrop>false</ScaleCrop>
  <LinksUpToDate>false</LinksUpToDate>
  <CharactersWithSpaces>9595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2024-04-08T07:45:00Z</dcterms:created>
  <dc:creator>西楼望雨</dc:creator>
  <cp:lastModifiedBy>test</cp:lastModifiedBy>
  <cp:lastPrinted>2024-06-11T20:33:00Z</cp:lastPrinted>
  <dcterms:modified xsi:type="dcterms:W3CDTF">2024-06-12T16:52:52Z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7D599BC884F8425F9CBF3D3D3BE8E87F_11</vt:lpwstr>
  </property>
</Properties>
</file>