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b w:val="0"/>
          <w:bCs w:val="0"/>
        </w:rPr>
      </w:pPr>
    </w:p>
    <w:p>
      <w:pPr>
        <w:pStyle w:val="5"/>
        <w:ind w:left="0" w:leftChars="0" w:firstLine="0" w:firstLineChars="0"/>
        <w:rPr>
          <w:b w:val="0"/>
          <w:bCs w:val="0"/>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Times New Roman" w:hAnsi="Times New Roman" w:eastAsia="方正小标宋_GBK" w:cs="Times New Roman"/>
          <w:color w:val="000000"/>
          <w:kern w:val="2"/>
          <w:sz w:val="44"/>
          <w:szCs w:val="44"/>
          <w:lang w:val="en-US" w:eastAsia="zh-CN" w:bidi="ar-SA"/>
        </w:rPr>
      </w:pPr>
      <w:r>
        <w:rPr>
          <w:rFonts w:hint="eastAsia" w:ascii="Times New Roman" w:hAnsi="Times New Roman" w:eastAsia="方正小标宋_GBK" w:cs="Times New Roman"/>
          <w:color w:val="000000"/>
          <w:kern w:val="2"/>
          <w:sz w:val="44"/>
          <w:szCs w:val="44"/>
          <w:lang w:val="en-US" w:eastAsia="zh-CN" w:bidi="ar-SA"/>
        </w:rPr>
        <w:t>宿州市医疗保障局 宿州市卫生健康委员会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Times New Roman" w:hAnsi="Times New Roman" w:eastAsia="方正小标宋_GBK" w:cs="Times New Roman"/>
          <w:color w:val="000000"/>
          <w:kern w:val="2"/>
          <w:sz w:val="44"/>
          <w:szCs w:val="44"/>
          <w:lang w:val="en-US" w:eastAsia="zh-CN" w:bidi="ar-SA"/>
        </w:rPr>
      </w:pPr>
      <w:r>
        <w:rPr>
          <w:rFonts w:hint="eastAsia" w:ascii="Times New Roman" w:hAnsi="Times New Roman" w:eastAsia="方正小标宋_GBK" w:cs="Times New Roman"/>
          <w:color w:val="000000"/>
          <w:kern w:val="2"/>
          <w:sz w:val="44"/>
          <w:szCs w:val="44"/>
          <w:lang w:val="en-US" w:eastAsia="zh-CN" w:bidi="ar-SA"/>
        </w:rPr>
        <w:t>关于调整急诊诊察费等部分医疗服务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方正小标宋_GBK" w:hAnsi="方正小标宋_GBK" w:eastAsia="方正小标宋_GBK" w:cs="方正小标宋_GBK"/>
          <w:color w:val="000000"/>
          <w:kern w:val="0"/>
          <w:sz w:val="44"/>
          <w:szCs w:val="44"/>
          <w:shd w:val="clear" w:color="auto" w:fill="FFFFFF"/>
        </w:rPr>
      </w:pPr>
      <w:r>
        <w:rPr>
          <w:rFonts w:hint="eastAsia" w:ascii="Times New Roman" w:hAnsi="Times New Roman" w:eastAsia="方正小标宋_GBK" w:cs="Times New Roman"/>
          <w:color w:val="000000"/>
          <w:kern w:val="2"/>
          <w:sz w:val="44"/>
          <w:szCs w:val="44"/>
          <w:lang w:val="en-US" w:eastAsia="zh-CN" w:bidi="ar-SA"/>
        </w:rPr>
        <w:t>项目价格的通知</w:t>
      </w:r>
    </w:p>
    <w:p>
      <w:pPr>
        <w:overflowPunct w:val="0"/>
        <w:topLinePunct/>
        <w:adjustRightInd w:val="0"/>
        <w:spacing w:line="600" w:lineRule="exact"/>
        <w:jc w:val="center"/>
        <w:rPr>
          <w:rFonts w:hint="default" w:ascii="Times New Roman" w:hAnsi="Times New Roman" w:eastAsia="方正仿宋_GBK" w:cs="Times New Roman"/>
          <w:sz w:val="27"/>
          <w:szCs w:val="27"/>
        </w:rPr>
      </w:pPr>
      <w:r>
        <w:rPr>
          <w:rFonts w:hint="default" w:ascii="Times New Roman" w:hAnsi="Times New Roman" w:eastAsia="方正仿宋_GBK" w:cs="Times New Roman"/>
          <w:sz w:val="27"/>
          <w:szCs w:val="27"/>
        </w:rPr>
        <w:t> </w:t>
      </w:r>
      <w:r>
        <w:rPr>
          <w:rFonts w:hint="default" w:ascii="Times New Roman" w:hAnsi="Times New Roman" w:eastAsia="方正仿宋_GBK" w:cs="Times New Roman"/>
          <w:sz w:val="27"/>
          <w:szCs w:val="27"/>
          <w:lang w:val="en-US" w:eastAsia="zh-CN"/>
        </w:rPr>
        <w:t>宿医保秘〔2024〕6号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left="0" w:firstLine="420"/>
        <w:jc w:val="both"/>
        <w:textAlignment w:val="auto"/>
        <w:rPr>
          <w:rFonts w:hint="default" w:ascii="Times New Roman" w:hAnsi="Times New Roman" w:eastAsia="方正仿宋_GBK" w:cs="Times New Roman"/>
          <w:color w:val="0000FF"/>
          <w:kern w:val="2"/>
          <w:sz w:val="32"/>
          <w:szCs w:val="32"/>
          <w:lang w:val="en-US" w:eastAsia="zh-CN" w:bidi="ar-SA"/>
        </w:rPr>
      </w:pPr>
    </w:p>
    <w:p>
      <w:pPr>
        <w:keepNext w:val="0"/>
        <w:keepLines w:val="0"/>
        <w:pageBreakBefore w:val="0"/>
        <w:widowControl/>
        <w:kinsoku/>
        <w:wordWrap/>
        <w:overflowPunct w:val="0"/>
        <w:topLinePunct w:val="0"/>
        <w:autoSpaceDE/>
        <w:autoSpaceDN/>
        <w:bidi w:val="0"/>
        <w:adjustRightInd/>
        <w:spacing w:line="590" w:lineRule="exact"/>
        <w:jc w:val="both"/>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各</w:t>
      </w:r>
      <w:r>
        <w:rPr>
          <w:rFonts w:hint="default" w:ascii="Times New Roman" w:hAnsi="Times New Roman" w:eastAsia="方正仿宋_GBK" w:cs="Times New Roman"/>
          <w:color w:val="000000"/>
          <w:kern w:val="0"/>
          <w:sz w:val="32"/>
          <w:szCs w:val="32"/>
          <w:shd w:val="clear" w:color="auto" w:fill="FFFFFF"/>
          <w:lang w:eastAsia="zh-CN"/>
        </w:rPr>
        <w:t>县</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区</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医疗保障局</w:t>
      </w:r>
      <w:r>
        <w:rPr>
          <w:rFonts w:hint="eastAsia" w:ascii="Times New Roman" w:hAnsi="Times New Roman" w:eastAsia="方正仿宋_GBK" w:cs="Times New Roman"/>
          <w:color w:val="000000"/>
          <w:kern w:val="0"/>
          <w:sz w:val="32"/>
          <w:szCs w:val="32"/>
          <w:shd w:val="clear" w:color="auto" w:fill="FFFFFF"/>
          <w:lang w:eastAsia="zh-CN"/>
        </w:rPr>
        <w:t>、卫生健康委员会</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市</w:t>
      </w:r>
      <w:r>
        <w:rPr>
          <w:rFonts w:hint="default" w:ascii="Times New Roman" w:hAnsi="Times New Roman" w:eastAsia="方正仿宋_GBK" w:cs="Times New Roman"/>
          <w:color w:val="000000"/>
          <w:kern w:val="0"/>
          <w:sz w:val="32"/>
          <w:szCs w:val="32"/>
          <w:shd w:val="clear" w:color="auto" w:fill="FFFFFF"/>
        </w:rPr>
        <w:t>属公立医疗机构：</w:t>
      </w:r>
    </w:p>
    <w:p>
      <w:pPr>
        <w:keepNext w:val="0"/>
        <w:keepLines w:val="0"/>
        <w:pageBreakBefore w:val="0"/>
        <w:widowControl/>
        <w:kinsoku/>
        <w:wordWrap/>
        <w:overflowPunct w:val="0"/>
        <w:topLinePunct w:val="0"/>
        <w:autoSpaceDE/>
        <w:autoSpaceDN/>
        <w:bidi w:val="0"/>
        <w:adjustRightInd/>
        <w:snapToGrid w:val="0"/>
        <w:spacing w:line="590" w:lineRule="exact"/>
        <w:ind w:left="0"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FFFFF"/>
        </w:rPr>
        <w:t>根据国家医保局等八部门《关于印发〈深化医疗服务价格改革试点方案〉的通知》（医保发〔2021〕41号）有关精神，</w:t>
      </w:r>
      <w:r>
        <w:rPr>
          <w:rFonts w:hint="default" w:ascii="Times New Roman" w:hAnsi="Times New Roman" w:eastAsia="方正仿宋_GBK" w:cs="Times New Roman"/>
          <w:color w:val="000000"/>
          <w:kern w:val="0"/>
          <w:sz w:val="32"/>
          <w:szCs w:val="32"/>
          <w:shd w:val="clear" w:color="auto" w:fill="FFFFFF"/>
          <w:lang w:eastAsia="zh-CN"/>
        </w:rPr>
        <w:t>为贯彻</w:t>
      </w:r>
      <w:r>
        <w:rPr>
          <w:rFonts w:hint="default" w:ascii="Times New Roman" w:hAnsi="Times New Roman" w:eastAsia="方正仿宋_GBK" w:cs="Times New Roman"/>
          <w:color w:val="000000"/>
          <w:kern w:val="0"/>
          <w:sz w:val="32"/>
          <w:szCs w:val="32"/>
          <w:shd w:val="clear" w:color="auto" w:fill="FFFFFF"/>
        </w:rPr>
        <w:t>落实国家医保局办公室《关于落实2023年度医疗服务价格动态调整促进医疗服务高质量发展的通知》（医保办函〔2023〕66号）、《关于反馈辽宁、吉林等6省2023年度医疗服务价格动态调整评估报告意见的函》（医保价采函〔2023〕148号）</w:t>
      </w:r>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安徽省医疗保障局</w:t>
      </w:r>
      <w:r>
        <w:rPr>
          <w:rFonts w:hint="default" w:ascii="Times New Roman" w:hAnsi="Times New Roman" w:eastAsia="方正仿宋_GBK" w:cs="Times New Roman"/>
          <w:color w:val="000000"/>
          <w:kern w:val="0"/>
          <w:sz w:val="32"/>
          <w:szCs w:val="32"/>
          <w:shd w:val="clear" w:color="auto" w:fill="FFFFFF"/>
          <w:lang w:val="en-US" w:eastAsia="zh-CN"/>
        </w:rPr>
        <w:t xml:space="preserve"> </w:t>
      </w:r>
      <w:r>
        <w:rPr>
          <w:rFonts w:hint="default" w:ascii="Times New Roman" w:hAnsi="Times New Roman" w:eastAsia="方正仿宋_GBK" w:cs="Times New Roman"/>
          <w:color w:val="000000"/>
          <w:kern w:val="0"/>
          <w:sz w:val="32"/>
          <w:szCs w:val="32"/>
          <w:shd w:val="clear" w:color="auto" w:fill="FFFFFF"/>
        </w:rPr>
        <w:t>安徽省卫生健康委员会关于调整急诊诊察费等部分医疗服务项目价格的通知</w:t>
      </w:r>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sz w:val="32"/>
          <w:szCs w:val="32"/>
          <w:lang w:eastAsia="zh-CN"/>
        </w:rPr>
        <w:t>皖医保秘〔2024〕22号）文件要求，</w:t>
      </w:r>
      <w:r>
        <w:rPr>
          <w:rFonts w:hint="default" w:ascii="Times New Roman" w:hAnsi="Times New Roman" w:eastAsia="方正仿宋_GBK" w:cs="Times New Roman"/>
          <w:color w:val="000000"/>
          <w:kern w:val="0"/>
          <w:sz w:val="32"/>
          <w:szCs w:val="32"/>
          <w:shd w:val="clear" w:color="auto" w:fill="FFFFFF"/>
        </w:rPr>
        <w:t>按照</w:t>
      </w:r>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总量控制、结构调整</w:t>
      </w:r>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原则，对部分技术劳务价值高、价格长期未调整、临床矛盾突出的项目实施价格专项调整，现</w:t>
      </w:r>
      <w:r>
        <w:rPr>
          <w:rFonts w:hint="default" w:ascii="Times New Roman" w:hAnsi="Times New Roman" w:eastAsia="方正仿宋_GBK" w:cs="Times New Roman"/>
          <w:color w:val="000000"/>
          <w:kern w:val="0"/>
          <w:sz w:val="32"/>
          <w:szCs w:val="32"/>
          <w:shd w:val="clear" w:color="auto" w:fill="FFFFFF"/>
          <w:lang w:eastAsia="zh-CN"/>
        </w:rPr>
        <w:t>将</w:t>
      </w:r>
      <w:r>
        <w:rPr>
          <w:rFonts w:hint="default" w:ascii="Times New Roman" w:hAnsi="Times New Roman" w:eastAsia="方正仿宋_GBK" w:cs="Times New Roman"/>
          <w:color w:val="000000"/>
          <w:kern w:val="0"/>
          <w:sz w:val="32"/>
          <w:szCs w:val="32"/>
          <w:shd w:val="clear" w:color="auto" w:fill="FFFFFF"/>
        </w:rPr>
        <w:t>有关事项通知如下：</w:t>
      </w:r>
    </w:p>
    <w:p>
      <w:pPr>
        <w:keepNext w:val="0"/>
        <w:keepLines w:val="0"/>
        <w:pageBreakBefore w:val="0"/>
        <w:numPr>
          <w:ilvl w:val="0"/>
          <w:numId w:val="1"/>
        </w:numPr>
        <w:shd w:val="clear" w:color="auto" w:fill="FFFFFF"/>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调整急诊诊察费等医疗服务项目价格，</w:t>
      </w:r>
      <w:r>
        <w:rPr>
          <w:rFonts w:hint="default" w:ascii="Times New Roman" w:hAnsi="Times New Roman" w:eastAsia="方正仿宋_GBK" w:cs="Times New Roman"/>
          <w:color w:val="000000"/>
          <w:kern w:val="0"/>
          <w:sz w:val="32"/>
          <w:szCs w:val="32"/>
          <w:shd w:val="clear" w:color="auto" w:fill="FFFFFF"/>
          <w:lang w:eastAsia="zh-CN" w:bidi="ar"/>
        </w:rPr>
        <w:t>详</w:t>
      </w:r>
      <w:r>
        <w:rPr>
          <w:rFonts w:hint="default" w:ascii="Times New Roman" w:hAnsi="Times New Roman" w:eastAsia="方正仿宋_GBK" w:cs="Times New Roman"/>
          <w:color w:val="000000"/>
          <w:kern w:val="0"/>
          <w:sz w:val="32"/>
          <w:szCs w:val="32"/>
          <w:shd w:val="clear" w:color="auto" w:fill="FFFFFF"/>
          <w:lang w:bidi="ar"/>
        </w:rPr>
        <w:t>见附件</w:t>
      </w:r>
      <w:r>
        <w:rPr>
          <w:rFonts w:hint="default" w:ascii="Times New Roman" w:hAnsi="Times New Roman" w:eastAsia="方正仿宋_GBK" w:cs="Times New Roman"/>
          <w:color w:val="000000"/>
          <w:kern w:val="0"/>
          <w:sz w:val="32"/>
          <w:szCs w:val="32"/>
          <w:shd w:val="clear" w:color="auto" w:fill="FFFFFF"/>
          <w:lang w:eastAsia="zh-CN" w:bidi="ar"/>
        </w:rPr>
        <w:t>，</w:t>
      </w:r>
      <w:r>
        <w:rPr>
          <w:rFonts w:hint="default" w:ascii="Times New Roman" w:hAnsi="Times New Roman" w:eastAsia="方正仿宋_GBK" w:cs="Times New Roman"/>
          <w:color w:val="000000"/>
          <w:kern w:val="0"/>
          <w:sz w:val="32"/>
          <w:szCs w:val="32"/>
          <w:shd w:val="clear" w:color="auto" w:fill="FFFFFF"/>
          <w:lang w:bidi="ar"/>
        </w:rPr>
        <w:t>所标注价格为</w:t>
      </w:r>
      <w:r>
        <w:rPr>
          <w:rFonts w:hint="default" w:ascii="Times New Roman" w:hAnsi="Times New Roman" w:eastAsia="方正仿宋_GBK" w:cs="Times New Roman"/>
          <w:color w:val="000000"/>
          <w:kern w:val="0"/>
          <w:sz w:val="32"/>
          <w:szCs w:val="32"/>
          <w:shd w:val="clear" w:color="auto" w:fill="FFFFFF"/>
          <w:lang w:eastAsia="zh-CN" w:bidi="ar"/>
        </w:rPr>
        <w:t>宿州市一、二、</w:t>
      </w:r>
      <w:r>
        <w:rPr>
          <w:rFonts w:hint="default" w:ascii="Times New Roman" w:hAnsi="Times New Roman" w:eastAsia="方正仿宋_GBK" w:cs="Times New Roman"/>
          <w:color w:val="000000"/>
          <w:kern w:val="0"/>
          <w:sz w:val="32"/>
          <w:szCs w:val="32"/>
          <w:shd w:val="clear" w:color="auto" w:fill="FFFFFF"/>
          <w:lang w:bidi="ar"/>
        </w:rPr>
        <w:t>三级公立</w:t>
      </w:r>
      <w:r>
        <w:rPr>
          <w:rFonts w:hint="default" w:ascii="Times New Roman" w:hAnsi="Times New Roman" w:eastAsia="方正仿宋_GBK" w:cs="Times New Roman"/>
          <w:color w:val="000000"/>
          <w:kern w:val="0"/>
          <w:sz w:val="32"/>
          <w:szCs w:val="32"/>
          <w:shd w:val="clear" w:color="auto" w:fill="FFFFFF"/>
          <w:lang w:eastAsia="zh-CN" w:bidi="ar"/>
        </w:rPr>
        <w:t>医疗机构</w:t>
      </w:r>
      <w:r>
        <w:rPr>
          <w:rFonts w:hint="default" w:ascii="Times New Roman" w:hAnsi="Times New Roman" w:eastAsia="方正仿宋_GBK" w:cs="Times New Roman"/>
          <w:color w:val="000000"/>
          <w:kern w:val="0"/>
          <w:sz w:val="32"/>
          <w:szCs w:val="32"/>
          <w:shd w:val="clear" w:color="auto" w:fill="FFFFFF"/>
          <w:lang w:bidi="ar"/>
        </w:rPr>
        <w:t>最高政府指导价。价格调整后，原医保支付政策不变。</w:t>
      </w:r>
    </w:p>
    <w:p>
      <w:pPr>
        <w:keepNext w:val="0"/>
        <w:keepLines w:val="0"/>
        <w:pageBreakBefore w:val="0"/>
        <w:numPr>
          <w:ilvl w:val="0"/>
          <w:numId w:val="1"/>
        </w:numPr>
        <w:shd w:val="clear" w:color="auto" w:fill="FFFFFF"/>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仿宋_GBK" w:cs="Times New Roman"/>
          <w:color w:val="000000"/>
          <w:kern w:val="0"/>
          <w:sz w:val="32"/>
          <w:szCs w:val="32"/>
          <w:shd w:val="clear" w:color="auto" w:fill="FFFFFF"/>
          <w:lang w:eastAsia="zh-CN" w:bidi="ar"/>
        </w:rPr>
      </w:pPr>
      <w:r>
        <w:rPr>
          <w:rFonts w:hint="default" w:ascii="Times New Roman" w:hAnsi="Times New Roman" w:eastAsia="方正仿宋_GBK" w:cs="Times New Roman"/>
          <w:color w:val="000000"/>
          <w:kern w:val="0"/>
          <w:sz w:val="32"/>
          <w:szCs w:val="32"/>
          <w:shd w:val="clear" w:color="auto" w:fill="FFFFFF"/>
          <w:lang w:bidi="ar"/>
        </w:rPr>
        <w:t>建立高值医用耗材集中带量采购与医疗服务价格协同联动机制。按采购年度评估医疗机构</w:t>
      </w:r>
      <w:r>
        <w:rPr>
          <w:rFonts w:hint="default" w:ascii="Times New Roman" w:hAnsi="Times New Roman" w:eastAsia="方正仿宋_GBK" w:cs="Times New Roman"/>
          <w:color w:val="000000"/>
          <w:kern w:val="0"/>
          <w:sz w:val="32"/>
          <w:szCs w:val="32"/>
          <w:shd w:val="clear" w:color="auto" w:fill="FFFFFF"/>
          <w:lang w:val="en-US" w:eastAsia="zh-CN" w:bidi="ar"/>
        </w:rPr>
        <w:t>集采</w:t>
      </w:r>
      <w:r>
        <w:rPr>
          <w:rFonts w:hint="default" w:ascii="Times New Roman" w:hAnsi="Times New Roman" w:eastAsia="方正仿宋_GBK" w:cs="Times New Roman"/>
          <w:color w:val="000000"/>
          <w:kern w:val="0"/>
          <w:sz w:val="32"/>
          <w:szCs w:val="32"/>
          <w:shd w:val="clear" w:color="auto" w:fill="FFFFFF"/>
          <w:lang w:bidi="ar"/>
        </w:rPr>
        <w:t>中选产品采购情况，医疗机构未完成约定采购量的，所涉及的调价项目下一年度仍按调整前收费标准执行。</w:t>
      </w:r>
      <w:r>
        <w:rPr>
          <w:rFonts w:hint="default" w:ascii="Times New Roman" w:hAnsi="Times New Roman" w:eastAsia="方正仿宋_GBK" w:cs="Times New Roman"/>
          <w:color w:val="000000"/>
          <w:kern w:val="0"/>
          <w:sz w:val="32"/>
          <w:szCs w:val="32"/>
          <w:shd w:val="clear" w:color="auto" w:fill="FFFFFF"/>
          <w:lang w:val="en-US" w:eastAsia="zh-CN" w:bidi="ar"/>
        </w:rPr>
        <w:t>此次价格专项调整中，</w:t>
      </w:r>
      <w:r>
        <w:rPr>
          <w:rFonts w:hint="default" w:ascii="Times New Roman" w:hAnsi="Times New Roman" w:eastAsia="方正仿宋_GBK" w:cs="Times New Roman"/>
          <w:color w:val="000000"/>
          <w:kern w:val="0"/>
          <w:sz w:val="32"/>
          <w:szCs w:val="32"/>
          <w:shd w:val="clear" w:color="auto" w:fill="FFFFFF"/>
          <w:lang w:bidi="ar"/>
        </w:rPr>
        <w:t>人工全髋关节置换术、人工膝关节表面置换术、脊柱椎间融合器植入植骨融合术等3个调价项目涉及国家组织人工关节和省级组织骨科植入脊柱类高值医用耗材集采，分别评估上一采购年度（</w:t>
      </w:r>
      <w:r>
        <w:rPr>
          <w:rFonts w:hint="default" w:ascii="Times New Roman" w:hAnsi="Times New Roman" w:eastAsia="方正仿宋_GBK" w:cs="Times New Roman"/>
          <w:color w:val="000000"/>
          <w:sz w:val="32"/>
          <w:szCs w:val="32"/>
        </w:rPr>
        <w:t>2022年12月27日</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2023年12月26日</w:t>
      </w:r>
      <w:r>
        <w:rPr>
          <w:rFonts w:hint="default" w:ascii="Times New Roman" w:hAnsi="Times New Roman" w:eastAsia="方正仿宋_GBK" w:cs="Times New Roman"/>
          <w:color w:val="000000"/>
          <w:kern w:val="0"/>
          <w:sz w:val="32"/>
          <w:szCs w:val="32"/>
          <w:shd w:val="clear" w:color="auto" w:fill="FFFFFF"/>
          <w:lang w:bidi="ar"/>
        </w:rPr>
        <w:t>）髋关节、膝关节、</w:t>
      </w:r>
      <w:r>
        <w:rPr>
          <w:rFonts w:hint="default" w:ascii="Times New Roman" w:hAnsi="Times New Roman" w:eastAsia="方正仿宋_GBK" w:cs="Times New Roman"/>
          <w:color w:val="000000"/>
          <w:kern w:val="0"/>
          <w:sz w:val="32"/>
          <w:szCs w:val="32"/>
          <w:shd w:val="clear" w:color="auto" w:fill="FFFFFF"/>
          <w:lang w:val="en-US" w:eastAsia="zh-CN" w:bidi="ar"/>
        </w:rPr>
        <w:t>骨科</w:t>
      </w:r>
      <w:r>
        <w:rPr>
          <w:rFonts w:hint="default" w:ascii="Times New Roman" w:hAnsi="Times New Roman" w:eastAsia="方正仿宋_GBK" w:cs="Times New Roman"/>
          <w:color w:val="000000"/>
          <w:kern w:val="0"/>
          <w:sz w:val="32"/>
          <w:szCs w:val="32"/>
          <w:shd w:val="clear" w:color="auto" w:fill="FFFFFF"/>
          <w:lang w:bidi="ar"/>
        </w:rPr>
        <w:t>脊柱相关中选产品约定采购量完成情况</w:t>
      </w:r>
      <w:r>
        <w:rPr>
          <w:rFonts w:hint="default" w:ascii="Times New Roman" w:hAnsi="Times New Roman" w:eastAsia="方正仿宋_GBK" w:cs="Times New Roman"/>
          <w:color w:val="000000"/>
          <w:kern w:val="0"/>
          <w:sz w:val="32"/>
          <w:szCs w:val="32"/>
          <w:shd w:val="clear" w:color="auto" w:fill="FFFFFF"/>
          <w:lang w:eastAsia="zh-CN" w:bidi="ar"/>
        </w:rPr>
        <w:t>，</w:t>
      </w:r>
      <w:r>
        <w:rPr>
          <w:rFonts w:hint="default" w:ascii="Times New Roman" w:hAnsi="Times New Roman" w:eastAsia="方正仿宋_GBK" w:cs="Times New Roman"/>
          <w:color w:val="000000"/>
          <w:kern w:val="0"/>
          <w:sz w:val="32"/>
          <w:szCs w:val="32"/>
          <w:shd w:val="clear" w:color="auto" w:fill="FFFFFF"/>
          <w:lang w:bidi="ar"/>
        </w:rPr>
        <w:t>医疗机构未完成约定采购量的，自本通知执行之日起1年内，相应调价项目按调整前收费标准执行</w:t>
      </w:r>
      <w:r>
        <w:rPr>
          <w:rFonts w:hint="default" w:ascii="Times New Roman" w:hAnsi="Times New Roman" w:eastAsia="方正仿宋_GBK" w:cs="Times New Roman"/>
          <w:color w:val="000000"/>
          <w:kern w:val="0"/>
          <w:sz w:val="32"/>
          <w:szCs w:val="32"/>
          <w:shd w:val="clear" w:color="auto" w:fill="FFFFFF"/>
          <w:lang w:eastAsia="zh-CN" w:bidi="ar"/>
        </w:rPr>
        <w:t>。</w:t>
      </w:r>
    </w:p>
    <w:p>
      <w:pPr>
        <w:keepNext w:val="0"/>
        <w:keepLines w:val="0"/>
        <w:pageBreakBefore w:val="0"/>
        <w:shd w:val="clear" w:color="auto" w:fill="FFFFFF"/>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三、各</w:t>
      </w:r>
      <w:r>
        <w:rPr>
          <w:rFonts w:hint="default" w:ascii="Times New Roman" w:hAnsi="Times New Roman" w:eastAsia="方正仿宋_GBK" w:cs="Times New Roman"/>
          <w:color w:val="000000"/>
          <w:kern w:val="0"/>
          <w:sz w:val="32"/>
          <w:szCs w:val="32"/>
          <w:shd w:val="clear" w:color="auto" w:fill="FFFFFF"/>
          <w:lang w:eastAsia="zh-CN" w:bidi="ar"/>
        </w:rPr>
        <w:t>级</w:t>
      </w:r>
      <w:r>
        <w:rPr>
          <w:rFonts w:hint="default" w:ascii="Times New Roman" w:hAnsi="Times New Roman" w:eastAsia="方正仿宋_GBK" w:cs="Times New Roman"/>
          <w:color w:val="000000"/>
          <w:kern w:val="0"/>
          <w:sz w:val="32"/>
          <w:szCs w:val="32"/>
          <w:shd w:val="clear" w:color="auto" w:fill="FFFFFF"/>
          <w:lang w:bidi="ar"/>
        </w:rPr>
        <w:t>公立医疗机构</w:t>
      </w:r>
      <w:r>
        <w:rPr>
          <w:rFonts w:hint="default" w:ascii="Times New Roman" w:hAnsi="Times New Roman" w:eastAsia="方正仿宋_GBK" w:cs="Times New Roman"/>
          <w:color w:val="000000"/>
          <w:kern w:val="0"/>
          <w:sz w:val="32"/>
          <w:szCs w:val="32"/>
          <w:shd w:val="clear" w:color="auto" w:fill="FFFFFF"/>
          <w:lang w:eastAsia="zh-CN" w:bidi="ar"/>
        </w:rPr>
        <w:t>要</w:t>
      </w:r>
      <w:r>
        <w:rPr>
          <w:rFonts w:hint="default" w:ascii="Times New Roman" w:hAnsi="Times New Roman" w:eastAsia="方正仿宋_GBK" w:cs="Times New Roman"/>
          <w:color w:val="000000"/>
          <w:kern w:val="0"/>
          <w:sz w:val="32"/>
          <w:szCs w:val="32"/>
          <w:shd w:val="clear" w:color="auto" w:fill="FFFFFF"/>
          <w:lang w:bidi="ar"/>
        </w:rPr>
        <w:t>加强内部管理，健全价格信息公开制度、住院费用清单制度和价格投诉处理制度，规范医疗服务收费行为，做好医疗服务价格公示，提高医药价格透明度，接受社会监督。</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eastAsia="zh-CN"/>
        </w:rPr>
        <w:t>四、</w:t>
      </w:r>
      <w:r>
        <w:rPr>
          <w:rFonts w:hint="default" w:ascii="Times New Roman" w:hAnsi="Times New Roman" w:eastAsia="方正仿宋_GBK" w:cs="Times New Roman"/>
          <w:b w:val="0"/>
          <w:bCs w:val="0"/>
          <w:color w:val="000000"/>
          <w:spacing w:val="0"/>
          <w:sz w:val="32"/>
          <w:szCs w:val="32"/>
        </w:rPr>
        <w:t>及时做好信息维护</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市医疗保障局有关科室、医保中心按照职责分工做好本通知涉及价格项目贯标和医保信息系统更新维护工作。各县（区）医疗保障局负责本通知的贯彻落实，组织做好本地区医保信息系统数据库更新维护和对照匹配等工作。</w:t>
      </w:r>
    </w:p>
    <w:p>
      <w:pPr>
        <w:keepNext w:val="0"/>
        <w:keepLines w:val="0"/>
        <w:pageBreakBefore w:val="0"/>
        <w:shd w:val="clear" w:color="auto" w:fill="FFFFFF"/>
        <w:kinsoku/>
        <w:wordWrap/>
        <w:overflowPunct w:val="0"/>
        <w:topLinePunct w:val="0"/>
        <w:autoSpaceDE/>
        <w:autoSpaceDN/>
        <w:bidi w:val="0"/>
        <w:adjustRightInd/>
        <w:spacing w:line="59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shd w:val="clear" w:color="auto" w:fill="FFFFFF"/>
          <w:lang w:eastAsia="zh-CN" w:bidi="ar"/>
        </w:rPr>
        <w:t>五</w:t>
      </w:r>
      <w:r>
        <w:rPr>
          <w:rFonts w:hint="default" w:ascii="Times New Roman" w:hAnsi="Times New Roman" w:eastAsia="方正仿宋_GBK" w:cs="Times New Roman"/>
          <w:color w:val="000000"/>
          <w:kern w:val="0"/>
          <w:sz w:val="32"/>
          <w:szCs w:val="32"/>
          <w:shd w:val="clear" w:color="auto" w:fill="FFFFFF"/>
          <w:lang w:bidi="ar"/>
        </w:rPr>
        <w:t>、本通知自2024年</w:t>
      </w:r>
      <w:r>
        <w:rPr>
          <w:rFonts w:hint="default" w:ascii="Times New Roman" w:hAnsi="Times New Roman" w:eastAsia="方正仿宋_GBK" w:cs="Times New Roman"/>
          <w:color w:val="000000"/>
          <w:kern w:val="0"/>
          <w:sz w:val="32"/>
          <w:szCs w:val="32"/>
          <w:shd w:val="clear" w:color="auto" w:fill="FFFFFF"/>
          <w:lang w:val="en-US" w:eastAsia="zh-CN" w:bidi="ar"/>
        </w:rPr>
        <w:t>5</w:t>
      </w:r>
      <w:r>
        <w:rPr>
          <w:rFonts w:hint="default" w:ascii="Times New Roman" w:hAnsi="Times New Roman" w:eastAsia="方正仿宋_GBK" w:cs="Times New Roman"/>
          <w:color w:val="000000"/>
          <w:kern w:val="0"/>
          <w:sz w:val="32"/>
          <w:szCs w:val="32"/>
          <w:shd w:val="clear" w:color="auto" w:fill="FFFFFF"/>
          <w:lang w:bidi="ar"/>
        </w:rPr>
        <w:t>月</w:t>
      </w:r>
      <w:r>
        <w:rPr>
          <w:rFonts w:hint="default" w:ascii="Times New Roman" w:hAnsi="Times New Roman" w:eastAsia="方正仿宋_GBK" w:cs="Times New Roman"/>
          <w:color w:val="000000"/>
          <w:kern w:val="0"/>
          <w:sz w:val="32"/>
          <w:szCs w:val="32"/>
          <w:shd w:val="clear" w:color="auto" w:fill="FFFFFF"/>
          <w:lang w:val="en-US" w:eastAsia="zh-CN" w:bidi="ar"/>
        </w:rPr>
        <w:t>1</w:t>
      </w:r>
      <w:r>
        <w:rPr>
          <w:rFonts w:hint="default" w:ascii="Times New Roman" w:hAnsi="Times New Roman" w:eastAsia="方正仿宋_GBK" w:cs="Times New Roman"/>
          <w:color w:val="000000"/>
          <w:kern w:val="0"/>
          <w:sz w:val="32"/>
          <w:szCs w:val="32"/>
          <w:shd w:val="clear" w:color="auto" w:fill="FFFFFF"/>
          <w:lang w:bidi="ar"/>
        </w:rPr>
        <w:t>日起执行。</w:t>
      </w: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val="0"/>
        <w:topLinePunct w:val="0"/>
        <w:autoSpaceDE/>
        <w:autoSpaceDN/>
        <w:bidi w:val="0"/>
        <w:adjustRightInd/>
        <w:spacing w:line="590" w:lineRule="exact"/>
        <w:ind w:left="0" w:leftChars="0" w:firstLine="640" w:firstLineChars="200"/>
        <w:jc w:val="both"/>
        <w:textAlignment w:val="auto"/>
        <w:rPr>
          <w:rFonts w:hint="default" w:ascii="Times New Roman" w:hAnsi="Times New Roman" w:eastAsia="方正仿宋_GBK" w:cs="Times New Roman"/>
          <w:color w:val="000000"/>
          <w:sz w:val="32"/>
          <w:szCs w:val="32"/>
          <w:shd w:val="clear" w:color="auto" w:fill="FFFFFF"/>
          <w:lang w:val="en-US" w:eastAsia="zh-CN" w:bidi="ar"/>
        </w:rPr>
      </w:pPr>
      <w:r>
        <w:rPr>
          <w:rFonts w:hint="default" w:ascii="Times New Roman" w:hAnsi="Times New Roman" w:eastAsia="方正仿宋_GBK" w:cs="Times New Roman"/>
          <w:color w:val="000000"/>
          <w:sz w:val="32"/>
          <w:szCs w:val="32"/>
          <w:shd w:val="clear" w:color="auto" w:fill="FFFFFF"/>
          <w:lang w:bidi="ar"/>
        </w:rPr>
        <w:t>附件：调整后部分医疗服务项目价格表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rightChars="0" w:firstLine="1600" w:firstLineChars="500"/>
        <w:jc w:val="both"/>
        <w:textAlignment w:val="auto"/>
        <w:rPr>
          <w:rFonts w:ascii="Times New Roman" w:hAnsi="Times New Roman" w:eastAsia="方正仿宋_GBK" w:cs="Times New Roman"/>
          <w:color w:val="000000"/>
          <w:kern w:val="2"/>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rightChars="0" w:firstLine="1600" w:firstLineChars="500"/>
        <w:jc w:val="both"/>
        <w:textAlignment w:val="auto"/>
        <w:rPr>
          <w:rFonts w:ascii="Times New Roman" w:hAnsi="Times New Roman" w:eastAsia="方正仿宋_GBK" w:cs="Times New Roman"/>
          <w:color w:val="00000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90" w:lineRule="exact"/>
        <w:ind w:right="0" w:rightChars="0" w:firstLine="1920" w:firstLineChars="600"/>
        <w:jc w:val="both"/>
        <w:textAlignment w:val="auto"/>
        <w:rPr>
          <w:rFonts w:hint="default" w:ascii="Times New Roman" w:hAnsi="Times New Roman" w:eastAsia="方正仿宋_GBK" w:cs="Times New Roman"/>
          <w:color w:val="000000"/>
          <w:sz w:val="32"/>
          <w:szCs w:val="32"/>
          <w:shd w:val="clear" w:color="auto" w:fill="FFFFFF"/>
          <w:lang w:val="en-US" w:eastAsia="zh-CN" w:bidi="ar"/>
        </w:rPr>
      </w:pPr>
      <w:r>
        <w:rPr>
          <w:rFonts w:hint="default" w:ascii="Times New Roman" w:hAnsi="Times New Roman" w:eastAsia="方正仿宋_GBK" w:cs="Times New Roman"/>
          <w:color w:val="000000"/>
          <w:sz w:val="32"/>
          <w:szCs w:val="32"/>
          <w:shd w:val="clear" w:color="auto" w:fill="FFFFFF"/>
          <w:lang w:eastAsia="zh-CN" w:bidi="ar"/>
        </w:rPr>
        <w:t>宿州市医疗保障局</w:t>
      </w:r>
      <w:r>
        <w:rPr>
          <w:rFonts w:hint="eastAsia" w:eastAsia="方正仿宋_GBK" w:cs="Times New Roman"/>
          <w:color w:val="000000" w:themeColor="text1"/>
          <w:kern w:val="2"/>
          <w:sz w:val="32"/>
          <w:szCs w:val="32"/>
          <w:highlight w:val="none"/>
          <w:shd w:val="clear" w:color="auto" w:fill="auto"/>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sz w:val="32"/>
          <w:szCs w:val="32"/>
          <w:shd w:val="clear" w:color="auto" w:fill="FFFFFF"/>
          <w:lang w:val="en-US" w:eastAsia="zh-CN" w:bidi="ar"/>
        </w:rPr>
        <w:t>宿州市卫生健康委员会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5440" w:firstLineChars="1700"/>
        <w:jc w:val="both"/>
        <w:textAlignment w:val="auto"/>
        <w:rPr>
          <w:rFonts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b w:val="0"/>
          <w:bCs w:val="0"/>
          <w:color w:val="000000"/>
          <w:kern w:val="0"/>
          <w:sz w:val="32"/>
          <w:szCs w:val="32"/>
          <w:shd w:val="clear" w:color="auto" w:fill="FFFFFF"/>
          <w:lang w:val="en-US" w:eastAsia="zh-CN" w:bidi="ar"/>
        </w:rPr>
        <w:t>2024年4月2</w:t>
      </w:r>
      <w:r>
        <w:rPr>
          <w:rFonts w:hint="eastAsia" w:ascii="Times New Roman" w:hAnsi="Times New Roman" w:eastAsia="方正仿宋_GBK" w:cs="Times New Roman"/>
          <w:b w:val="0"/>
          <w:bCs w:val="0"/>
          <w:color w:val="000000"/>
          <w:kern w:val="0"/>
          <w:sz w:val="32"/>
          <w:szCs w:val="32"/>
          <w:shd w:val="clear" w:color="auto" w:fill="FFFFFF"/>
          <w:lang w:val="en-US" w:eastAsia="zh-CN" w:bidi="ar"/>
        </w:rPr>
        <w:t>5</w:t>
      </w:r>
      <w:r>
        <w:rPr>
          <w:rFonts w:hint="default" w:ascii="Times New Roman" w:hAnsi="Times New Roman" w:eastAsia="方正仿宋_GBK" w:cs="Times New Roman"/>
          <w:b w:val="0"/>
          <w:bCs w:val="0"/>
          <w:color w:val="000000"/>
          <w:kern w:val="0"/>
          <w:sz w:val="32"/>
          <w:szCs w:val="32"/>
          <w:shd w:val="clear" w:color="auto"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both"/>
        <w:textAlignment w:val="auto"/>
        <w:rPr>
          <w:rFonts w:hint="eastAsia"/>
          <w:lang w:val="en-US" w:eastAsia="zh-CN"/>
        </w:rPr>
      </w:pPr>
    </w:p>
    <w:p>
      <w:pPr>
        <w:rPr>
          <w:rFonts w:hint="eastAsia"/>
          <w:lang w:val="en-US" w:eastAsia="zh-CN"/>
        </w:rPr>
        <w:sectPr>
          <w:headerReference r:id="rId4" w:type="first"/>
          <w:footerReference r:id="rId6" w:type="first"/>
          <w:headerReference r:id="rId3" w:type="default"/>
          <w:footerReference r:id="rId5" w:type="default"/>
          <w:pgSz w:w="11906" w:h="16838"/>
          <w:pgMar w:top="1962" w:right="1474" w:bottom="1848" w:left="1587" w:header="851" w:footer="992" w:gutter="0"/>
          <w:pgNumType w:fmt="numberInDash"/>
          <w:cols w:space="0" w:num="1"/>
          <w:rtlGutter w:val="0"/>
          <w:docGrid w:type="lines" w:linePitch="312" w:charSpace="0"/>
        </w:sectPr>
      </w:pPr>
      <w:r>
        <w:rPr>
          <w:rFonts w:hint="eastAsia"/>
          <w:lang w:val="en-US" w:eastAsia="zh-CN"/>
        </w:rPr>
        <w:br w:type="page"/>
      </w:r>
      <w:bookmarkStart w:id="0" w:name="_GoBack"/>
      <w:bookmarkEnd w:id="0"/>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widowControl/>
        <w:snapToGrid w:val="0"/>
        <w:spacing w:line="240" w:lineRule="auto"/>
        <w:ind w:firstLine="3960" w:firstLineChars="900"/>
        <w:jc w:val="both"/>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调整后部分医疗服务项目价格表</w:t>
      </w:r>
    </w:p>
    <w:p>
      <w:pPr>
        <w:keepNext w:val="0"/>
        <w:keepLines w:val="0"/>
        <w:pageBreakBefore w:val="0"/>
        <w:widowControl/>
        <w:kinsoku/>
        <w:wordWrap/>
        <w:overflowPunct/>
        <w:topLinePunct w:val="0"/>
        <w:autoSpaceDE/>
        <w:autoSpaceDN/>
        <w:bidi w:val="0"/>
        <w:adjustRightInd/>
        <w:snapToGrid w:val="0"/>
        <w:spacing w:line="400" w:lineRule="exact"/>
        <w:ind w:firstLine="3960" w:firstLineChars="900"/>
        <w:jc w:val="both"/>
        <w:textAlignment w:val="auto"/>
        <w:rPr>
          <w:rFonts w:hint="eastAsia" w:ascii="方正小标宋_GBK" w:hAnsi="方正小标宋_GBK" w:eastAsia="方正小标宋_GBK" w:cs="方正小标宋_GBK"/>
          <w:kern w:val="0"/>
          <w:sz w:val="44"/>
          <w:szCs w:val="44"/>
          <w:shd w:val="clear" w:color="auto" w:fill="FFFFFF"/>
        </w:rPr>
      </w:pPr>
    </w:p>
    <w:tbl>
      <w:tblPr>
        <w:tblStyle w:val="10"/>
        <w:tblW w:w="50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
        <w:gridCol w:w="1516"/>
        <w:gridCol w:w="1230"/>
        <w:gridCol w:w="4096"/>
        <w:gridCol w:w="882"/>
        <w:gridCol w:w="756"/>
        <w:gridCol w:w="965"/>
        <w:gridCol w:w="979"/>
        <w:gridCol w:w="876"/>
        <w:gridCol w:w="1250"/>
        <w:gridCol w:w="632"/>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blHeader/>
          <w:jc w:val="center"/>
        </w:trPr>
        <w:tc>
          <w:tcPr>
            <w:tcW w:w="157"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531"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项目编码</w:t>
            </w:r>
          </w:p>
        </w:tc>
        <w:tc>
          <w:tcPr>
            <w:tcW w:w="431"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项目名称</w:t>
            </w:r>
          </w:p>
        </w:tc>
        <w:tc>
          <w:tcPr>
            <w:tcW w:w="1435"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项目内涵</w:t>
            </w:r>
          </w:p>
        </w:tc>
        <w:tc>
          <w:tcPr>
            <w:tcW w:w="309"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内容</w:t>
            </w:r>
          </w:p>
        </w:tc>
        <w:tc>
          <w:tcPr>
            <w:tcW w:w="265"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计价单位</w:t>
            </w:r>
          </w:p>
        </w:tc>
        <w:tc>
          <w:tcPr>
            <w:tcW w:w="988"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价格（元）</w:t>
            </w:r>
          </w:p>
        </w:tc>
        <w:tc>
          <w:tcPr>
            <w:tcW w:w="438"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计价说明</w:t>
            </w:r>
          </w:p>
        </w:tc>
        <w:tc>
          <w:tcPr>
            <w:tcW w:w="221"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支付分类</w:t>
            </w:r>
          </w:p>
        </w:tc>
        <w:tc>
          <w:tcPr>
            <w:tcW w:w="221"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统计分类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blHeader/>
          <w:jc w:val="center"/>
        </w:trPr>
        <w:tc>
          <w:tcPr>
            <w:tcW w:w="157"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p>
        </w:tc>
        <w:tc>
          <w:tcPr>
            <w:tcW w:w="531"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p>
        </w:tc>
        <w:tc>
          <w:tcPr>
            <w:tcW w:w="431"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p>
        </w:tc>
        <w:tc>
          <w:tcPr>
            <w:tcW w:w="1435"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p>
        </w:tc>
        <w:tc>
          <w:tcPr>
            <w:tcW w:w="309"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p>
        </w:tc>
        <w:tc>
          <w:tcPr>
            <w:tcW w:w="265"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一级医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疗机构</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二级医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疗机构</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三级医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疗机构</w:t>
            </w:r>
          </w:p>
        </w:tc>
        <w:tc>
          <w:tcPr>
            <w:tcW w:w="438"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p>
        </w:tc>
        <w:tc>
          <w:tcPr>
            <w:tcW w:w="221"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p>
        </w:tc>
        <w:tc>
          <w:tcPr>
            <w:tcW w:w="221"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2"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AAAB0001</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急诊诊察费</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各级急诊医师在护士配合下于急诊区域24小时提供的急诊诊疗服务。挂号，初建病历（电子或纸质病历），核实就诊者信息，就诊病历传送，病案管理。急诊医师询问病情，听取主诉，病史采集，向患者或家属告知，进行一般物理检查，书写病历，开具检查单，提供治疗方案（治疗单、处方）等服务，记录病人生命体征。必要时开通绿色通道。</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AAAH0001</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急诊中医辨证论治</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由各级中医、中西医结合医务人员提供的24小时急诊急救中医诊疗服务。通过望闻问切收集中医四诊信息，依据中医理论进行辨证，分析病因、病位、病性及病机转化，作出证候诊断，提出治疗方案。含挂号费。</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AAAA0003</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主任医师门诊诊察费</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指由主任医师在专家门诊提供技术劳务的诊疗服务。挂号，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AAAG0003</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主任医师门诊中医辨证论治</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pacing w:val="0"/>
                <w:kern w:val="0"/>
                <w:sz w:val="24"/>
                <w:szCs w:val="24"/>
                <w:u w:val="none"/>
                <w:lang w:val="en-US" w:eastAsia="zh-CN" w:bidi="ar"/>
              </w:rPr>
              <w:t>指由具有正高级职称的中医或中西医结合医师在中医专家门诊提供的诊疗服务。通过望闻问切收集中医四诊信息，依据中医理论进行辨证，分析病因、病位、病性及病机转化，作出证候诊断，提出治疗方案。含挂号费。</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ABPA0001</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急诊室重症监护</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pacing w:val="-17"/>
                <w:kern w:val="0"/>
                <w:sz w:val="24"/>
                <w:szCs w:val="24"/>
                <w:u w:val="none"/>
                <w:lang w:val="en-US" w:eastAsia="zh-CN" w:bidi="ar"/>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含心电监护、血氧饱和度监测。</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日</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120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128</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143</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不足半日按半日收费。</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ACBA001</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新生儿护理</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评估新生儿</w:t>
            </w:r>
            <w:r>
              <w:rPr>
                <w:rFonts w:hint="default" w:ascii="Times New Roman" w:hAnsi="Times New Roman" w:eastAsia="方正仿宋_GBK" w:cs="Times New Roman"/>
                <w:i w:val="0"/>
                <w:iCs w:val="0"/>
                <w:color w:val="000000"/>
                <w:spacing w:val="-6"/>
                <w:kern w:val="0"/>
                <w:sz w:val="24"/>
                <w:szCs w:val="24"/>
                <w:u w:val="none"/>
                <w:lang w:val="en-US" w:eastAsia="zh-CN" w:bidi="ar"/>
              </w:rPr>
              <w:t>适应环境能力，新生儿口腔护理，喂养，称体重，脐部残端护理，臀部护理，换尿布，观察排泄物形态并记录，</w:t>
            </w:r>
            <w:r>
              <w:rPr>
                <w:rFonts w:hint="default" w:ascii="Times New Roman" w:hAnsi="Times New Roman" w:eastAsia="方正仿宋_GBK" w:cs="Times New Roman"/>
                <w:i w:val="0"/>
                <w:iCs w:val="0"/>
                <w:color w:val="000000"/>
                <w:kern w:val="0"/>
                <w:sz w:val="24"/>
                <w:szCs w:val="24"/>
                <w:u w:val="none"/>
                <w:lang w:val="en-US" w:eastAsia="zh-CN" w:bidi="ar"/>
              </w:rPr>
              <w:t>洗浴，新生儿床位清洁消毒。含新生儿抚触。</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日</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与分级护理不能同时收取。</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ABDA0001</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经外周静脉置入中心静脉导管术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评估患者病情、合作程度及穿刺血管情况等，核对医嘱及患者信息，取适当体位，检查导管，测量导管插入长度，选择穿刺部位，皮肤消毒（直径10厘米），无菌注射器预冲导管，静脉穿刺，送导管至预计长度，撤导丝，抽回血并冲管，修剪长度安装连接器，连接肝素帽并正压封管，无菌敷料固定，处理用物，观察患者反应并记录，做好健康教育及心理护理。不含超声引导、X线检查。</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中心静脉导管</w:t>
            </w: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310902005</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纤维胃十二指肠镜检查</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含活检和刷检。</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128</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136</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152</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电子镜加收100元；无痛胃镜检查550元。</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330201041</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颅底肿瘤切除术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包括前、中颅窝颅内外沟通性肿瘤、前、中、后颅窝底肿瘤（鞍结节脑膜瘤、侵袭性垂体瘤、脊索瘤、神经鞘瘤）、颈脉孔区肿瘤、上颌外旋颅底手术；不含胆脂瘤、囊肿。</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6000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6375</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7125</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颅底再造按颅骨修补处理</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330300011</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甲状腺癌根治术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行颈部切口，于颈阔肌浅面游离皮瓣，结扎切断颈外静脉，显露甲状腺，明确诊断后，延成双叉切口，切断胸骨舌骨肌、胸骨甲状肌、胸锁乳突肌和颈内静脉，由下向上清除淋巴结和脂肪组织，切开显露全叶甲状腺，探查、处理血管，行病变侧全叶甲状腺及峡部切除，保护喉上、喉返神经、舌下神经、膈神经，止血，置管引出固定，缝合切口。</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2624</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2788</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3116</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330702006</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肺叶切除术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包括同侧肺两叶切除术。</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2800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2975</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3325</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331001011</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食管癌根治术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包括胸内胃食管吻合（主动脉引弓下、弓上胸顶部吻合）及颈部吻合术。</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3840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4080</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4560</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三切口联合加收30%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331002005</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胃癌根治术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含保留胃近端与十二指肠或空肠吻合；不含联合其他脏器切除。</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3040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3230</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3610</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331003020</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结肠癌根治术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含左、右半横结肠切除、淋巴清扫。</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2424</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2576</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2879</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331004012</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经腹直肠癌根治术(Dixon手术)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含保留肛门，区域淋巴结清扫；不含子宫、卵巢切除。</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3024</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3213</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3591</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331007006</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胰十二指肠切除术(Whipple手术)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各种胰管空肠吻合、胃空肠吻合术、胆管肠吻合术、胰体癌或壶腹周围癌根治术分别参照执行；不含脾切除术</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4000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4250</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4750</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331301002</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卵巢囊肿剔除术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消毒术野，铺巾，开腹，留取腹腔冲洗液，探查盆腹腔，暴露卵巢肿物，切开肿瘤包膜剥除肿瘤，可吸收线缝合卵巢，常规关腹。</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单侧</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1120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1190</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1330</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331400002</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单胎顺产接生</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含产程观察、阴道或肛门检查，胎心监测及脐带处理，会阴裂伤修补及侧切</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特殊的脐带夹</w:t>
            </w: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680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723</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808</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331400012</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剖宫产术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包括古典式、子宫下段及腹膜外剖宫取胎术。</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1120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1190</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1330</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331501052</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脊柱椎间融合器植入植骨融合术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含脊髓神经根松解、椎板切除减压、脊髓探查、骨折切开复位。</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3360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3570</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3990</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331507005</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人工全髋关节置换术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适于髋关节器质性病变的治疗。切除病变髋关节，置换髋关节人工假体切开，保护股神经或坐骨神经，保护股动静脉，显露病变关节，脱出股骨头，准确截骨，显露髋臼，髋臼和股骨扩髓，精确安放髋臼股骨柄假体，术中用X线引导或导航。不含X线引导、导航。</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2960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3145</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3515</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再置换加收20%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5" w:hRule="atLeast"/>
          <w:jc w:val="center"/>
        </w:trPr>
        <w:tc>
          <w:tcPr>
            <w:tcW w:w="1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5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331507007</w:t>
            </w:r>
          </w:p>
        </w:tc>
        <w:tc>
          <w:tcPr>
            <w:tcW w:w="43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人工膝关节表面置换术</w:t>
            </w:r>
          </w:p>
        </w:tc>
        <w:tc>
          <w:tcPr>
            <w:tcW w:w="143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适于膝关节器质性病变的治疗。切除病变膝关节关节面，松解、修复病变的关节软组织，置换人工膝关节表面假体经膝关节前路切开，显露病变的膝关节，清除增生的骨赘和瘢痕，切除病变的关节滑膜，按下肢的冠状轴线、矢状轴线和膝关节的旋转轴线进行精确的截骨，根据病人关节的特点进行个性化的软组织平衡处理，调整截骨后的屈伸间隙，并使之相等，安放假体试模测试完全合适之后，使用骨水泥安装人工膝关节表面假体，用抗生素盐水加压冲洗术野，放置引流，缝合，有可能在术中使用X透视或导航。不含术中X线透视、导航。</w:t>
            </w:r>
          </w:p>
        </w:tc>
        <w:tc>
          <w:tcPr>
            <w:tcW w:w="3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3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2960</w:t>
            </w:r>
          </w:p>
        </w:tc>
        <w:tc>
          <w:tcPr>
            <w:tcW w:w="3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3145</w:t>
            </w:r>
          </w:p>
        </w:tc>
        <w:tc>
          <w:tcPr>
            <w:tcW w:w="30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3515</w:t>
            </w:r>
          </w:p>
        </w:tc>
        <w:tc>
          <w:tcPr>
            <w:tcW w:w="4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再置换加收20%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t>
            </w:r>
          </w:p>
        </w:tc>
      </w:tr>
    </w:tbl>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lang w:val="en-US" w:eastAsia="zh-CN"/>
        </w:rPr>
      </w:pPr>
    </w:p>
    <w:sectPr>
      <w:headerReference r:id="rId8" w:type="first"/>
      <w:footerReference r:id="rId11" w:type="first"/>
      <w:headerReference r:id="rId7" w:type="default"/>
      <w:footerReference r:id="rId9" w:type="default"/>
      <w:footerReference r:id="rId10" w:type="even"/>
      <w:pgSz w:w="16838" w:h="11906" w:orient="landscape"/>
      <w:pgMar w:top="1701" w:right="1474" w:bottom="1134" w:left="1474" w:header="851" w:footer="1020"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医疗保障局</w:t>
    </w:r>
    <w:r>
      <w:rPr>
        <w:rFonts w:hint="eastAsia" w:ascii="宋体" w:hAnsi="宋体" w:eastAsia="宋体" w:cs="宋体"/>
        <w:b/>
        <w:bCs/>
        <w:color w:val="005192"/>
        <w:sz w:val="32"/>
        <w:lang w:eastAsia="zh-CN"/>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07B02"/>
    <w:multiLevelType w:val="singleLevel"/>
    <w:tmpl w:val="D8007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ODc0NTBlYzU3Mzk5ZGZhYmNkYzQ0NDJjZTQ4ZmUifQ=="/>
  </w:docVars>
  <w:rsids>
    <w:rsidRoot w:val="00172A27"/>
    <w:rsid w:val="008C6C96"/>
    <w:rsid w:val="01711CB4"/>
    <w:rsid w:val="019E71BD"/>
    <w:rsid w:val="01C901A1"/>
    <w:rsid w:val="04B679C3"/>
    <w:rsid w:val="05E451B5"/>
    <w:rsid w:val="06F86E33"/>
    <w:rsid w:val="080F63D8"/>
    <w:rsid w:val="09341458"/>
    <w:rsid w:val="0B0912D7"/>
    <w:rsid w:val="0B2B5A29"/>
    <w:rsid w:val="0BC348DB"/>
    <w:rsid w:val="0C227ABB"/>
    <w:rsid w:val="0C3B1F61"/>
    <w:rsid w:val="0F917E25"/>
    <w:rsid w:val="118728A6"/>
    <w:rsid w:val="150115A9"/>
    <w:rsid w:val="152D2DCA"/>
    <w:rsid w:val="18F953B8"/>
    <w:rsid w:val="1A2170CF"/>
    <w:rsid w:val="1A3B555D"/>
    <w:rsid w:val="1AB84DFF"/>
    <w:rsid w:val="1BC794B9"/>
    <w:rsid w:val="1BCB0929"/>
    <w:rsid w:val="1DEC284C"/>
    <w:rsid w:val="1E6523AC"/>
    <w:rsid w:val="22440422"/>
    <w:rsid w:val="24B25770"/>
    <w:rsid w:val="273852FE"/>
    <w:rsid w:val="312D452F"/>
    <w:rsid w:val="31A15F24"/>
    <w:rsid w:val="32A55811"/>
    <w:rsid w:val="395347B5"/>
    <w:rsid w:val="39A232A0"/>
    <w:rsid w:val="39E745AA"/>
    <w:rsid w:val="3B5A6BBB"/>
    <w:rsid w:val="3C087A08"/>
    <w:rsid w:val="3E1C6FD2"/>
    <w:rsid w:val="3EDA13A6"/>
    <w:rsid w:val="3F8F878D"/>
    <w:rsid w:val="407F58F4"/>
    <w:rsid w:val="41CC64DF"/>
    <w:rsid w:val="425A3F23"/>
    <w:rsid w:val="42F058B7"/>
    <w:rsid w:val="436109F6"/>
    <w:rsid w:val="441A38D4"/>
    <w:rsid w:val="441C1C1B"/>
    <w:rsid w:val="47A1129D"/>
    <w:rsid w:val="484336AB"/>
    <w:rsid w:val="4BC77339"/>
    <w:rsid w:val="4C9236C5"/>
    <w:rsid w:val="4DEA6AA2"/>
    <w:rsid w:val="4F46264C"/>
    <w:rsid w:val="4FFF755F"/>
    <w:rsid w:val="505C172E"/>
    <w:rsid w:val="52F46F0B"/>
    <w:rsid w:val="52FE6B4C"/>
    <w:rsid w:val="53D8014D"/>
    <w:rsid w:val="53FD1143"/>
    <w:rsid w:val="55E064E0"/>
    <w:rsid w:val="572C6D10"/>
    <w:rsid w:val="5C4C6B7A"/>
    <w:rsid w:val="5DC34279"/>
    <w:rsid w:val="5DC51367"/>
    <w:rsid w:val="608816D1"/>
    <w:rsid w:val="60EF4E7F"/>
    <w:rsid w:val="61DE5373"/>
    <w:rsid w:val="665233C1"/>
    <w:rsid w:val="69B8584F"/>
    <w:rsid w:val="6AD9688B"/>
    <w:rsid w:val="6D0E3F22"/>
    <w:rsid w:val="6D54588F"/>
    <w:rsid w:val="70740ABE"/>
    <w:rsid w:val="707A6C74"/>
    <w:rsid w:val="70BC57B2"/>
    <w:rsid w:val="7143439E"/>
    <w:rsid w:val="73B87E22"/>
    <w:rsid w:val="741B2C62"/>
    <w:rsid w:val="751F49D4"/>
    <w:rsid w:val="77071BC4"/>
    <w:rsid w:val="777032C5"/>
    <w:rsid w:val="78197E01"/>
    <w:rsid w:val="79BF7377"/>
    <w:rsid w:val="79F68A3B"/>
    <w:rsid w:val="7C9011D9"/>
    <w:rsid w:val="7DC651C5"/>
    <w:rsid w:val="7E692AD8"/>
    <w:rsid w:val="7FCC2834"/>
    <w:rsid w:val="7FEF7543"/>
    <w:rsid w:val="BCFFC55A"/>
    <w:rsid w:val="BFD54A78"/>
    <w:rsid w:val="E77078E3"/>
    <w:rsid w:val="EEFFEF6D"/>
    <w:rsid w:val="FFDFDE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style>
  <w:style w:type="paragraph" w:styleId="4">
    <w:name w:val="Body Text Indent"/>
    <w:basedOn w:val="1"/>
    <w:semiHidden/>
    <w:unhideWhenUsed/>
    <w:qFormat/>
    <w:uiPriority w:val="99"/>
    <w:pPr>
      <w:spacing w:after="120"/>
      <w:ind w:left="420" w:leftChars="200"/>
    </w:pPr>
  </w:style>
  <w:style w:type="paragraph" w:styleId="5">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4"/>
    <w:next w:val="1"/>
    <w:unhideWhenUsed/>
    <w:qFormat/>
    <w:uiPriority w:val="0"/>
    <w:pPr>
      <w:ind w:firstLine="420" w:firstLineChars="200"/>
    </w:pPr>
  </w:style>
  <w:style w:type="paragraph" w:customStyle="1" w:styleId="12">
    <w:name w:val="仿宋正文"/>
    <w:basedOn w:val="1"/>
    <w:qFormat/>
    <w:uiPriority w:val="99"/>
    <w:pPr>
      <w:spacing w:line="600" w:lineRule="exact"/>
      <w:ind w:firstLine="420"/>
    </w:pPr>
    <w:rPr>
      <w:rFonts w:eastAsia="方正仿宋简体"/>
      <w:szCs w:val="32"/>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948</Words>
  <Characters>995</Characters>
  <Lines>1</Lines>
  <Paragraphs>1</Paragraphs>
  <TotalTime>16</TotalTime>
  <ScaleCrop>false</ScaleCrop>
  <LinksUpToDate>false</LinksUpToDate>
  <CharactersWithSpaces>1002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Š</cp:lastModifiedBy>
  <cp:lastPrinted>2021-10-28T03:30:00Z</cp:lastPrinted>
  <dcterms:modified xsi:type="dcterms:W3CDTF">2024-06-04T02:20:57Z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