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78" w:line="196" w:lineRule="auto"/>
        <w:ind w:left="3047"/>
        <w:outlineLvl w:val="0"/>
        <w:rPr>
          <w:rFonts w:ascii="华文中宋" w:hAnsi="华文中宋" w:eastAsia="华文中宋" w:cs="华文中宋"/>
          <w:sz w:val="31"/>
          <w:szCs w:val="31"/>
          <w:lang w:eastAsia="zh-CN"/>
        </w:rPr>
      </w:pPr>
      <w:r>
        <w:rPr>
          <w:rFonts w:ascii="华文中宋" w:hAnsi="华文中宋" w:eastAsia="华文中宋" w:cs="华文中宋"/>
          <w:spacing w:val="7"/>
          <w:sz w:val="31"/>
          <w:szCs w:val="31"/>
          <w:lang w:eastAsia="zh-CN"/>
        </w:rPr>
        <w:t>安徽省地方标准编制说明</w:t>
      </w:r>
    </w:p>
    <w:p>
      <w:pPr>
        <w:spacing w:before="111"/>
        <w:rPr>
          <w:lang w:eastAsia="zh-CN"/>
        </w:rPr>
      </w:pPr>
    </w:p>
    <w:p>
      <w:pPr>
        <w:spacing w:before="110"/>
        <w:rPr>
          <w:lang w:eastAsia="zh-CN"/>
        </w:rPr>
      </w:pPr>
    </w:p>
    <w:tbl>
      <w:tblPr>
        <w:tblStyle w:val="5"/>
        <w:tblW w:w="957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60"/>
        <w:gridCol w:w="761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960" w:type="dxa"/>
          </w:tcPr>
          <w:p>
            <w:pPr>
              <w:pStyle w:val="6"/>
              <w:spacing w:before="175" w:line="221" w:lineRule="auto"/>
              <w:ind w:left="429"/>
            </w:pPr>
            <w:r>
              <w:rPr>
                <w:spacing w:val="-2"/>
              </w:rPr>
              <w:t>标准名称</w:t>
            </w:r>
          </w:p>
        </w:tc>
        <w:tc>
          <w:tcPr>
            <w:tcW w:w="7613" w:type="dxa"/>
          </w:tcPr>
          <w:p>
            <w:pPr>
              <w:pStyle w:val="6"/>
              <w:spacing w:before="195" w:line="220" w:lineRule="auto"/>
              <w:rPr>
                <w:lang w:eastAsia="zh-CN"/>
              </w:rPr>
            </w:pPr>
            <w:r>
              <w:rPr>
                <w:spacing w:val="-1"/>
                <w:lang w:eastAsia="zh-CN"/>
              </w:rPr>
              <w:t>《医疗机构活体组织</w:t>
            </w:r>
            <w:r>
              <w:rPr>
                <w:rFonts w:hint="eastAsia"/>
                <w:spacing w:val="-1"/>
                <w:lang w:eastAsia="zh-CN"/>
              </w:rPr>
              <w:t>病理</w:t>
            </w:r>
            <w:r>
              <w:rPr>
                <w:spacing w:val="-1"/>
                <w:lang w:eastAsia="zh-CN"/>
              </w:rPr>
              <w:t>标本分析前阶段管理规范》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1960" w:type="dxa"/>
          </w:tcPr>
          <w:p>
            <w:pPr>
              <w:pStyle w:val="6"/>
              <w:spacing w:before="171" w:line="220" w:lineRule="auto"/>
              <w:ind w:left="427"/>
              <w:rPr>
                <w:lang w:eastAsia="zh-CN"/>
              </w:rPr>
            </w:pPr>
            <w:r>
              <w:rPr>
                <w:spacing w:val="-2"/>
                <w:lang w:eastAsia="zh-CN"/>
              </w:rPr>
              <w:t>任务来源</w:t>
            </w:r>
          </w:p>
          <w:p>
            <w:pPr>
              <w:pStyle w:val="6"/>
              <w:spacing w:before="290" w:line="624" w:lineRule="exact"/>
              <w:ind w:left="297"/>
              <w:rPr>
                <w:lang w:eastAsia="zh-CN"/>
              </w:rPr>
            </w:pPr>
            <w:r>
              <w:rPr>
                <w:spacing w:val="-6"/>
                <w:position w:val="26"/>
                <w:lang w:eastAsia="zh-CN"/>
              </w:rPr>
              <w:t>（项目计划</w:t>
            </w:r>
          </w:p>
          <w:p>
            <w:pPr>
              <w:pStyle w:val="6"/>
              <w:spacing w:line="221" w:lineRule="auto"/>
              <w:ind w:left="715"/>
              <w:rPr>
                <w:lang w:eastAsia="zh-CN"/>
              </w:rPr>
            </w:pPr>
            <w:r>
              <w:rPr>
                <w:spacing w:val="-9"/>
                <w:lang w:eastAsia="zh-CN"/>
              </w:rPr>
              <w:t>号）</w:t>
            </w:r>
          </w:p>
        </w:tc>
        <w:tc>
          <w:tcPr>
            <w:tcW w:w="7613" w:type="dxa"/>
          </w:tcPr>
          <w:p>
            <w:pPr>
              <w:spacing w:line="320" w:lineRule="auto"/>
              <w:rPr>
                <w:sz w:val="20"/>
                <w:lang w:eastAsia="zh-CN"/>
              </w:rPr>
            </w:pPr>
          </w:p>
          <w:p>
            <w:pPr>
              <w:pStyle w:val="6"/>
              <w:spacing w:before="91" w:line="250" w:lineRule="auto"/>
              <w:ind w:left="113" w:right="107" w:firstLine="2"/>
              <w:jc w:val="both"/>
              <w:rPr>
                <w:rFonts w:ascii="Times New Roman" w:hAnsi="Times New Roman" w:eastAsia="Times New Roman" w:cs="Times New Roman"/>
                <w:lang w:eastAsia="zh-CN"/>
              </w:rPr>
            </w:pPr>
            <w:r>
              <w:rPr>
                <w:spacing w:val="-1"/>
                <w:lang w:eastAsia="zh-CN"/>
              </w:rPr>
              <w:t>《安徽省市场监督管理局关于下达</w:t>
            </w:r>
            <w:r>
              <w:rPr>
                <w:spacing w:val="-74"/>
                <w:lang w:eastAsia="zh-CN"/>
              </w:rPr>
              <w:t xml:space="preserve"> </w:t>
            </w:r>
            <w:r>
              <w:rPr>
                <w:rFonts w:ascii="Times New Roman" w:hAnsi="Times New Roman" w:eastAsia="Times New Roman" w:cs="Times New Roman"/>
                <w:spacing w:val="-1"/>
                <w:lang w:eastAsia="zh-CN"/>
              </w:rPr>
              <w:t>202</w:t>
            </w:r>
            <w:r>
              <w:rPr>
                <w:rFonts w:hint="eastAsia" w:ascii="Times New Roman" w:hAnsi="Times New Roman" w:cs="Times New Roman"/>
                <w:spacing w:val="-1"/>
                <w:lang w:eastAsia="zh-CN"/>
              </w:rPr>
              <w:t>3</w:t>
            </w:r>
            <w:r>
              <w:rPr>
                <w:rFonts w:ascii="Times New Roman" w:hAnsi="Times New Roman" w:eastAsia="Times New Roman" w:cs="Times New Roman"/>
                <w:spacing w:val="-1"/>
                <w:lang w:eastAsia="zh-CN"/>
              </w:rPr>
              <w:t xml:space="preserve"> </w:t>
            </w:r>
            <w:r>
              <w:rPr>
                <w:spacing w:val="-1"/>
                <w:lang w:eastAsia="zh-CN"/>
              </w:rPr>
              <w:t>年第二批</w:t>
            </w:r>
            <w:r>
              <w:rPr>
                <w:spacing w:val="-2"/>
                <w:lang w:eastAsia="zh-CN"/>
              </w:rPr>
              <w:t>安徽省地方</w:t>
            </w:r>
            <w:r>
              <w:rPr>
                <w:lang w:eastAsia="zh-CN"/>
              </w:rPr>
              <w:t xml:space="preserve"> </w:t>
            </w:r>
            <w:r>
              <w:rPr>
                <w:spacing w:val="-3"/>
                <w:lang w:eastAsia="zh-CN"/>
              </w:rPr>
              <w:t>标准制修订计划的通知》（皖市监函</w:t>
            </w:r>
            <w:r>
              <w:rPr>
                <w:rFonts w:ascii="Times New Roman" w:hAnsi="Times New Roman" w:eastAsia="Times New Roman" w:cs="Times New Roman"/>
                <w:spacing w:val="-3"/>
                <w:lang w:eastAsia="zh-CN"/>
              </w:rPr>
              <w:t>[202</w:t>
            </w:r>
            <w:r>
              <w:rPr>
                <w:rFonts w:hint="eastAsia" w:ascii="Times New Roman" w:hAnsi="Times New Roman" w:cs="Times New Roman"/>
                <w:spacing w:val="-3"/>
                <w:lang w:eastAsia="zh-CN"/>
              </w:rPr>
              <w:t>3</w:t>
            </w:r>
            <w:r>
              <w:rPr>
                <w:rFonts w:ascii="Times New Roman" w:hAnsi="Times New Roman" w:eastAsia="Times New Roman" w:cs="Times New Roman"/>
                <w:spacing w:val="-3"/>
                <w:lang w:eastAsia="zh-CN"/>
              </w:rPr>
              <w:t xml:space="preserve">] </w:t>
            </w:r>
            <w:r>
              <w:rPr>
                <w:rFonts w:hint="eastAsia" w:ascii="Times New Roman" w:hAnsi="Times New Roman" w:cs="Times New Roman"/>
                <w:spacing w:val="-3"/>
                <w:lang w:eastAsia="zh-CN"/>
              </w:rPr>
              <w:t>478</w:t>
            </w:r>
            <w:r>
              <w:rPr>
                <w:rFonts w:ascii="Times New Roman" w:hAnsi="Times New Roman" w:eastAsia="Times New Roman" w:cs="Times New Roman"/>
                <w:spacing w:val="18"/>
                <w:w w:val="101"/>
                <w:lang w:eastAsia="zh-CN"/>
              </w:rPr>
              <w:t xml:space="preserve"> </w:t>
            </w:r>
            <w:r>
              <w:rPr>
                <w:spacing w:val="-3"/>
                <w:lang w:eastAsia="zh-CN"/>
              </w:rPr>
              <w:t>号</w:t>
            </w:r>
            <w:r>
              <w:rPr>
                <w:spacing w:val="-5"/>
                <w:lang w:eastAsia="zh-CN"/>
              </w:rPr>
              <w:t>），</w:t>
            </w:r>
            <w:r>
              <w:rPr>
                <w:spacing w:val="-3"/>
                <w:lang w:eastAsia="zh-CN"/>
              </w:rPr>
              <w:t>项目计</w:t>
            </w:r>
            <w:r>
              <w:rPr>
                <w:lang w:eastAsia="zh-CN"/>
              </w:rPr>
              <w:t xml:space="preserve"> </w:t>
            </w:r>
            <w:r>
              <w:rPr>
                <w:spacing w:val="-13"/>
                <w:lang w:eastAsia="zh-CN"/>
              </w:rPr>
              <w:t xml:space="preserve">划号： </w:t>
            </w:r>
            <w:r>
              <w:rPr>
                <w:rFonts w:ascii="Times New Roman" w:hAnsi="Times New Roman" w:eastAsia="Times New Roman" w:cs="Times New Roman"/>
                <w:spacing w:val="-13"/>
                <w:lang w:eastAsia="zh-CN"/>
              </w:rPr>
              <w:t>202</w:t>
            </w:r>
            <w:r>
              <w:rPr>
                <w:rFonts w:hint="eastAsia" w:ascii="Times New Roman" w:hAnsi="Times New Roman" w:cs="Times New Roman"/>
                <w:spacing w:val="-13"/>
                <w:lang w:eastAsia="zh-CN"/>
              </w:rPr>
              <w:t>3</w:t>
            </w:r>
            <w:r>
              <w:rPr>
                <w:rFonts w:ascii="Times New Roman" w:hAnsi="Times New Roman" w:eastAsia="Times New Roman" w:cs="Times New Roman"/>
                <w:spacing w:val="-13"/>
                <w:lang w:eastAsia="zh-CN"/>
              </w:rPr>
              <w:t>-2-</w:t>
            </w:r>
            <w:r>
              <w:rPr>
                <w:rFonts w:ascii="Times New Roman" w:hAnsi="Times New Roman" w:eastAsia="Times New Roman" w:cs="Times New Roman"/>
                <w:spacing w:val="-28"/>
                <w:lang w:eastAsia="zh-CN"/>
              </w:rPr>
              <w:t xml:space="preserve"> </w:t>
            </w:r>
            <w:r>
              <w:rPr>
                <w:rFonts w:ascii="Times New Roman" w:hAnsi="Times New Roman" w:eastAsia="Times New Roman" w:cs="Times New Roman"/>
                <w:spacing w:val="-13"/>
                <w:lang w:eastAsia="zh-CN"/>
              </w:rPr>
              <w:t>1</w:t>
            </w:r>
            <w:r>
              <w:rPr>
                <w:rFonts w:hint="eastAsia" w:ascii="Times New Roman" w:hAnsi="Times New Roman" w:cs="Times New Roman"/>
                <w:spacing w:val="-13"/>
                <w:lang w:eastAsia="zh-CN"/>
              </w:rPr>
              <w:t>8</w:t>
            </w:r>
            <w:r>
              <w:rPr>
                <w:rFonts w:ascii="Times New Roman" w:hAnsi="Times New Roman" w:eastAsia="Times New Roman" w:cs="Times New Roman"/>
                <w:spacing w:val="-13"/>
                <w:lang w:eastAsia="zh-CN"/>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1960" w:type="dxa"/>
          </w:tcPr>
          <w:p>
            <w:pPr>
              <w:pStyle w:val="6"/>
              <w:spacing w:before="172" w:line="220" w:lineRule="auto"/>
              <w:ind w:left="147"/>
              <w:rPr>
                <w:lang w:eastAsia="zh-CN"/>
              </w:rPr>
            </w:pPr>
            <w:r>
              <w:rPr>
                <w:spacing w:val="-2"/>
                <w:lang w:eastAsia="zh-CN"/>
              </w:rPr>
              <w:t>第一起草单位</w:t>
            </w:r>
          </w:p>
          <w:p>
            <w:pPr>
              <w:pStyle w:val="6"/>
              <w:spacing w:before="290" w:line="219" w:lineRule="auto"/>
              <w:ind w:left="436"/>
              <w:rPr>
                <w:lang w:eastAsia="zh-CN"/>
              </w:rPr>
            </w:pPr>
            <w:r>
              <w:rPr>
                <w:spacing w:val="-7"/>
                <w:lang w:eastAsia="zh-CN"/>
              </w:rPr>
              <w:t>（盖章）</w:t>
            </w:r>
          </w:p>
        </w:tc>
        <w:tc>
          <w:tcPr>
            <w:tcW w:w="7613" w:type="dxa"/>
          </w:tcPr>
          <w:p>
            <w:pPr>
              <w:spacing w:line="391" w:lineRule="auto"/>
              <w:rPr>
                <w:sz w:val="20"/>
                <w:lang w:eastAsia="zh-CN"/>
              </w:rPr>
            </w:pPr>
          </w:p>
          <w:p>
            <w:pPr>
              <w:pStyle w:val="6"/>
              <w:spacing w:before="91" w:line="219" w:lineRule="auto"/>
              <w:ind w:left="878"/>
              <w:rPr>
                <w:lang w:eastAsia="zh-CN"/>
              </w:rPr>
            </w:pPr>
            <w:r>
              <w:rPr>
                <w:spacing w:val="-1"/>
                <w:lang w:eastAsia="zh-CN"/>
              </w:rPr>
              <w:t>中国科学技术大学附属第一医院（安徽省立医院）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1960" w:type="dxa"/>
          </w:tcPr>
          <w:p>
            <w:pPr>
              <w:pStyle w:val="6"/>
              <w:spacing w:before="175" w:line="221" w:lineRule="auto"/>
              <w:ind w:left="430"/>
            </w:pPr>
            <w:r>
              <w:rPr>
                <w:spacing w:val="-2"/>
              </w:rPr>
              <w:t>单位地址</w:t>
            </w:r>
          </w:p>
        </w:tc>
        <w:tc>
          <w:tcPr>
            <w:tcW w:w="7613" w:type="dxa"/>
          </w:tcPr>
          <w:p>
            <w:pPr>
              <w:pStyle w:val="6"/>
              <w:spacing w:before="175" w:line="219" w:lineRule="auto"/>
              <w:ind w:left="2208"/>
              <w:rPr>
                <w:lang w:eastAsia="zh-CN"/>
              </w:rPr>
            </w:pPr>
            <w:r>
              <w:rPr>
                <w:spacing w:val="-2"/>
                <w:lang w:eastAsia="zh-CN"/>
              </w:rPr>
              <w:t>安徽省合肥市</w:t>
            </w:r>
            <w:r>
              <w:rPr>
                <w:rFonts w:hint="eastAsia"/>
                <w:spacing w:val="-2"/>
                <w:lang w:eastAsia="zh-CN"/>
              </w:rPr>
              <w:t>庐江</w:t>
            </w:r>
            <w:r>
              <w:rPr>
                <w:spacing w:val="-2"/>
                <w:lang w:eastAsia="zh-CN"/>
              </w:rPr>
              <w:t>路17号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99" w:hRule="atLeast"/>
        </w:trPr>
        <w:tc>
          <w:tcPr>
            <w:tcW w:w="1960" w:type="dxa"/>
          </w:tcPr>
          <w:p>
            <w:pPr>
              <w:spacing w:line="252" w:lineRule="auto"/>
              <w:rPr>
                <w:sz w:val="20"/>
                <w:lang w:eastAsia="zh-CN"/>
              </w:rPr>
            </w:pPr>
          </w:p>
          <w:p>
            <w:pPr>
              <w:spacing w:line="253" w:lineRule="auto"/>
              <w:rPr>
                <w:sz w:val="20"/>
                <w:lang w:eastAsia="zh-CN"/>
              </w:rPr>
            </w:pPr>
          </w:p>
          <w:p>
            <w:pPr>
              <w:spacing w:line="253" w:lineRule="auto"/>
              <w:rPr>
                <w:sz w:val="20"/>
                <w:lang w:eastAsia="zh-CN"/>
              </w:rPr>
            </w:pPr>
          </w:p>
          <w:p>
            <w:pPr>
              <w:spacing w:line="253" w:lineRule="auto"/>
              <w:rPr>
                <w:sz w:val="20"/>
                <w:lang w:eastAsia="zh-CN"/>
              </w:rPr>
            </w:pPr>
          </w:p>
          <w:p>
            <w:pPr>
              <w:pStyle w:val="6"/>
              <w:spacing w:before="91" w:line="220" w:lineRule="auto"/>
              <w:ind w:left="149"/>
            </w:pPr>
            <w:r>
              <w:rPr>
                <w:spacing w:val="-2"/>
              </w:rPr>
              <w:t>参与起草单位</w:t>
            </w:r>
          </w:p>
        </w:tc>
        <w:tc>
          <w:tcPr>
            <w:tcW w:w="7613" w:type="dxa"/>
          </w:tcPr>
          <w:p>
            <w:pPr>
              <w:pStyle w:val="6"/>
              <w:spacing w:before="289" w:line="219" w:lineRule="auto"/>
              <w:ind w:left="471"/>
              <w:rPr>
                <w:lang w:eastAsia="zh-CN"/>
              </w:rPr>
            </w:pPr>
            <w:r>
              <w:rPr>
                <w:spacing w:val="-1"/>
                <w:lang w:eastAsia="zh-CN"/>
              </w:rPr>
              <w:t>安徽医科大学第一附属医院、皖南医学院第一附属医院、蚌埠医学院第一附属医院、安徽医科大学第二附属医院、合肥市第一人民医院、安庆市立医院、六安市人民医院、铜陵市人民医院、铜陵市立医院、阜阳市人民医院、淮北市人民医院、阜南县人民医院、岳西县医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9573" w:type="dxa"/>
            <w:gridSpan w:val="2"/>
          </w:tcPr>
          <w:p>
            <w:pPr>
              <w:pStyle w:val="6"/>
              <w:spacing w:before="174" w:line="220" w:lineRule="auto"/>
              <w:ind w:left="4234"/>
            </w:pPr>
            <w:r>
              <w:rPr>
                <w:spacing w:val="-2"/>
                <w14:textOutline w14:w="5092" w14:cap="flat" w14:cmpd="sng" w14:algn="ctr">
                  <w14:solidFill>
                    <w14:srgbClr w14:val="000000"/>
                  </w14:solidFill>
                  <w14:prstDash w14:val="solid"/>
                  <w14:miter w14:val="0"/>
                </w14:textOutline>
              </w:rPr>
              <w:t>编制情况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9573" w:type="dxa"/>
            <w:gridSpan w:val="2"/>
          </w:tcPr>
          <w:p>
            <w:pPr>
              <w:pStyle w:val="6"/>
              <w:spacing w:before="175" w:line="219" w:lineRule="auto"/>
              <w:ind w:left="139"/>
            </w:pPr>
            <w:r>
              <w:rPr>
                <w:spacing w:val="-5"/>
              </w:rPr>
              <w:t>1、编制过程简介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6" w:hRule="atLeast"/>
        </w:trPr>
        <w:tc>
          <w:tcPr>
            <w:tcW w:w="9573" w:type="dxa"/>
            <w:gridSpan w:val="2"/>
          </w:tcPr>
          <w:p>
            <w:pPr>
              <w:pStyle w:val="6"/>
              <w:spacing w:before="178" w:line="411" w:lineRule="auto"/>
              <w:ind w:right="105" w:firstLine="540" w:firstLineChars="200"/>
              <w:jc w:val="both"/>
              <w:rPr>
                <w:lang w:eastAsia="zh-CN"/>
              </w:rPr>
            </w:pPr>
            <w:r>
              <w:rPr>
                <w:spacing w:val="-5"/>
                <w:lang w:eastAsia="zh-CN"/>
                <w14:textOutline w14:w="5092" w14:cap="flat" w14:cmpd="sng" w14:algn="ctr">
                  <w14:solidFill>
                    <w14:srgbClr w14:val="000000"/>
                  </w14:solidFill>
                  <w14:prstDash w14:val="solid"/>
                  <w14:miter w14:val="0"/>
                </w14:textOutline>
              </w:rPr>
              <w:t>（1）成立标准编制小组。</w:t>
            </w:r>
            <w:r>
              <w:rPr>
                <w:spacing w:val="-5"/>
                <w:lang w:eastAsia="zh-CN"/>
              </w:rPr>
              <w:t xml:space="preserve"> 202</w:t>
            </w:r>
            <w:r>
              <w:rPr>
                <w:rFonts w:hint="eastAsia"/>
                <w:spacing w:val="-5"/>
                <w:lang w:eastAsia="zh-CN"/>
              </w:rPr>
              <w:t>3</w:t>
            </w:r>
            <w:r>
              <w:rPr>
                <w:spacing w:val="-5"/>
                <w:lang w:eastAsia="zh-CN"/>
              </w:rPr>
              <w:t>年9月</w:t>
            </w:r>
            <w:r>
              <w:rPr>
                <w:rFonts w:hint="eastAsia"/>
                <w:spacing w:val="-5"/>
                <w:lang w:eastAsia="zh-CN"/>
              </w:rPr>
              <w:t>12</w:t>
            </w:r>
            <w:r>
              <w:rPr>
                <w:spacing w:val="-5"/>
                <w:lang w:eastAsia="zh-CN"/>
              </w:rPr>
              <w:t>日，</w:t>
            </w:r>
            <w:bookmarkStart w:id="0" w:name="_GoBack"/>
            <w:bookmarkEnd w:id="0"/>
            <w:r>
              <w:rPr>
                <w:spacing w:val="-5"/>
                <w:lang w:eastAsia="zh-CN"/>
              </w:rPr>
              <w:t>安徽省市场监督管</w:t>
            </w:r>
            <w:r>
              <w:rPr>
                <w:spacing w:val="-6"/>
                <w:lang w:eastAsia="zh-CN"/>
              </w:rPr>
              <w:t>理局《安</w:t>
            </w:r>
            <w:r>
              <w:rPr>
                <w:spacing w:val="3"/>
                <w:lang w:eastAsia="zh-CN"/>
              </w:rPr>
              <w:t>徽省市场监督管理局关于下达</w:t>
            </w:r>
            <w:r>
              <w:rPr>
                <w:rFonts w:ascii="Times New Roman" w:hAnsi="Times New Roman" w:eastAsia="Times New Roman" w:cs="Times New Roman"/>
                <w:spacing w:val="3"/>
                <w:lang w:eastAsia="zh-CN"/>
              </w:rPr>
              <w:t>202</w:t>
            </w:r>
            <w:r>
              <w:rPr>
                <w:rFonts w:hint="eastAsia" w:ascii="Times New Roman" w:hAnsi="Times New Roman" w:cs="Times New Roman"/>
                <w:spacing w:val="3"/>
                <w:lang w:eastAsia="zh-CN"/>
              </w:rPr>
              <w:t>3</w:t>
            </w:r>
            <w:r>
              <w:rPr>
                <w:spacing w:val="3"/>
                <w:lang w:eastAsia="zh-CN"/>
              </w:rPr>
              <w:t>年第二批安徽省地方标准制修订计</w:t>
            </w:r>
            <w:r>
              <w:rPr>
                <w:spacing w:val="2"/>
                <w:lang w:eastAsia="zh-CN"/>
              </w:rPr>
              <w:t>划的通</w:t>
            </w:r>
            <w:r>
              <w:rPr>
                <w:lang w:eastAsia="zh-CN"/>
              </w:rPr>
              <w:t xml:space="preserve"> </w:t>
            </w:r>
            <w:r>
              <w:rPr>
                <w:spacing w:val="-3"/>
                <w:lang w:eastAsia="zh-CN"/>
              </w:rPr>
              <w:t>知》（皖市监函</w:t>
            </w:r>
            <w:r>
              <w:rPr>
                <w:rFonts w:ascii="Times New Roman" w:hAnsi="Times New Roman" w:eastAsia="Times New Roman" w:cs="Times New Roman"/>
                <w:spacing w:val="-3"/>
                <w:lang w:eastAsia="zh-CN"/>
              </w:rPr>
              <w:t>[202</w:t>
            </w:r>
            <w:r>
              <w:rPr>
                <w:rFonts w:hint="eastAsia" w:ascii="Times New Roman" w:hAnsi="Times New Roman" w:cs="Times New Roman"/>
                <w:spacing w:val="-3"/>
                <w:lang w:eastAsia="zh-CN"/>
              </w:rPr>
              <w:t>3</w:t>
            </w:r>
            <w:r>
              <w:rPr>
                <w:rFonts w:ascii="Times New Roman" w:hAnsi="Times New Roman" w:eastAsia="Times New Roman" w:cs="Times New Roman"/>
                <w:spacing w:val="-3"/>
                <w:lang w:eastAsia="zh-CN"/>
              </w:rPr>
              <w:t xml:space="preserve">] </w:t>
            </w:r>
            <w:r>
              <w:rPr>
                <w:rFonts w:hint="eastAsia" w:ascii="Times New Roman" w:hAnsi="Times New Roman" w:cs="Times New Roman"/>
                <w:spacing w:val="-3"/>
                <w:lang w:eastAsia="zh-CN"/>
              </w:rPr>
              <w:t>478</w:t>
            </w:r>
            <w:r>
              <w:rPr>
                <w:spacing w:val="-3"/>
                <w:lang w:eastAsia="zh-CN"/>
              </w:rPr>
              <w:t>号）</w:t>
            </w:r>
            <w:r>
              <w:rPr>
                <w:spacing w:val="-38"/>
                <w:lang w:eastAsia="zh-CN"/>
              </w:rPr>
              <w:t xml:space="preserve"> </w:t>
            </w:r>
            <w:r>
              <w:rPr>
                <w:spacing w:val="-3"/>
                <w:lang w:eastAsia="zh-CN"/>
              </w:rPr>
              <w:t>下达了《</w:t>
            </w:r>
            <w:r>
              <w:rPr>
                <w:spacing w:val="-1"/>
                <w:lang w:eastAsia="zh-CN"/>
              </w:rPr>
              <w:t>医疗机构活体组织</w:t>
            </w:r>
            <w:r>
              <w:rPr>
                <w:rFonts w:hint="eastAsia"/>
                <w:spacing w:val="-1"/>
                <w:lang w:eastAsia="zh-CN"/>
              </w:rPr>
              <w:t>病理</w:t>
            </w:r>
            <w:r>
              <w:rPr>
                <w:spacing w:val="-1"/>
                <w:lang w:eastAsia="zh-CN"/>
              </w:rPr>
              <w:t>标本分析前阶段管理规范</w:t>
            </w:r>
            <w:r>
              <w:rPr>
                <w:spacing w:val="-3"/>
                <w:lang w:eastAsia="zh-CN"/>
              </w:rPr>
              <w:t>》安徽省</w:t>
            </w:r>
            <w:r>
              <w:rPr>
                <w:spacing w:val="-1"/>
                <w:lang w:eastAsia="zh-CN"/>
              </w:rPr>
              <w:t>地方标准编制计划。任务下单后， 起草单位成立了标准编制</w:t>
            </w:r>
            <w:r>
              <w:rPr>
                <w:spacing w:val="-2"/>
                <w:lang w:eastAsia="zh-CN"/>
              </w:rPr>
              <w:t>小组，明确了参</w:t>
            </w:r>
            <w:r>
              <w:rPr>
                <w:spacing w:val="3"/>
                <w:lang w:eastAsia="zh-CN"/>
              </w:rPr>
              <w:t>与单位及人员的工作任务和职责分工。组织召开了编制小组会议，介绍了任</w:t>
            </w:r>
            <w:r>
              <w:rPr>
                <w:spacing w:val="-1"/>
                <w:lang w:eastAsia="zh-CN"/>
              </w:rPr>
              <w:t>务来源、目的意义，讨论了标准制定的总体思路、基本框架和前期草案等。</w:t>
            </w:r>
          </w:p>
          <w:p>
            <w:pPr>
              <w:pStyle w:val="6"/>
              <w:spacing w:before="177" w:line="411" w:lineRule="auto"/>
              <w:ind w:right="108" w:firstLine="532" w:firstLineChars="200"/>
              <w:jc w:val="both"/>
              <w:rPr>
                <w:spacing w:val="-11"/>
                <w:lang w:eastAsia="zh-CN"/>
              </w:rPr>
            </w:pPr>
            <w:r>
              <w:rPr>
                <w:spacing w:val="-7"/>
                <w:lang w:eastAsia="zh-CN"/>
                <w14:textOutline w14:w="5092" w14:cap="flat" w14:cmpd="sng" w14:algn="ctr">
                  <w14:solidFill>
                    <w14:srgbClr w14:val="000000"/>
                  </w14:solidFill>
                  <w14:prstDash w14:val="solid"/>
                  <w14:miter w14:val="0"/>
                </w14:textOutline>
              </w:rPr>
              <w:t>（2）形成标准征求意见稿。</w:t>
            </w:r>
            <w:r>
              <w:rPr>
                <w:spacing w:val="-7"/>
                <w:lang w:eastAsia="zh-CN"/>
              </w:rPr>
              <w:t>编制小组通过收集智慧中药房相关文献资料、</w:t>
            </w:r>
            <w:r>
              <w:rPr>
                <w:spacing w:val="3"/>
                <w:lang w:eastAsia="zh-CN"/>
              </w:rPr>
              <w:t>组织编制小组研讨、征询专家意见、前往多家中医医院进行调研等方</w:t>
            </w:r>
            <w:r>
              <w:rPr>
                <w:spacing w:val="2"/>
                <w:lang w:eastAsia="zh-CN"/>
              </w:rPr>
              <w:t>式，在</w:t>
            </w:r>
            <w:r>
              <w:rPr>
                <w:spacing w:val="-1"/>
                <w:lang w:eastAsia="zh-CN"/>
              </w:rPr>
              <w:t>原有标准框架及标准草案的基础上，对标准草案</w:t>
            </w:r>
            <w:r>
              <w:rPr>
                <w:spacing w:val="-2"/>
                <w:lang w:eastAsia="zh-CN"/>
              </w:rPr>
              <w:t>稿修改完善， 形成标准征求</w:t>
            </w:r>
            <w:r>
              <w:rPr>
                <w:spacing w:val="-11"/>
                <w:lang w:eastAsia="zh-CN"/>
              </w:rPr>
              <w:t>意见稿。</w:t>
            </w:r>
          </w:p>
          <w:p>
            <w:pPr>
              <w:pStyle w:val="6"/>
              <w:spacing w:before="177" w:line="411" w:lineRule="auto"/>
              <w:ind w:right="108" w:firstLine="524" w:firstLineChars="200"/>
              <w:jc w:val="both"/>
              <w:rPr>
                <w:spacing w:val="-14"/>
                <w:highlight w:val="none"/>
                <w:lang w:eastAsia="zh-CN"/>
              </w:rPr>
            </w:pPr>
            <w:r>
              <w:rPr>
                <w:spacing w:val="-9"/>
                <w:highlight w:val="none"/>
                <w:lang w:eastAsia="zh-CN"/>
                <w14:textOutline w14:w="5092" w14:cap="flat" w14:cmpd="sng" w14:algn="ctr">
                  <w14:solidFill>
                    <w14:srgbClr w14:val="000000"/>
                  </w14:solidFill>
                  <w14:prstDash w14:val="solid"/>
                  <w14:miter w14:val="0"/>
                </w14:textOutline>
              </w:rPr>
              <w:t>（3）标准征求意见情况。</w:t>
            </w:r>
            <w:r>
              <w:rPr>
                <w:spacing w:val="73"/>
                <w:highlight w:val="none"/>
                <w:lang w:eastAsia="zh-CN"/>
              </w:rPr>
              <w:t xml:space="preserve"> </w:t>
            </w:r>
            <w:r>
              <w:rPr>
                <w:spacing w:val="-9"/>
                <w:highlight w:val="none"/>
                <w:lang w:eastAsia="zh-CN"/>
              </w:rPr>
              <w:t>202</w:t>
            </w:r>
            <w:r>
              <w:rPr>
                <w:rFonts w:hint="eastAsia"/>
                <w:spacing w:val="-9"/>
                <w:highlight w:val="none"/>
                <w:lang w:val="en-US" w:eastAsia="zh-CN"/>
              </w:rPr>
              <w:t>3</w:t>
            </w:r>
            <w:r>
              <w:rPr>
                <w:spacing w:val="-9"/>
                <w:highlight w:val="none"/>
                <w:lang w:eastAsia="zh-CN"/>
              </w:rPr>
              <w:t>年</w:t>
            </w:r>
            <w:r>
              <w:rPr>
                <w:spacing w:val="-56"/>
                <w:highlight w:val="none"/>
                <w:lang w:eastAsia="zh-CN"/>
              </w:rPr>
              <w:t xml:space="preserve"> </w:t>
            </w:r>
            <w:r>
              <w:rPr>
                <w:rFonts w:hint="eastAsia"/>
                <w:spacing w:val="-9"/>
                <w:highlight w:val="none"/>
                <w:lang w:val="en-US" w:eastAsia="zh-CN"/>
              </w:rPr>
              <w:t>9</w:t>
            </w:r>
            <w:r>
              <w:rPr>
                <w:spacing w:val="-9"/>
                <w:highlight w:val="none"/>
                <w:lang w:eastAsia="zh-CN"/>
              </w:rPr>
              <w:t>月，由编制小组牵头负责通过网站、</w:t>
            </w:r>
            <w:r>
              <w:rPr>
                <w:highlight w:val="none"/>
                <w:lang w:eastAsia="zh-CN"/>
              </w:rPr>
              <w:t xml:space="preserve"> </w:t>
            </w:r>
            <w:r>
              <w:rPr>
                <w:spacing w:val="-6"/>
                <w:highlight w:val="none"/>
                <w:lang w:eastAsia="zh-CN"/>
              </w:rPr>
              <w:t>会议等方式公开征求意见</w:t>
            </w:r>
            <w:r>
              <w:rPr>
                <w:rFonts w:hint="eastAsia"/>
                <w:spacing w:val="-6"/>
                <w:highlight w:val="none"/>
                <w:lang w:eastAsia="zh-CN"/>
              </w:rPr>
              <w:t>，</w:t>
            </w:r>
            <w:r>
              <w:rPr>
                <w:spacing w:val="-6"/>
                <w:highlight w:val="none"/>
                <w:lang w:eastAsia="zh-CN"/>
              </w:rPr>
              <w:t>共</w:t>
            </w:r>
            <w:r>
              <w:rPr>
                <w:color w:val="000000" w:themeColor="text1"/>
                <w:spacing w:val="-6"/>
                <w:highlight w:val="none"/>
                <w:lang w:eastAsia="zh-CN"/>
                <w14:textFill>
                  <w14:solidFill>
                    <w14:schemeClr w14:val="tx1"/>
                  </w14:solidFill>
                </w14:textFill>
              </w:rPr>
              <w:t>向</w:t>
            </w:r>
            <w:r>
              <w:rPr>
                <w:color w:val="000000" w:themeColor="text1"/>
                <w:spacing w:val="-48"/>
                <w:highlight w:val="none"/>
                <w:lang w:eastAsia="zh-CN"/>
                <w14:textFill>
                  <w14:solidFill>
                    <w14:schemeClr w14:val="tx1"/>
                  </w14:solidFill>
                </w14:textFill>
              </w:rPr>
              <w:t xml:space="preserve"> </w:t>
            </w:r>
            <w:r>
              <w:rPr>
                <w:color w:val="000000" w:themeColor="text1"/>
                <w:spacing w:val="-6"/>
                <w:highlight w:val="none"/>
                <w:lang w:eastAsia="zh-CN"/>
                <w14:textFill>
                  <w14:solidFill>
                    <w14:schemeClr w14:val="tx1"/>
                  </w14:solidFill>
                </w14:textFill>
              </w:rPr>
              <w:t>2</w:t>
            </w:r>
            <w:r>
              <w:rPr>
                <w:rFonts w:hint="eastAsia"/>
                <w:color w:val="000000" w:themeColor="text1"/>
                <w:spacing w:val="-6"/>
                <w:highlight w:val="none"/>
                <w:lang w:val="en-US" w:eastAsia="zh-CN"/>
                <w14:textFill>
                  <w14:solidFill>
                    <w14:schemeClr w14:val="tx1"/>
                  </w14:solidFill>
                </w14:textFill>
              </w:rPr>
              <w:t>8</w:t>
            </w:r>
            <w:r>
              <w:rPr>
                <w:color w:val="000000" w:themeColor="text1"/>
                <w:spacing w:val="-6"/>
                <w:highlight w:val="none"/>
                <w:lang w:eastAsia="zh-CN"/>
                <w14:textFill>
                  <w14:solidFill>
                    <w14:schemeClr w14:val="tx1"/>
                  </w14:solidFill>
                </w14:textFill>
              </w:rPr>
              <w:t>个有关行业单位、及</w:t>
            </w:r>
            <w:r>
              <w:rPr>
                <w:spacing w:val="-5"/>
                <w:highlight w:val="none"/>
                <w:lang w:eastAsia="zh-CN"/>
              </w:rPr>
              <w:t>有代表性的标准利益方发函征求意见。截止</w:t>
            </w:r>
            <w:r>
              <w:rPr>
                <w:spacing w:val="-56"/>
                <w:highlight w:val="none"/>
                <w:lang w:eastAsia="zh-CN"/>
              </w:rPr>
              <w:t xml:space="preserve"> </w:t>
            </w:r>
            <w:r>
              <w:rPr>
                <w:spacing w:val="-5"/>
                <w:highlight w:val="none"/>
                <w:lang w:eastAsia="zh-CN"/>
              </w:rPr>
              <w:t>202</w:t>
            </w:r>
            <w:r>
              <w:rPr>
                <w:rFonts w:hint="eastAsia"/>
                <w:spacing w:val="-5"/>
                <w:highlight w:val="none"/>
                <w:lang w:val="en-US" w:eastAsia="zh-CN"/>
              </w:rPr>
              <w:t>4</w:t>
            </w:r>
            <w:r>
              <w:rPr>
                <w:spacing w:val="-5"/>
                <w:highlight w:val="none"/>
                <w:lang w:eastAsia="zh-CN"/>
              </w:rPr>
              <w:t>年</w:t>
            </w:r>
            <w:r>
              <w:rPr>
                <w:spacing w:val="-55"/>
                <w:highlight w:val="none"/>
                <w:lang w:eastAsia="zh-CN"/>
              </w:rPr>
              <w:t xml:space="preserve"> </w:t>
            </w:r>
            <w:r>
              <w:rPr>
                <w:rFonts w:hint="eastAsia"/>
                <w:spacing w:val="-55"/>
                <w:highlight w:val="none"/>
                <w:lang w:val="en-US" w:eastAsia="zh-CN"/>
              </w:rPr>
              <w:t>5</w:t>
            </w:r>
            <w:r>
              <w:rPr>
                <w:spacing w:val="-5"/>
                <w:highlight w:val="none"/>
                <w:lang w:eastAsia="zh-CN"/>
              </w:rPr>
              <w:t>月，征求意见共收到</w:t>
            </w:r>
            <w:r>
              <w:rPr>
                <w:spacing w:val="-41"/>
                <w:highlight w:val="none"/>
                <w:lang w:eastAsia="zh-CN"/>
              </w:rPr>
              <w:t xml:space="preserve"> </w:t>
            </w:r>
            <w:r>
              <w:rPr>
                <w:spacing w:val="-5"/>
                <w:highlight w:val="none"/>
                <w:lang w:eastAsia="zh-CN"/>
              </w:rPr>
              <w:t>1</w:t>
            </w:r>
            <w:r>
              <w:rPr>
                <w:rFonts w:hint="eastAsia"/>
                <w:spacing w:val="-5"/>
                <w:highlight w:val="none"/>
                <w:lang w:val="en-US" w:eastAsia="zh-CN"/>
              </w:rPr>
              <w:t>5</w:t>
            </w:r>
            <w:r>
              <w:rPr>
                <w:spacing w:val="-14"/>
                <w:highlight w:val="none"/>
                <w:lang w:eastAsia="zh-CN"/>
              </w:rPr>
              <w:t>家单位</w:t>
            </w:r>
            <w:r>
              <w:rPr>
                <w:spacing w:val="-52"/>
                <w:highlight w:val="none"/>
                <w:lang w:eastAsia="zh-CN"/>
              </w:rPr>
              <w:t xml:space="preserve"> </w:t>
            </w:r>
            <w:r>
              <w:rPr>
                <w:rFonts w:hint="eastAsia"/>
                <w:spacing w:val="-14"/>
                <w:highlight w:val="none"/>
                <w:lang w:val="en-US" w:eastAsia="zh-CN"/>
              </w:rPr>
              <w:t>53</w:t>
            </w:r>
            <w:r>
              <w:rPr>
                <w:spacing w:val="-56"/>
                <w:highlight w:val="none"/>
                <w:lang w:eastAsia="zh-CN"/>
              </w:rPr>
              <w:t xml:space="preserve"> </w:t>
            </w:r>
            <w:r>
              <w:rPr>
                <w:spacing w:val="-14"/>
                <w:highlight w:val="none"/>
                <w:lang w:eastAsia="zh-CN"/>
              </w:rPr>
              <w:t>条意见， 最终</w:t>
            </w:r>
            <w:r>
              <w:rPr>
                <w:spacing w:val="-54"/>
                <w:highlight w:val="none"/>
                <w:lang w:eastAsia="zh-CN"/>
              </w:rPr>
              <w:t xml:space="preserve"> </w:t>
            </w:r>
            <w:r>
              <w:rPr>
                <w:rFonts w:hint="eastAsia"/>
                <w:spacing w:val="-14"/>
                <w:highlight w:val="none"/>
                <w:lang w:val="en-US" w:eastAsia="zh-CN"/>
              </w:rPr>
              <w:t>43</w:t>
            </w:r>
            <w:r>
              <w:rPr>
                <w:spacing w:val="-14"/>
                <w:highlight w:val="none"/>
                <w:lang w:eastAsia="zh-CN"/>
              </w:rPr>
              <w:t>条采纳，</w:t>
            </w:r>
            <w:r>
              <w:rPr>
                <w:rFonts w:hint="eastAsia"/>
                <w:spacing w:val="-14"/>
                <w:highlight w:val="none"/>
                <w:lang w:val="en-US" w:eastAsia="zh-CN"/>
              </w:rPr>
              <w:t>10</w:t>
            </w:r>
            <w:r>
              <w:rPr>
                <w:spacing w:val="-58"/>
                <w:highlight w:val="none"/>
                <w:lang w:eastAsia="zh-CN"/>
              </w:rPr>
              <w:t xml:space="preserve"> </w:t>
            </w:r>
            <w:r>
              <w:rPr>
                <w:spacing w:val="-14"/>
                <w:highlight w:val="none"/>
                <w:lang w:eastAsia="zh-CN"/>
              </w:rPr>
              <w:t>条未采纳。</w:t>
            </w:r>
          </w:p>
          <w:p>
            <w:pPr>
              <w:pStyle w:val="6"/>
              <w:spacing w:before="177" w:line="411" w:lineRule="auto"/>
              <w:ind w:right="108"/>
              <w:jc w:val="both"/>
              <w:rPr>
                <w:rFonts w:hint="eastAsia"/>
                <w:spacing w:val="-14"/>
                <w:highlight w:val="green"/>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9573" w:type="dxa"/>
            <w:gridSpan w:val="2"/>
          </w:tcPr>
          <w:p>
            <w:pPr>
              <w:pStyle w:val="6"/>
              <w:spacing w:before="178" w:line="411" w:lineRule="auto"/>
              <w:ind w:right="105" w:firstLine="276" w:firstLineChars="100"/>
              <w:jc w:val="both"/>
              <w:rPr>
                <w:spacing w:val="-5"/>
                <w:lang w:eastAsia="zh-CN"/>
                <w14:textOutline w14:w="5092" w14:cap="flat" w14:cmpd="sng" w14:algn="ctr">
                  <w14:solidFill>
                    <w14:srgbClr w14:val="000000"/>
                  </w14:solidFill>
                  <w14:prstDash w14:val="solid"/>
                  <w14:miter w14:val="0"/>
                </w14:textOutline>
              </w:rPr>
            </w:pPr>
            <w:r>
              <w:rPr>
                <w:spacing w:val="-2"/>
                <w:lang w:eastAsia="zh-CN"/>
              </w:rPr>
              <w:t>2、制定标准的必要性和意义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9573" w:type="dxa"/>
            <w:gridSpan w:val="2"/>
          </w:tcPr>
          <w:p>
            <w:pPr>
              <w:pStyle w:val="6"/>
              <w:spacing w:before="173" w:line="221" w:lineRule="auto"/>
              <w:ind w:firstLine="556" w:firstLineChars="200"/>
              <w:rPr>
                <w:lang w:eastAsia="zh-CN"/>
              </w:rPr>
            </w:pPr>
            <w:r>
              <w:rPr>
                <w:spacing w:val="-1"/>
                <w:lang w:eastAsia="zh-CN"/>
                <w14:textOutline w14:w="5092" w14:cap="flat" w14:cmpd="sng" w14:algn="ctr">
                  <w14:solidFill>
                    <w14:srgbClr w14:val="000000"/>
                  </w14:solidFill>
                  <w14:prstDash w14:val="solid"/>
                  <w14:miter w14:val="0"/>
                </w14:textOutline>
              </w:rPr>
              <w:t>（1）制定该标准的必要性</w:t>
            </w:r>
          </w:p>
          <w:p>
            <w:pPr>
              <w:pStyle w:val="6"/>
              <w:spacing w:before="292" w:line="411" w:lineRule="auto"/>
              <w:ind w:left="123" w:right="106" w:firstLine="568" w:firstLineChars="200"/>
              <w:rPr>
                <w:spacing w:val="2"/>
                <w:lang w:eastAsia="zh-CN"/>
              </w:rPr>
            </w:pPr>
            <w:r>
              <w:rPr>
                <w:rFonts w:hint="eastAsia"/>
                <w:spacing w:val="2"/>
                <w:lang w:eastAsia="zh-CN"/>
              </w:rPr>
              <w:t>《国家卫生健康委关于印发“十四五”卫生健康标准化工作规划的通知》（国卫发〔2022〕2号）提出：“以习近平新时代中国特色社会主义思想为指导，深入贯彻落实《标准化法》和习近平总书记关于标准化工作一系列重要论述，以推动卫生健康事业高质量发展为主题，以满足人民群众日益增长的健康需要为目的，推动标准化战略与卫生健康事业深度融合，优化卫生健康标准体系。”同时，在“标准化重点领域”提出：“（十）以标准化助力构建强大公共卫生体系，研究建立应急标准体系，以标准化提高应对突发公共卫生事件的能力和水平。研究大型公共建筑设施平疫结合改造标准化接口和标准化流程。”</w:t>
            </w:r>
          </w:p>
          <w:p>
            <w:pPr>
              <w:pStyle w:val="6"/>
              <w:spacing w:before="178" w:line="411" w:lineRule="auto"/>
              <w:ind w:right="105" w:firstLine="568" w:firstLineChars="200"/>
              <w:jc w:val="both"/>
              <w:rPr>
                <w:spacing w:val="2"/>
                <w:lang w:eastAsia="zh-CN"/>
              </w:rPr>
            </w:pPr>
            <w:r>
              <w:rPr>
                <w:rFonts w:hint="eastAsia"/>
                <w:spacing w:val="2"/>
                <w:lang w:eastAsia="zh-CN"/>
              </w:rPr>
              <w:t>《中共安徽省委安徽省人民政府印发&lt;关于全面推进标准化发展的实施意见&gt;的通知》（皖发(2022) 10号）进一步明确了安徽省标准化工作的发展目标：“到2025年，基本建成推动安徽高质量发展的标准体系，标准化工作总体水平进入全国前列，标准化更加有效推动安徽综合实力跃升，在建设现代化美好安徽、服务构建新发展格局中发挥更大作用。到2035年，标准体系更加健全，统一管理、分工负责、协调有效的标准化管理体制更加完善，市场驱动、政府引导、企业为主、社会参与、开放融合的标准化工作格局全面形成，标准化工作总体水平达到全国领先。《实施意见》提出，”加强“平安安徽”标准化建设，坚持人民至上、生命至上，实施公共安全标准化筑底工程，推进社会事业标准化建设。</w:t>
            </w:r>
          </w:p>
          <w:p>
            <w:pPr>
              <w:pStyle w:val="6"/>
              <w:spacing w:before="292" w:line="411" w:lineRule="auto"/>
              <w:ind w:left="123" w:right="106" w:firstLine="582"/>
              <w:rPr>
                <w:spacing w:val="2"/>
                <w:lang w:eastAsia="zh-CN"/>
              </w:rPr>
            </w:pPr>
            <w:r>
              <w:rPr>
                <w:rFonts w:hint="eastAsia"/>
                <w:spacing w:val="2"/>
                <w:lang w:eastAsia="zh-CN"/>
              </w:rPr>
              <w:t>另外，《安徽省卫生健康委“十四五”卫生健康标准化工作规划(征求意见稿)》指出“十四五”时期，我省卫生健康标准化工作需全面推进健康安徽建设。需要充分发挥标准的引领、规范、支撑、保障、联通作用，以严标准守住安全底线，以高标准提升质量水平，为人民群众提供全方位全周期健康服务。坚持以卫生健康工作为重点，进一步修改完善卫生健康标准；以质量为核心，坚持提高制定效率；坚持标准制定和实施同步发展，形成标准化管理，按照标准做事的意识形态和行为规范；坚持包容开放，充分调动参与卫生健康事业公众的积极性，以卫生健康标准推进卫生健康事业的发展。</w:t>
            </w:r>
          </w:p>
          <w:p>
            <w:pPr>
              <w:pStyle w:val="6"/>
              <w:spacing w:before="292" w:line="411" w:lineRule="auto"/>
              <w:ind w:left="123" w:right="106" w:firstLine="582"/>
              <w:rPr>
                <w:spacing w:val="2"/>
                <w:lang w:eastAsia="zh-CN"/>
              </w:rPr>
            </w:pPr>
            <w:r>
              <w:rPr>
                <w:rFonts w:hint="eastAsia"/>
                <w:spacing w:val="2"/>
                <w:lang w:eastAsia="zh-CN"/>
              </w:rPr>
              <w:t>国家卫生健康委、国家中医药管理局联合印发《全面提升医疗质量行动计划（2023-2025年）》（以下简称《行动计划》），从基础质量安全管理、关键环节和行为管理、质量安全管理体系建设等维度提出了28项具体措施和5个专项行动。《行动计划》明确行动目标，强化关键环节和行为管理，提高过程质量。利用3年时间，在全行业进一步树立质量安全意识，完善质量安全管理体系和管理机制，进一步健全政府监管、机构自治、行业参与、社会监督的医疗质量安全管理多元共治机制，进一步巩固基础医疗质量安全管理，提升医疗质量安全管理精细化、科学化、规范化程度，进一步优化医疗资源配置和服务均衡性，提升重大疾病诊疗能力和医疗质量安全水平，持续改善人民群众对医疗服务的满意度。</w:t>
            </w:r>
          </w:p>
          <w:p>
            <w:pPr>
              <w:pStyle w:val="6"/>
              <w:spacing w:before="292" w:line="411" w:lineRule="auto"/>
              <w:ind w:left="123" w:right="106" w:firstLine="582"/>
              <w:rPr>
                <w:spacing w:val="2"/>
                <w:lang w:eastAsia="zh-CN"/>
              </w:rPr>
            </w:pPr>
            <w:r>
              <w:rPr>
                <w:rFonts w:hint="eastAsia"/>
                <w:spacing w:val="2"/>
                <w:lang w:eastAsia="zh-CN"/>
              </w:rPr>
              <w:t>活体组织病理诊断一直是疾病诊断的“金标准”，是医生对患者的疾病进行诊断、制定治疗计划的依据。标本的管理质量直接影响病理诊断和临床诊断,若管理不当会给患者带来严重的后果。医疗机构活体组织病理具有以下特点：一是活体标本种类多、数量大。临床上活检的种类有很多种，对应不同的病理标本种类，像穿刺活检标本，切除或截取的活检标本、内窥镜下的活检标本、手术活检标本等。尤其对于综合性医疗机构，门急诊及住院就诊人数多，客观上形成了数量巨大的活体组织标本。二是标本管理步骤多。病理标本管理的常规流程包括标本识别、标记、收集、处理、转运、保存和运输。为减少和防止错误的发生，必须保证具体到每个流程的规范化管理。三是流程涉及人员杂。流程中涉及的人员包括手术医生，护士、转运人员、病理医生等等。如何正确地收集和处理标本以保持标本的完整性对标本处理流程中涉及到的相关人员也提出了更高的要求。因此，在病理处理的过程中，如果病理标本的采集、处理不规范，流程执行不到位，参与人员病理标本防护意识薄弱，都会增加标本丢失或损坏的风险，甚至严重影响到病人的诊断及治疗。</w:t>
            </w:r>
          </w:p>
          <w:p>
            <w:pPr>
              <w:pStyle w:val="6"/>
              <w:spacing w:before="292" w:line="411" w:lineRule="auto"/>
              <w:ind w:left="123" w:right="106" w:firstLine="582"/>
              <w:rPr>
                <w:spacing w:val="2"/>
                <w:lang w:eastAsia="zh-CN"/>
              </w:rPr>
            </w:pPr>
            <w:r>
              <w:rPr>
                <w:rFonts w:hint="eastAsia"/>
                <w:spacing w:val="2"/>
                <w:lang w:eastAsia="zh-CN"/>
              </w:rPr>
              <w:t>活体组织病理诊断一直是外科疾病诊断的“金标准”，是医生对患者的疾病进行诊断、制定治疗计划的依据。标本的管理质量直接影响病理诊断和临床诊断,若管理不当会给患者带来严重的后果。医疗机构活体组织病理标本需管理规范、形成易执行、同质化的标准。标准化可以帮助我们在第一时间，最为全面、迅速、有效、有条不紊的开展工作，保障病理标本处理的高效、安全，以及突发情况下将损失降到最低。在手术和其他侵入性操作中，标本管理可能会出现各种错误。研究人员根据标本管理过程的三个阶段对手术标本错误进行分类：分析前阶段（即标本从采集到被运送到病理科前的时间）、分析阶段（即病理科人员接收标本到分析的时间）和分析后阶段（即标本分析到报告结果的时间）。大多数手术标本错误发生在分析前阶段。国外相关调查显示发生在分析前阶段的标本相关错误率在45%至71%之间，而国内文献报道87%的病理相关不良事件是由于分析前阶段的错误造成的。因此，立足现状提出《医疗机构活体组织病理标本分析前阶段管理规范》，对医疗机构活体组织病理标本分析前阶段管理进行同质化管理，以期对</w:t>
            </w:r>
            <w:r>
              <w:rPr>
                <w:spacing w:val="3"/>
                <w:lang w:eastAsia="zh-CN"/>
              </w:rPr>
              <w:t>安徽省</w:t>
            </w:r>
            <w:r>
              <w:rPr>
                <w:spacing w:val="-1"/>
                <w:lang w:eastAsia="zh-CN"/>
              </w:rPr>
              <w:t>医疗机构活体组织</w:t>
            </w:r>
            <w:r>
              <w:rPr>
                <w:rFonts w:hint="eastAsia"/>
                <w:spacing w:val="-1"/>
                <w:lang w:eastAsia="zh-CN"/>
              </w:rPr>
              <w:t>病理</w:t>
            </w:r>
            <w:r>
              <w:rPr>
                <w:spacing w:val="-1"/>
                <w:lang w:eastAsia="zh-CN"/>
              </w:rPr>
              <w:t>标本</w:t>
            </w:r>
            <w:r>
              <w:rPr>
                <w:spacing w:val="3"/>
                <w:lang w:eastAsia="zh-CN"/>
              </w:rPr>
              <w:t>的</w:t>
            </w:r>
            <w:r>
              <w:rPr>
                <w:rFonts w:hint="eastAsia"/>
                <w:spacing w:val="3"/>
                <w:lang w:eastAsia="zh-CN"/>
              </w:rPr>
              <w:t>规范化</w:t>
            </w:r>
            <w:r>
              <w:rPr>
                <w:spacing w:val="3"/>
                <w:lang w:eastAsia="zh-CN"/>
              </w:rPr>
              <w:t>发展起到</w:t>
            </w:r>
            <w:r>
              <w:rPr>
                <w:spacing w:val="2"/>
                <w:lang w:eastAsia="zh-CN"/>
              </w:rPr>
              <w:t>积极推动作用</w:t>
            </w:r>
            <w:r>
              <w:rPr>
                <w:rFonts w:hint="eastAsia"/>
                <w:spacing w:val="2"/>
                <w:lang w:eastAsia="zh-CN"/>
              </w:rPr>
              <w:t>。</w:t>
            </w:r>
          </w:p>
          <w:p>
            <w:pPr>
              <w:pStyle w:val="6"/>
              <w:spacing w:before="290" w:line="221" w:lineRule="auto"/>
              <w:ind w:firstLine="552" w:firstLineChars="200"/>
              <w:rPr>
                <w:lang w:eastAsia="zh-CN"/>
              </w:rPr>
            </w:pPr>
            <w:r>
              <w:rPr>
                <w:spacing w:val="-2"/>
                <w:lang w:eastAsia="zh-CN"/>
                <w14:textOutline w14:w="5092" w14:cap="flat" w14:cmpd="sng" w14:algn="ctr">
                  <w14:solidFill>
                    <w14:srgbClr w14:val="000000"/>
                  </w14:solidFill>
                  <w14:prstDash w14:val="solid"/>
                  <w14:miter w14:val="0"/>
                </w14:textOutline>
              </w:rPr>
              <w:t>（2）制定该标准的意义</w:t>
            </w:r>
          </w:p>
          <w:p>
            <w:pPr>
              <w:pStyle w:val="6"/>
              <w:spacing w:before="178" w:line="411" w:lineRule="auto"/>
              <w:ind w:right="105" w:firstLine="556" w:firstLineChars="200"/>
              <w:jc w:val="both"/>
              <w:rPr>
                <w:rFonts w:hint="eastAsia"/>
                <w:spacing w:val="-2"/>
                <w:lang w:eastAsia="zh-CN"/>
              </w:rPr>
            </w:pPr>
            <w:r>
              <w:rPr>
                <w:spacing w:val="-1"/>
                <w:lang w:eastAsia="zh-CN"/>
              </w:rPr>
              <w:t>通过此标准的制定，</w:t>
            </w:r>
            <w:r>
              <w:rPr>
                <w:rFonts w:hint="eastAsia"/>
                <w:spacing w:val="2"/>
                <w:lang w:eastAsia="zh-CN"/>
              </w:rPr>
              <w:t>我们可以进一步将医疗机构活体组织病理标本的管理聚焦到标本分析前阶段，以期通过《医疗机构活体组织病理标本分析前阶段管理规范》标准的制定，能够进一步规范和完善医疗机构活体组织病理标本分析前阶段的同质化管理，注重环节和细节管理，向病理标本分析前阶段各个环节精准发力，建立健全相关医疗机构的病理标本管理体系，以标准助推医疗机构针对病理标本分析前阶段相关管理措施的有力实施。发挥标准的支撑和保障作用，加强相关医疗机构标本管理向更专业化、规范化的方向发展，</w:t>
            </w:r>
            <w:r>
              <w:rPr>
                <w:spacing w:val="-3"/>
                <w:lang w:eastAsia="zh-CN"/>
              </w:rPr>
              <w:t>同时也填补了我省</w:t>
            </w:r>
            <w:r>
              <w:rPr>
                <w:spacing w:val="-1"/>
                <w:lang w:eastAsia="zh-CN"/>
              </w:rPr>
              <w:t>医疗机构活体组织</w:t>
            </w:r>
            <w:r>
              <w:rPr>
                <w:rFonts w:hint="eastAsia"/>
                <w:spacing w:val="-1"/>
                <w:lang w:eastAsia="zh-CN"/>
              </w:rPr>
              <w:t>病理</w:t>
            </w:r>
            <w:r>
              <w:rPr>
                <w:spacing w:val="-1"/>
                <w:lang w:eastAsia="zh-CN"/>
              </w:rPr>
              <w:t>标本分析前阶段管理</w:t>
            </w:r>
            <w:r>
              <w:rPr>
                <w:spacing w:val="-3"/>
                <w:lang w:eastAsia="zh-CN"/>
              </w:rPr>
              <w:t>规范</w:t>
            </w:r>
            <w:r>
              <w:rPr>
                <w:spacing w:val="-4"/>
                <w:lang w:eastAsia="zh-CN"/>
              </w:rPr>
              <w:t>的空白</w:t>
            </w:r>
            <w:r>
              <w:rPr>
                <w:rFonts w:hint="eastAsia"/>
                <w:spacing w:val="-4"/>
                <w:lang w:eastAsia="zh-CN"/>
              </w:rPr>
              <w:t>。</w:t>
            </w:r>
          </w:p>
          <w:p>
            <w:pPr>
              <w:pStyle w:val="6"/>
              <w:spacing w:before="178" w:line="411" w:lineRule="auto"/>
              <w:ind w:right="105" w:firstLine="276" w:firstLineChars="100"/>
              <w:jc w:val="both"/>
              <w:rPr>
                <w:rFonts w:hint="eastAsia"/>
                <w:spacing w:val="-2"/>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9573" w:type="dxa"/>
            <w:gridSpan w:val="2"/>
          </w:tcPr>
          <w:p>
            <w:pPr>
              <w:pStyle w:val="6"/>
              <w:spacing w:before="173" w:line="221" w:lineRule="auto"/>
              <w:rPr>
                <w:spacing w:val="-1"/>
                <w:lang w:eastAsia="zh-CN"/>
                <w14:textOutline w14:w="5092" w14:cap="flat" w14:cmpd="sng" w14:algn="ctr">
                  <w14:solidFill>
                    <w14:srgbClr w14:val="000000"/>
                  </w14:solidFill>
                  <w14:prstDash w14:val="solid"/>
                  <w14:miter w14:val="0"/>
                </w14:textOutline>
              </w:rPr>
            </w:pPr>
            <w:r>
              <w:rPr>
                <w:spacing w:val="-6"/>
                <w:lang w:eastAsia="zh-CN"/>
              </w:rPr>
              <w:t>3、制定标准的原则和依据， 与现行法律法规、标准的关系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9573" w:type="dxa"/>
            <w:gridSpan w:val="2"/>
          </w:tcPr>
          <w:p>
            <w:pPr>
              <w:pStyle w:val="6"/>
              <w:spacing w:before="174" w:line="221" w:lineRule="auto"/>
              <w:ind w:left="688"/>
              <w:rPr>
                <w:lang w:eastAsia="zh-CN"/>
              </w:rPr>
            </w:pPr>
            <w:r>
              <w:rPr>
                <w:spacing w:val="-2"/>
                <w:lang w:eastAsia="zh-CN"/>
                <w14:textOutline w14:w="5092" w14:cap="flat" w14:cmpd="sng" w14:algn="ctr">
                  <w14:solidFill>
                    <w14:srgbClr w14:val="000000"/>
                  </w14:solidFill>
                  <w14:prstDash w14:val="solid"/>
                  <w14:miter w14:val="0"/>
                </w14:textOutline>
              </w:rPr>
              <w:t>（1）制定原则</w:t>
            </w:r>
          </w:p>
          <w:p>
            <w:pPr>
              <w:pStyle w:val="6"/>
              <w:spacing w:before="291" w:line="411" w:lineRule="auto"/>
              <w:ind w:left="120" w:right="106" w:firstLine="559"/>
              <w:jc w:val="both"/>
              <w:rPr>
                <w:lang w:eastAsia="zh-CN"/>
              </w:rPr>
            </w:pPr>
            <w:r>
              <w:rPr>
                <w:spacing w:val="3"/>
                <w:lang w:eastAsia="zh-CN"/>
              </w:rPr>
              <w:t>标准的制定遵循“统一性、通用性、规范性、普适性”的原则，在标准</w:t>
            </w:r>
            <w:r>
              <w:rPr>
                <w:spacing w:val="8"/>
                <w:lang w:eastAsia="zh-CN"/>
              </w:rPr>
              <w:t xml:space="preserve"> </w:t>
            </w:r>
            <w:r>
              <w:rPr>
                <w:spacing w:val="3"/>
                <w:lang w:eastAsia="zh-CN"/>
              </w:rPr>
              <w:t>要求与技术指标的设置上，结合了各医疗机构当前</w:t>
            </w:r>
            <w:r>
              <w:rPr>
                <w:spacing w:val="-1"/>
                <w:lang w:eastAsia="zh-CN"/>
              </w:rPr>
              <w:t>活体组织</w:t>
            </w:r>
            <w:r>
              <w:rPr>
                <w:rFonts w:hint="eastAsia"/>
                <w:spacing w:val="-1"/>
                <w:lang w:eastAsia="zh-CN"/>
              </w:rPr>
              <w:t>病理</w:t>
            </w:r>
            <w:r>
              <w:rPr>
                <w:spacing w:val="-1"/>
                <w:lang w:eastAsia="zh-CN"/>
              </w:rPr>
              <w:t>标本分析前阶段</w:t>
            </w:r>
            <w:r>
              <w:rPr>
                <w:rFonts w:hint="eastAsia"/>
                <w:spacing w:val="-1"/>
                <w:lang w:eastAsia="zh-CN"/>
              </w:rPr>
              <w:t>的</w:t>
            </w:r>
            <w:r>
              <w:rPr>
                <w:spacing w:val="-1"/>
                <w:lang w:eastAsia="zh-CN"/>
              </w:rPr>
              <w:t>管理现状</w:t>
            </w:r>
            <w:r>
              <w:rPr>
                <w:rFonts w:hint="eastAsia"/>
                <w:spacing w:val="-1"/>
                <w:lang w:eastAsia="zh-CN"/>
              </w:rPr>
              <w:t>，</w:t>
            </w:r>
            <w:r>
              <w:rPr>
                <w:spacing w:val="-1"/>
                <w:lang w:eastAsia="zh-CN"/>
              </w:rPr>
              <w:t>又充分考虑到了标准的科学性、可操</w:t>
            </w:r>
            <w:r>
              <w:rPr>
                <w:spacing w:val="-2"/>
                <w:lang w:eastAsia="zh-CN"/>
              </w:rPr>
              <w:t>作性及前瞻性，使</w:t>
            </w:r>
            <w:r>
              <w:rPr>
                <w:spacing w:val="-1"/>
                <w:lang w:eastAsia="zh-CN"/>
              </w:rPr>
              <w:t>标准先进可行。通过执行本标准，能够对安徽省内医疗机构活体组织</w:t>
            </w:r>
            <w:r>
              <w:rPr>
                <w:rFonts w:hint="eastAsia"/>
                <w:spacing w:val="-1"/>
                <w:lang w:eastAsia="zh-CN"/>
              </w:rPr>
              <w:t>病理</w:t>
            </w:r>
            <w:r>
              <w:rPr>
                <w:spacing w:val="-1"/>
                <w:lang w:eastAsia="zh-CN"/>
              </w:rPr>
              <w:t>标本分析前阶段</w:t>
            </w:r>
            <w:r>
              <w:rPr>
                <w:rFonts w:hint="eastAsia"/>
                <w:spacing w:val="-1"/>
                <w:lang w:eastAsia="zh-CN"/>
              </w:rPr>
              <w:t>的标准化管理</w:t>
            </w:r>
            <w:r>
              <w:rPr>
                <w:spacing w:val="-5"/>
                <w:lang w:eastAsia="zh-CN"/>
              </w:rPr>
              <w:t>提供指导，从而提升</w:t>
            </w:r>
            <w:r>
              <w:rPr>
                <w:rFonts w:hint="eastAsia"/>
                <w:spacing w:val="2"/>
                <w:lang w:eastAsia="zh-CN"/>
              </w:rPr>
              <w:t>提高标本管理质量和</w:t>
            </w:r>
            <w:r>
              <w:rPr>
                <w:spacing w:val="-5"/>
                <w:lang w:eastAsia="zh-CN"/>
              </w:rPr>
              <w:t>水平</w:t>
            </w:r>
            <w:r>
              <w:rPr>
                <w:rFonts w:hint="eastAsia"/>
                <w:spacing w:val="-5"/>
                <w:lang w:eastAsia="zh-CN"/>
              </w:rPr>
              <w:t>，</w:t>
            </w:r>
            <w:r>
              <w:rPr>
                <w:spacing w:val="-5"/>
                <w:lang w:eastAsia="zh-CN"/>
              </w:rPr>
              <w:t>与现行法律、标准无冲突。</w:t>
            </w:r>
          </w:p>
          <w:p>
            <w:pPr>
              <w:pStyle w:val="6"/>
              <w:spacing w:before="292" w:line="219" w:lineRule="auto"/>
              <w:ind w:left="688"/>
              <w:rPr>
                <w:spacing w:val="-4"/>
                <w:lang w:eastAsia="zh-CN"/>
                <w14:textOutline w14:w="5092" w14:cap="flat" w14:cmpd="sng" w14:algn="ctr">
                  <w14:solidFill>
                    <w14:srgbClr w14:val="000000"/>
                  </w14:solidFill>
                  <w14:prstDash w14:val="solid"/>
                  <w14:miter w14:val="0"/>
                </w14:textOutline>
              </w:rPr>
            </w:pPr>
            <w:r>
              <w:rPr>
                <w:spacing w:val="-4"/>
                <w:lang w:eastAsia="zh-CN"/>
                <w14:textOutline w14:w="5092" w14:cap="flat" w14:cmpd="sng" w14:algn="ctr">
                  <w14:solidFill>
                    <w14:srgbClr w14:val="000000"/>
                  </w14:solidFill>
                  <w14:prstDash w14:val="solid"/>
                  <w14:miter w14:val="0"/>
                </w14:textOutline>
              </w:rPr>
              <w:t>（</w:t>
            </w:r>
            <w:r>
              <w:rPr>
                <w:rFonts w:ascii="Times New Roman" w:hAnsi="Times New Roman" w:eastAsia="Times New Roman" w:cs="Times New Roman"/>
                <w:b/>
                <w:bCs/>
                <w:spacing w:val="-4"/>
                <w:lang w:eastAsia="zh-CN"/>
              </w:rPr>
              <w:t>2</w:t>
            </w:r>
            <w:r>
              <w:rPr>
                <w:spacing w:val="-4"/>
                <w:lang w:eastAsia="zh-CN"/>
                <w14:textOutline w14:w="5092" w14:cap="flat" w14:cmpd="sng" w14:algn="ctr">
                  <w14:solidFill>
                    <w14:srgbClr w14:val="000000"/>
                  </w14:solidFill>
                  <w14:prstDash w14:val="solid"/>
                  <w14:miter w14:val="0"/>
                </w14:textOutline>
              </w:rPr>
              <w:t>）编制依据</w:t>
            </w:r>
          </w:p>
          <w:p>
            <w:pPr>
              <w:pStyle w:val="6"/>
              <w:spacing w:before="292" w:line="219" w:lineRule="auto"/>
              <w:ind w:firstLine="532" w:firstLineChars="200"/>
              <w:rPr>
                <w:rFonts w:hint="eastAsia"/>
                <w:spacing w:val="-8"/>
                <w:position w:val="26"/>
                <w:lang w:eastAsia="zh-CN"/>
              </w:rPr>
            </w:pPr>
            <w:r>
              <w:rPr>
                <w:spacing w:val="-7"/>
                <w:position w:val="26"/>
                <w:lang w:eastAsia="zh-CN"/>
              </w:rPr>
              <w:t>按照《</w:t>
            </w:r>
            <w:r>
              <w:rPr>
                <w:rFonts w:ascii="Calibri" w:hAnsi="Calibri" w:eastAsia="Calibri" w:cs="Calibri"/>
                <w:spacing w:val="-7"/>
                <w:position w:val="26"/>
                <w:lang w:eastAsia="zh-CN"/>
              </w:rPr>
              <w:t>GB/T</w:t>
            </w:r>
            <w:r>
              <w:rPr>
                <w:rFonts w:ascii="Calibri" w:hAnsi="Calibri" w:eastAsia="Calibri" w:cs="Calibri"/>
                <w:spacing w:val="23"/>
                <w:position w:val="26"/>
                <w:lang w:eastAsia="zh-CN"/>
              </w:rPr>
              <w:t xml:space="preserve"> </w:t>
            </w:r>
            <w:r>
              <w:rPr>
                <w:rFonts w:ascii="Calibri" w:hAnsi="Calibri" w:eastAsia="Calibri" w:cs="Calibri"/>
                <w:spacing w:val="-7"/>
                <w:position w:val="26"/>
                <w:lang w:eastAsia="zh-CN"/>
              </w:rPr>
              <w:t xml:space="preserve">1.1-2020  </w:t>
            </w:r>
            <w:r>
              <w:rPr>
                <w:spacing w:val="-7"/>
                <w:position w:val="26"/>
                <w:lang w:eastAsia="zh-CN"/>
              </w:rPr>
              <w:t>标准化工作导则 第</w:t>
            </w:r>
            <w:r>
              <w:rPr>
                <w:spacing w:val="-47"/>
                <w:position w:val="26"/>
                <w:lang w:eastAsia="zh-CN"/>
              </w:rPr>
              <w:t xml:space="preserve"> </w:t>
            </w:r>
            <w:r>
              <w:rPr>
                <w:rFonts w:ascii="Calibri" w:hAnsi="Calibri" w:eastAsia="Calibri" w:cs="Calibri"/>
                <w:spacing w:val="-7"/>
                <w:position w:val="26"/>
                <w:lang w:eastAsia="zh-CN"/>
              </w:rPr>
              <w:t>1</w:t>
            </w:r>
            <w:r>
              <w:rPr>
                <w:rFonts w:ascii="Calibri" w:hAnsi="Calibri" w:eastAsia="Calibri" w:cs="Calibri"/>
                <w:spacing w:val="19"/>
                <w:w w:val="101"/>
                <w:position w:val="26"/>
                <w:lang w:eastAsia="zh-CN"/>
              </w:rPr>
              <w:t xml:space="preserve"> </w:t>
            </w:r>
            <w:r>
              <w:rPr>
                <w:spacing w:val="-7"/>
                <w:position w:val="26"/>
                <w:lang w:eastAsia="zh-CN"/>
              </w:rPr>
              <w:t>部分：</w:t>
            </w:r>
            <w:r>
              <w:rPr>
                <w:spacing w:val="-41"/>
                <w:position w:val="26"/>
                <w:lang w:eastAsia="zh-CN"/>
              </w:rPr>
              <w:t xml:space="preserve"> </w:t>
            </w:r>
            <w:r>
              <w:rPr>
                <w:spacing w:val="-8"/>
                <w:position w:val="26"/>
                <w:lang w:eastAsia="zh-CN"/>
              </w:rPr>
              <w:t>标准的结构和编写》的相关规定进行编写，在术语定义、结构版式以及单位符号等方面保持一致性。本标准中服务管理要素的确定与标准内容的编制，结合了安徽省内各级医疗机构医疗机构活体组织病理标本的常见类型以及不同活体组织病理标本分析前阶段的标准化处理要求进行编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9573" w:type="dxa"/>
            <w:gridSpan w:val="2"/>
          </w:tcPr>
          <w:p>
            <w:pPr>
              <w:pStyle w:val="6"/>
              <w:spacing w:before="174" w:line="221" w:lineRule="auto"/>
              <w:rPr>
                <w:spacing w:val="-2"/>
                <w:lang w:eastAsia="zh-CN"/>
                <w14:textOutline w14:w="5092" w14:cap="flat" w14:cmpd="sng" w14:algn="ctr">
                  <w14:solidFill>
                    <w14:srgbClr w14:val="000000"/>
                  </w14:solidFill>
                  <w14:prstDash w14:val="solid"/>
                  <w14:miter w14:val="0"/>
                </w14:textOutline>
              </w:rPr>
            </w:pPr>
            <w:r>
              <w:rPr>
                <w:lang w:eastAsia="zh-CN"/>
              </w:rPr>
              <w:t>4、主要条款的说明，主要技术指标、参数、试验验证的论述</w:t>
            </w:r>
            <w:r>
              <w:rPr>
                <w:spacing w:val="-1"/>
                <w:lang w:eastAsia="zh-CN"/>
              </w:rPr>
              <w:t>（</w:t>
            </w:r>
            <w:r>
              <w:rPr>
                <w:spacing w:val="-1"/>
                <w:lang w:eastAsia="zh-CN"/>
                <w14:textOutline w14:w="5092" w14:cap="flat" w14:cmpd="sng" w14:algn="ctr">
                  <w14:solidFill>
                    <w14:srgbClr w14:val="000000"/>
                  </w14:solidFill>
                  <w14:prstDash w14:val="solid"/>
                  <w14:miter w14:val="0"/>
                </w14:textOutline>
              </w:rPr>
              <w:t>详细说明</w:t>
            </w:r>
            <w:r>
              <w:rPr>
                <w:spacing w:val="-1"/>
                <w:lang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9573" w:type="dxa"/>
            <w:gridSpan w:val="2"/>
          </w:tcPr>
          <w:p>
            <w:pPr>
              <w:pStyle w:val="6"/>
              <w:spacing w:before="172" w:line="220" w:lineRule="auto"/>
              <w:ind w:left="688"/>
              <w:rPr>
                <w:lang w:eastAsia="zh-CN"/>
              </w:rPr>
            </w:pPr>
            <w:r>
              <w:rPr>
                <w:spacing w:val="-4"/>
                <w:lang w:eastAsia="zh-CN"/>
                <w14:textOutline w14:w="5092" w14:cap="flat" w14:cmpd="sng" w14:algn="ctr">
                  <w14:solidFill>
                    <w14:srgbClr w14:val="000000"/>
                  </w14:solidFill>
                  <w14:prstDash w14:val="solid"/>
                  <w14:miter w14:val="0"/>
                </w14:textOutline>
              </w:rPr>
              <w:t>（1）主要条款</w:t>
            </w:r>
          </w:p>
          <w:p>
            <w:pPr>
              <w:pStyle w:val="6"/>
              <w:spacing w:before="292" w:line="411" w:lineRule="auto"/>
              <w:ind w:left="119" w:right="106" w:firstLine="559"/>
              <w:rPr>
                <w:spacing w:val="3"/>
                <w:lang w:eastAsia="zh-CN"/>
              </w:rPr>
            </w:pPr>
            <w:r>
              <w:rPr>
                <w:spacing w:val="3"/>
                <w:lang w:eastAsia="zh-CN"/>
              </w:rPr>
              <w:t>本标准的章节由：范围、规范性引用文件、术语和定义、总体原则</w:t>
            </w:r>
            <w:r>
              <w:rPr>
                <w:rFonts w:hint="eastAsia"/>
                <w:spacing w:val="3"/>
                <w:lang w:eastAsia="zh-CN"/>
              </w:rPr>
              <w:t>、</w:t>
            </w:r>
            <w:r>
              <w:rPr>
                <w:spacing w:val="3"/>
                <w:lang w:eastAsia="zh-CN"/>
              </w:rPr>
              <w:t>管理制度与原则、各级人员工作职责、标本的采集与处理、</w:t>
            </w:r>
            <w:r>
              <w:rPr>
                <w:rFonts w:hint="eastAsia"/>
                <w:spacing w:val="3"/>
                <w:lang w:eastAsia="zh-CN"/>
              </w:rPr>
              <w:t>职业防护、质量控制九</w:t>
            </w:r>
            <w:r>
              <w:rPr>
                <w:spacing w:val="3"/>
                <w:lang w:eastAsia="zh-CN"/>
              </w:rPr>
              <w:t>方面组成。</w:t>
            </w:r>
            <w:r>
              <w:rPr>
                <w:rFonts w:hint="eastAsia"/>
                <w:spacing w:val="3"/>
                <w:lang w:eastAsia="zh-CN"/>
              </w:rPr>
              <w:t>其中管理要求、</w:t>
            </w:r>
            <w:r>
              <w:rPr>
                <w:spacing w:val="3"/>
                <w:lang w:eastAsia="zh-CN"/>
              </w:rPr>
              <w:t>标本的采集与处理</w:t>
            </w:r>
            <w:r>
              <w:rPr>
                <w:rFonts w:hint="eastAsia"/>
                <w:spacing w:val="3"/>
                <w:lang w:eastAsia="zh-CN"/>
              </w:rPr>
              <w:t>（包括标本采集、标本固定、标本申请、标本转运、标本保存）、职业防护及质量控制的基本措施是本标准的关键部分。</w:t>
            </w:r>
          </w:p>
          <w:p>
            <w:pPr>
              <w:pStyle w:val="6"/>
              <w:spacing w:before="293" w:line="411" w:lineRule="auto"/>
              <w:ind w:left="114" w:right="9" w:firstLine="512"/>
              <w:rPr>
                <w:spacing w:val="-5"/>
                <w:lang w:eastAsia="zh-CN"/>
              </w:rPr>
            </w:pPr>
            <w:r>
              <w:rPr>
                <w:spacing w:val="-5"/>
                <w:lang w:eastAsia="zh-CN"/>
              </w:rPr>
              <w:t>第</w:t>
            </w:r>
            <w:r>
              <w:rPr>
                <w:rFonts w:hint="eastAsia"/>
                <w:spacing w:val="-5"/>
                <w:lang w:eastAsia="zh-CN"/>
              </w:rPr>
              <w:t>三</w:t>
            </w:r>
            <w:r>
              <w:rPr>
                <w:spacing w:val="-5"/>
                <w:lang w:eastAsia="zh-CN"/>
              </w:rPr>
              <w:t>章 术语和定义</w:t>
            </w:r>
          </w:p>
          <w:p>
            <w:pPr>
              <w:pStyle w:val="6"/>
              <w:spacing w:before="293" w:line="411" w:lineRule="auto"/>
              <w:ind w:left="114" w:right="9" w:firstLine="512"/>
              <w:rPr>
                <w:spacing w:val="-5"/>
                <w:lang w:eastAsia="zh-CN"/>
              </w:rPr>
            </w:pPr>
            <w:r>
              <w:rPr>
                <w:spacing w:val="-5"/>
                <w:lang w:eastAsia="zh-CN"/>
              </w:rPr>
              <w:t>本章给出了“</w:t>
            </w:r>
            <w:r>
              <w:rPr>
                <w:rFonts w:hint="eastAsia"/>
                <w:spacing w:val="-5"/>
                <w:lang w:eastAsia="zh-CN"/>
              </w:rPr>
              <w:t>医疗机构</w:t>
            </w:r>
            <w:r>
              <w:rPr>
                <w:spacing w:val="-5"/>
                <w:lang w:eastAsia="zh-CN"/>
              </w:rPr>
              <w:t>”、“</w:t>
            </w:r>
            <w:r>
              <w:rPr>
                <w:rFonts w:hint="eastAsia"/>
                <w:spacing w:val="-5"/>
                <w:lang w:eastAsia="zh-CN"/>
              </w:rPr>
              <w:t>活体组织病理标本</w:t>
            </w:r>
            <w:r>
              <w:rPr>
                <w:spacing w:val="-5"/>
                <w:lang w:eastAsia="zh-CN"/>
              </w:rPr>
              <w:t>”、“</w:t>
            </w:r>
            <w:r>
              <w:rPr>
                <w:rFonts w:hint="eastAsia"/>
                <w:spacing w:val="-5"/>
                <w:lang w:eastAsia="zh-CN"/>
              </w:rPr>
              <w:t>分析前阶段</w:t>
            </w:r>
            <w:r>
              <w:rPr>
                <w:spacing w:val="-5"/>
                <w:lang w:eastAsia="zh-CN"/>
              </w:rPr>
              <w:t>”、“</w:t>
            </w:r>
            <w:r>
              <w:rPr>
                <w:rFonts w:hint="eastAsia"/>
                <w:spacing w:val="-5"/>
                <w:lang w:eastAsia="zh-CN"/>
              </w:rPr>
              <w:t>标本标识</w:t>
            </w:r>
            <w:r>
              <w:rPr>
                <w:spacing w:val="-5"/>
                <w:lang w:eastAsia="zh-CN"/>
              </w:rPr>
              <w:t>”、 “</w:t>
            </w:r>
            <w:r>
              <w:rPr>
                <w:rFonts w:hint="eastAsia"/>
                <w:spacing w:val="-5"/>
                <w:lang w:eastAsia="zh-CN"/>
              </w:rPr>
              <w:t>术中快速病理诊断”</w:t>
            </w:r>
            <w:r>
              <w:rPr>
                <w:spacing w:val="-5"/>
                <w:lang w:eastAsia="zh-CN"/>
              </w:rPr>
              <w:t>等6个术语和定义。</w:t>
            </w:r>
          </w:p>
          <w:p>
            <w:pPr>
              <w:pStyle w:val="6"/>
              <w:spacing w:before="293" w:line="411" w:lineRule="auto"/>
              <w:ind w:left="114" w:right="9" w:firstLine="512"/>
              <w:rPr>
                <w:spacing w:val="-5"/>
                <w:lang w:eastAsia="zh-CN"/>
              </w:rPr>
            </w:pPr>
            <w:r>
              <w:rPr>
                <w:spacing w:val="-5"/>
              </w:rPr>
              <w:t>第四章</w:t>
            </w:r>
            <w:r>
              <w:rPr>
                <w:rFonts w:hint="eastAsia"/>
                <w:spacing w:val="-5"/>
                <w:lang w:eastAsia="zh-CN"/>
              </w:rPr>
              <w:t>、</w:t>
            </w:r>
            <w:r>
              <w:rPr>
                <w:spacing w:val="-5"/>
              </w:rPr>
              <w:t>第</w:t>
            </w:r>
            <w:r>
              <w:rPr>
                <w:rFonts w:hint="eastAsia"/>
                <w:spacing w:val="-5"/>
                <w:lang w:eastAsia="zh-CN"/>
              </w:rPr>
              <w:t>五</w:t>
            </w:r>
            <w:r>
              <w:rPr>
                <w:spacing w:val="-5"/>
              </w:rPr>
              <w:t>章</w:t>
            </w:r>
            <w:r>
              <w:rPr>
                <w:rFonts w:hint="eastAsia"/>
                <w:spacing w:val="-5"/>
                <w:lang w:eastAsia="zh-CN"/>
              </w:rPr>
              <w:t>、</w:t>
            </w:r>
            <w:r>
              <w:rPr>
                <w:spacing w:val="-5"/>
              </w:rPr>
              <w:t>第</w:t>
            </w:r>
            <w:r>
              <w:rPr>
                <w:rFonts w:hint="eastAsia"/>
                <w:spacing w:val="-5"/>
                <w:lang w:eastAsia="zh-CN"/>
              </w:rPr>
              <w:t>六</w:t>
            </w:r>
            <w:r>
              <w:rPr>
                <w:spacing w:val="-5"/>
              </w:rPr>
              <w:t xml:space="preserve">章 </w:t>
            </w:r>
            <w:r>
              <w:rPr>
                <w:rFonts w:hint="eastAsia"/>
                <w:spacing w:val="-5"/>
                <w:lang w:eastAsia="zh-CN"/>
              </w:rPr>
              <w:t>管理要求</w:t>
            </w:r>
          </w:p>
          <w:p>
            <w:pPr>
              <w:pStyle w:val="6"/>
              <w:spacing w:before="293" w:line="411" w:lineRule="auto"/>
              <w:ind w:left="114" w:right="9" w:firstLine="512"/>
              <w:rPr>
                <w:spacing w:val="-5"/>
                <w:lang w:eastAsia="zh-CN"/>
              </w:rPr>
            </w:pPr>
            <w:r>
              <w:rPr>
                <w:rFonts w:hint="eastAsia"/>
                <w:spacing w:val="-5"/>
                <w:lang w:eastAsia="zh-CN"/>
              </w:rPr>
              <w:t>“管理要求”规定了医疗机构活体组织病理标本处理分析前阶段的总体原则、管理制度和管理原则、人员构成及职责（包括手术/诊疗操作医师、洗手护士、巡回护士、诊间配合护士、标本处理者、标本送检者）。</w:t>
            </w:r>
          </w:p>
          <w:p>
            <w:pPr>
              <w:pStyle w:val="6"/>
              <w:spacing w:before="290" w:line="219" w:lineRule="auto"/>
              <w:ind w:left="625"/>
              <w:rPr>
                <w:lang w:eastAsia="zh-CN"/>
              </w:rPr>
            </w:pPr>
            <w:r>
              <w:rPr>
                <w:spacing w:val="-2"/>
                <w:lang w:eastAsia="zh-CN"/>
              </w:rPr>
              <w:t>第</w:t>
            </w:r>
            <w:r>
              <w:rPr>
                <w:rFonts w:hint="eastAsia"/>
                <w:spacing w:val="-2"/>
                <w:lang w:eastAsia="zh-CN"/>
              </w:rPr>
              <w:t>七</w:t>
            </w:r>
            <w:r>
              <w:rPr>
                <w:spacing w:val="-2"/>
                <w:lang w:eastAsia="zh-CN"/>
              </w:rPr>
              <w:t xml:space="preserve">章 </w:t>
            </w:r>
            <w:r>
              <w:rPr>
                <w:spacing w:val="3"/>
                <w:lang w:eastAsia="zh-CN"/>
              </w:rPr>
              <w:t>标本的采集与处理</w:t>
            </w:r>
          </w:p>
          <w:p>
            <w:pPr>
              <w:pStyle w:val="6"/>
              <w:spacing w:before="174" w:line="221" w:lineRule="auto"/>
              <w:rPr>
                <w:spacing w:val="-5"/>
                <w:lang w:eastAsia="zh-CN"/>
              </w:rPr>
            </w:pPr>
            <w:r>
              <w:rPr>
                <w:rFonts w:hint="eastAsia"/>
                <w:spacing w:val="-5"/>
                <w:lang w:eastAsia="zh-CN"/>
              </w:rPr>
              <w:t>“标本采集”规定了医疗机构活体组织病理标本采集的操作要点，包括小组织活检标本的采集、穿刺小组织活检标本的采集、内镜下黏膜切除术（EMR）/内镜下黏膜剥离术（ESD）标本的采集、手术组织器官标本的采集等。</w:t>
            </w:r>
          </w:p>
          <w:p>
            <w:pPr>
              <w:pStyle w:val="6"/>
              <w:spacing w:before="293" w:line="411" w:lineRule="auto"/>
              <w:ind w:left="114" w:right="9" w:firstLine="512"/>
              <w:rPr>
                <w:spacing w:val="-5"/>
                <w:lang w:eastAsia="zh-CN"/>
              </w:rPr>
            </w:pPr>
            <w:r>
              <w:rPr>
                <w:rFonts w:hint="eastAsia"/>
                <w:spacing w:val="-5"/>
                <w:lang w:eastAsia="zh-CN"/>
              </w:rPr>
              <w:t>“标本固定”规定了医疗机构活体组织病理标本固定的操作要点，包括小组织活检标本的固定、穿刺小组织标本的固定、EMR/ESD标本的固定、术中快速病理诊断标本的固定、手术组织器官标本的固定等。</w:t>
            </w:r>
          </w:p>
          <w:p>
            <w:pPr>
              <w:pStyle w:val="6"/>
              <w:spacing w:before="293" w:line="411" w:lineRule="auto"/>
              <w:ind w:left="114" w:right="9" w:firstLine="512"/>
              <w:rPr>
                <w:spacing w:val="-5"/>
                <w:lang w:eastAsia="zh-CN"/>
              </w:rPr>
            </w:pPr>
            <w:r>
              <w:rPr>
                <w:rFonts w:hint="eastAsia"/>
                <w:spacing w:val="-5"/>
                <w:lang w:eastAsia="zh-CN"/>
              </w:rPr>
              <w:t>“标本申请”规定了医疗机构活体组织病理标本申请的操作要点，包括填写申请单、完善标本标识信息、设置标本核对登记本等。</w:t>
            </w:r>
          </w:p>
          <w:p>
            <w:pPr>
              <w:pStyle w:val="6"/>
              <w:spacing w:before="293" w:line="411" w:lineRule="auto"/>
              <w:ind w:left="114" w:right="9" w:firstLine="512"/>
              <w:rPr>
                <w:spacing w:val="-5"/>
                <w:lang w:eastAsia="zh-CN"/>
              </w:rPr>
            </w:pPr>
            <w:r>
              <w:rPr>
                <w:rFonts w:hint="eastAsia"/>
                <w:spacing w:val="-5"/>
                <w:lang w:eastAsia="zh-CN"/>
              </w:rPr>
              <w:t>“标本转运”规定了医疗机构活体组织病理标本转运的操作要点，包括转运人员的要求，转运中标本的规范要求、不合格标本的处理流程等。</w:t>
            </w:r>
          </w:p>
          <w:p>
            <w:pPr>
              <w:pStyle w:val="6"/>
              <w:spacing w:before="293" w:line="411" w:lineRule="auto"/>
              <w:ind w:left="114" w:right="9" w:firstLine="512"/>
              <w:rPr>
                <w:spacing w:val="-5"/>
                <w:lang w:eastAsia="zh-CN"/>
              </w:rPr>
            </w:pPr>
            <w:r>
              <w:rPr>
                <w:rFonts w:hint="eastAsia"/>
                <w:spacing w:val="-5"/>
                <w:lang w:eastAsia="zh-CN"/>
              </w:rPr>
              <w:t>“标本保存”规定了医疗机构活体组织病理标本保存的操作要点，包括标本储存的温度、时间的要求等。</w:t>
            </w:r>
          </w:p>
          <w:p>
            <w:pPr>
              <w:pStyle w:val="6"/>
              <w:spacing w:before="290" w:line="219" w:lineRule="auto"/>
              <w:ind w:left="625"/>
              <w:rPr>
                <w:spacing w:val="-5"/>
                <w:lang w:eastAsia="zh-CN"/>
              </w:rPr>
            </w:pPr>
            <w:r>
              <w:rPr>
                <w:spacing w:val="-2"/>
                <w:lang w:eastAsia="zh-CN"/>
              </w:rPr>
              <w:t>第</w:t>
            </w:r>
            <w:r>
              <w:rPr>
                <w:rFonts w:hint="eastAsia"/>
                <w:spacing w:val="-2"/>
                <w:lang w:eastAsia="zh-CN"/>
              </w:rPr>
              <w:t>八</w:t>
            </w:r>
            <w:r>
              <w:rPr>
                <w:spacing w:val="-2"/>
                <w:lang w:eastAsia="zh-CN"/>
              </w:rPr>
              <w:t xml:space="preserve">章 </w:t>
            </w:r>
            <w:r>
              <w:rPr>
                <w:rFonts w:hint="eastAsia"/>
                <w:spacing w:val="-5"/>
                <w:lang w:eastAsia="zh-CN"/>
              </w:rPr>
              <w:t>职业防护</w:t>
            </w:r>
          </w:p>
          <w:p>
            <w:pPr>
              <w:pStyle w:val="6"/>
              <w:spacing w:before="293" w:line="411" w:lineRule="auto"/>
              <w:ind w:left="114" w:right="9" w:firstLine="512"/>
              <w:rPr>
                <w:spacing w:val="-5"/>
                <w:lang w:eastAsia="zh-CN"/>
              </w:rPr>
            </w:pPr>
            <w:r>
              <w:rPr>
                <w:rFonts w:hint="eastAsia"/>
                <w:spacing w:val="-5"/>
                <w:lang w:eastAsia="zh-CN"/>
              </w:rPr>
              <w:t>“职业防护”规定了标本处理过程中</w:t>
            </w:r>
            <w:r>
              <w:rPr>
                <w:spacing w:val="-5"/>
                <w:lang w:eastAsia="zh-CN"/>
              </w:rPr>
              <w:t>标准预防</w:t>
            </w:r>
            <w:r>
              <w:rPr>
                <w:rFonts w:hint="eastAsia"/>
                <w:spacing w:val="-5"/>
                <w:lang w:eastAsia="zh-CN"/>
              </w:rPr>
              <w:t>的</w:t>
            </w:r>
            <w:r>
              <w:rPr>
                <w:spacing w:val="-5"/>
                <w:lang w:eastAsia="zh-CN"/>
              </w:rPr>
              <w:t>措施与方法</w:t>
            </w:r>
            <w:r>
              <w:rPr>
                <w:rFonts w:hint="eastAsia"/>
                <w:spacing w:val="-5"/>
                <w:lang w:eastAsia="zh-CN"/>
              </w:rPr>
              <w:t>，个人防护设备的应用及</w:t>
            </w:r>
            <w:r>
              <w:rPr>
                <w:spacing w:val="-5"/>
                <w:lang w:eastAsia="zh-CN"/>
              </w:rPr>
              <w:t>发生职业暴露时</w:t>
            </w:r>
            <w:r>
              <w:rPr>
                <w:rFonts w:hint="eastAsia"/>
                <w:spacing w:val="-5"/>
                <w:lang w:eastAsia="zh-CN"/>
              </w:rPr>
              <w:t>的</w:t>
            </w:r>
            <w:r>
              <w:rPr>
                <w:spacing w:val="-5"/>
                <w:lang w:eastAsia="zh-CN"/>
              </w:rPr>
              <w:t>上报</w:t>
            </w:r>
            <w:r>
              <w:rPr>
                <w:rFonts w:hint="eastAsia"/>
                <w:spacing w:val="-5"/>
                <w:lang w:eastAsia="zh-CN"/>
              </w:rPr>
              <w:t>制度等。</w:t>
            </w:r>
          </w:p>
          <w:p>
            <w:pPr>
              <w:pStyle w:val="6"/>
              <w:spacing w:before="290" w:line="219" w:lineRule="auto"/>
              <w:ind w:left="625"/>
              <w:rPr>
                <w:spacing w:val="-5"/>
                <w:lang w:eastAsia="zh-CN"/>
              </w:rPr>
            </w:pPr>
            <w:r>
              <w:rPr>
                <w:spacing w:val="-2"/>
                <w:lang w:eastAsia="zh-CN"/>
              </w:rPr>
              <w:t>第</w:t>
            </w:r>
            <w:r>
              <w:rPr>
                <w:rFonts w:hint="eastAsia"/>
                <w:spacing w:val="-2"/>
                <w:lang w:eastAsia="zh-CN"/>
              </w:rPr>
              <w:t>九</w:t>
            </w:r>
            <w:r>
              <w:rPr>
                <w:spacing w:val="-2"/>
                <w:lang w:eastAsia="zh-CN"/>
              </w:rPr>
              <w:t xml:space="preserve">章 </w:t>
            </w:r>
            <w:r>
              <w:rPr>
                <w:rFonts w:hint="eastAsia"/>
                <w:spacing w:val="-5"/>
                <w:lang w:eastAsia="zh-CN"/>
              </w:rPr>
              <w:t>职业防护</w:t>
            </w:r>
          </w:p>
          <w:p>
            <w:pPr>
              <w:pStyle w:val="6"/>
              <w:spacing w:before="293" w:line="411" w:lineRule="auto"/>
              <w:ind w:left="114" w:right="9" w:firstLine="512"/>
              <w:rPr>
                <w:spacing w:val="-5"/>
                <w:lang w:eastAsia="zh-CN"/>
              </w:rPr>
            </w:pPr>
            <w:r>
              <w:rPr>
                <w:rFonts w:hint="eastAsia"/>
                <w:spacing w:val="-5"/>
                <w:lang w:eastAsia="zh-CN"/>
              </w:rPr>
              <w:t>“质量控制”规定了质量控制管理组织架构建立的建议，持续质量改进的要求、以及鼓励患者参与标本安全管理工作等。</w:t>
            </w:r>
          </w:p>
          <w:p>
            <w:pPr>
              <w:pStyle w:val="6"/>
              <w:spacing w:before="292" w:line="220" w:lineRule="auto"/>
              <w:rPr>
                <w:lang w:eastAsia="zh-CN"/>
              </w:rPr>
            </w:pPr>
            <w:r>
              <w:rPr>
                <w:spacing w:val="-3"/>
                <w:lang w:eastAsia="zh-CN"/>
                <w14:textOutline w14:w="5092" w14:cap="flat" w14:cmpd="sng" w14:algn="ctr">
                  <w14:solidFill>
                    <w14:srgbClr w14:val="000000"/>
                  </w14:solidFill>
                  <w14:prstDash w14:val="solid"/>
                  <w14:miter w14:val="0"/>
                </w14:textOutline>
              </w:rPr>
              <w:t>（2）标准技术水平的说明</w:t>
            </w:r>
          </w:p>
          <w:p>
            <w:pPr>
              <w:pStyle w:val="6"/>
              <w:spacing w:before="174" w:line="221" w:lineRule="auto"/>
              <w:rPr>
                <w:rFonts w:hint="eastAsia"/>
                <w:spacing w:val="-5"/>
                <w:lang w:eastAsia="zh-CN"/>
              </w:rPr>
            </w:pPr>
            <w:r>
              <w:rPr>
                <w:spacing w:val="-2"/>
                <w:lang w:eastAsia="zh-CN"/>
              </w:rPr>
              <w:t>目前，安徽省及全国范围内，尚未发布医疗机构活体组织</w:t>
            </w:r>
            <w:r>
              <w:rPr>
                <w:rFonts w:hint="eastAsia"/>
                <w:spacing w:val="-2"/>
                <w:lang w:eastAsia="zh-CN"/>
              </w:rPr>
              <w:t>病理</w:t>
            </w:r>
            <w:r>
              <w:rPr>
                <w:spacing w:val="-2"/>
                <w:lang w:eastAsia="zh-CN"/>
              </w:rPr>
              <w:t>标本分析前阶段管理规范</w:t>
            </w:r>
            <w:r>
              <w:rPr>
                <w:spacing w:val="-3"/>
                <w:lang w:eastAsia="zh-CN"/>
              </w:rPr>
              <w:t>的相关标</w:t>
            </w:r>
            <w:r>
              <w:rPr>
                <w:spacing w:val="-1"/>
                <w:lang w:eastAsia="zh-CN"/>
              </w:rPr>
              <w:t>准。标准内容上根据我省</w:t>
            </w:r>
            <w:r>
              <w:rPr>
                <w:spacing w:val="-2"/>
                <w:lang w:eastAsia="zh-CN"/>
              </w:rPr>
              <w:t>医疗机构活体组织</w:t>
            </w:r>
            <w:r>
              <w:rPr>
                <w:rFonts w:hint="eastAsia"/>
                <w:spacing w:val="-2"/>
                <w:lang w:eastAsia="zh-CN"/>
              </w:rPr>
              <w:t>病理</w:t>
            </w:r>
            <w:r>
              <w:rPr>
                <w:spacing w:val="-2"/>
                <w:lang w:eastAsia="zh-CN"/>
              </w:rPr>
              <w:t>标本分析前阶段管理</w:t>
            </w:r>
            <w:r>
              <w:rPr>
                <w:rFonts w:hint="eastAsia"/>
                <w:spacing w:val="-2"/>
                <w:lang w:eastAsia="zh-CN"/>
              </w:rPr>
              <w:t>现状</w:t>
            </w:r>
            <w:r>
              <w:rPr>
                <w:spacing w:val="-1"/>
                <w:lang w:eastAsia="zh-CN"/>
              </w:rPr>
              <w:t>进行了细化和分类，易于不</w:t>
            </w:r>
            <w:r>
              <w:rPr>
                <w:spacing w:val="-4"/>
                <w:lang w:eastAsia="zh-CN"/>
              </w:rPr>
              <w:t>同实际操作，符合安徽省地方发展需求。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9573" w:type="dxa"/>
            <w:gridSpan w:val="2"/>
          </w:tcPr>
          <w:p>
            <w:pPr>
              <w:pStyle w:val="6"/>
              <w:spacing w:before="172" w:line="220" w:lineRule="auto"/>
              <w:rPr>
                <w:spacing w:val="-4"/>
                <w:lang w:eastAsia="zh-CN"/>
                <w14:textOutline w14:w="5092" w14:cap="flat" w14:cmpd="sng" w14:algn="ctr">
                  <w14:solidFill>
                    <w14:srgbClr w14:val="000000"/>
                  </w14:solidFill>
                  <w14:prstDash w14:val="solid"/>
                  <w14:miter w14:val="0"/>
                </w14:textOutline>
              </w:rPr>
            </w:pPr>
            <w:r>
              <w:rPr>
                <w:spacing w:val="-2"/>
                <w:lang w:eastAsia="zh-CN"/>
              </w:rPr>
              <w:t>5、标准中如果涉及专利，应有明确的知识产权说明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9573" w:type="dxa"/>
            <w:gridSpan w:val="2"/>
          </w:tcPr>
          <w:p>
            <w:pPr>
              <w:pStyle w:val="6"/>
              <w:spacing w:before="172" w:line="220" w:lineRule="auto"/>
              <w:rPr>
                <w:spacing w:val="-2"/>
                <w:lang w:eastAsia="zh-CN"/>
              </w:rPr>
            </w:pPr>
            <w:r>
              <w:rPr>
                <w:spacing w:val="-2"/>
                <w:lang w:eastAsia="zh-CN"/>
              </w:rPr>
              <w:t>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9573" w:type="dxa"/>
            <w:gridSpan w:val="2"/>
          </w:tcPr>
          <w:p>
            <w:pPr>
              <w:pStyle w:val="6"/>
              <w:spacing w:before="177" w:line="624" w:lineRule="exact"/>
              <w:ind w:left="120"/>
              <w:rPr>
                <w:lang w:eastAsia="zh-CN"/>
              </w:rPr>
            </w:pPr>
            <w:r>
              <w:rPr>
                <w:spacing w:val="-9"/>
                <w:position w:val="26"/>
                <w:lang w:eastAsia="zh-CN"/>
              </w:rPr>
              <w:t>6、采用国际标准或国外先进标准的， 说明采标程度， 以及国内外同类标准水</w:t>
            </w:r>
          </w:p>
          <w:p>
            <w:pPr>
              <w:pStyle w:val="6"/>
              <w:spacing w:before="172" w:line="220" w:lineRule="auto"/>
              <w:rPr>
                <w:spacing w:val="-2"/>
                <w:lang w:eastAsia="zh-CN"/>
              </w:rPr>
            </w:pPr>
            <w:r>
              <w:rPr>
                <w:spacing w:val="-2"/>
              </w:rPr>
              <w:t>平的对比情况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9573" w:type="dxa"/>
            <w:gridSpan w:val="2"/>
          </w:tcPr>
          <w:p>
            <w:pPr>
              <w:pStyle w:val="6"/>
              <w:spacing w:before="177" w:line="624" w:lineRule="exact"/>
              <w:ind w:left="120"/>
              <w:rPr>
                <w:spacing w:val="-9"/>
                <w:position w:val="26"/>
                <w:lang w:eastAsia="zh-CN"/>
              </w:rPr>
            </w:pPr>
            <w:r>
              <w:rPr>
                <w:spacing w:val="-9"/>
                <w:position w:val="26"/>
                <w:lang w:eastAsia="zh-CN"/>
              </w:rPr>
              <w:t>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9573" w:type="dxa"/>
            <w:gridSpan w:val="2"/>
          </w:tcPr>
          <w:p>
            <w:pPr>
              <w:pStyle w:val="6"/>
              <w:spacing w:before="177" w:line="624" w:lineRule="exact"/>
              <w:ind w:left="120"/>
              <w:rPr>
                <w:spacing w:val="-9"/>
                <w:position w:val="26"/>
                <w:lang w:eastAsia="zh-CN"/>
              </w:rPr>
            </w:pPr>
            <w:r>
              <w:rPr>
                <w:spacing w:val="-2"/>
                <w:lang w:eastAsia="zh-CN"/>
              </w:rPr>
              <w:t>7、重大分歧意见的处理经过和依据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9573" w:type="dxa"/>
            <w:gridSpan w:val="2"/>
          </w:tcPr>
          <w:p>
            <w:pPr>
              <w:pStyle w:val="6"/>
              <w:spacing w:before="177" w:line="624" w:lineRule="exact"/>
              <w:ind w:left="120"/>
              <w:rPr>
                <w:spacing w:val="-2"/>
                <w:lang w:eastAsia="zh-CN"/>
              </w:rPr>
            </w:pPr>
            <w:r>
              <w:rPr>
                <w:spacing w:val="-2"/>
                <w:lang w:eastAsia="zh-CN"/>
              </w:rPr>
              <w:t>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9573" w:type="dxa"/>
            <w:gridSpan w:val="2"/>
          </w:tcPr>
          <w:p>
            <w:pPr>
              <w:pStyle w:val="6"/>
              <w:spacing w:before="175" w:line="624" w:lineRule="exact"/>
              <w:ind w:left="119"/>
              <w:rPr>
                <w:lang w:eastAsia="zh-CN"/>
              </w:rPr>
            </w:pPr>
            <w:r>
              <w:rPr>
                <w:spacing w:val="-1"/>
                <w:position w:val="26"/>
                <w:lang w:eastAsia="zh-CN"/>
              </w:rPr>
              <w:t>8、贯彻标准的要求和措施建议（包括组织措施、技术措施、过渡办</w:t>
            </w:r>
            <w:r>
              <w:rPr>
                <w:spacing w:val="-2"/>
                <w:position w:val="26"/>
                <w:lang w:eastAsia="zh-CN"/>
              </w:rPr>
              <w:t>法、实施</w:t>
            </w:r>
          </w:p>
          <w:p>
            <w:pPr>
              <w:pStyle w:val="6"/>
              <w:spacing w:before="177" w:line="624" w:lineRule="exact"/>
              <w:ind w:left="120"/>
              <w:rPr>
                <w:spacing w:val="-2"/>
                <w:lang w:eastAsia="zh-CN"/>
              </w:rPr>
            </w:pPr>
            <w:r>
              <w:rPr>
                <w:spacing w:val="-15"/>
              </w:rPr>
              <w:t>日期等）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9573" w:type="dxa"/>
            <w:gridSpan w:val="2"/>
          </w:tcPr>
          <w:p>
            <w:pPr>
              <w:pStyle w:val="6"/>
              <w:spacing w:before="176" w:line="219" w:lineRule="auto"/>
              <w:ind w:left="679"/>
              <w:rPr>
                <w:lang w:eastAsia="zh-CN"/>
              </w:rPr>
            </w:pPr>
            <w:r>
              <w:rPr>
                <w:spacing w:val="-2"/>
                <w:lang w:eastAsia="zh-CN"/>
              </w:rPr>
              <w:t>标准发布后，建议采取如下一些具体措施开展标准的宣贯和实施工作：</w:t>
            </w:r>
          </w:p>
          <w:p>
            <w:pPr>
              <w:pStyle w:val="6"/>
              <w:spacing w:before="175" w:line="624" w:lineRule="exact"/>
              <w:ind w:left="119"/>
              <w:rPr>
                <w:rFonts w:hint="eastAsia"/>
                <w:spacing w:val="-1"/>
                <w:position w:val="26"/>
                <w:lang w:eastAsia="zh-CN"/>
              </w:rPr>
            </w:pPr>
            <w:r>
              <w:rPr>
                <w:spacing w:val="-16"/>
                <w:lang w:eastAsia="zh-CN"/>
              </w:rPr>
              <w:t>（1）由标准归口单位牵头，</w:t>
            </w:r>
            <w:r>
              <w:rPr>
                <w:spacing w:val="-38"/>
                <w:lang w:eastAsia="zh-CN"/>
              </w:rPr>
              <w:t xml:space="preserve"> </w:t>
            </w:r>
            <w:r>
              <w:rPr>
                <w:spacing w:val="-16"/>
                <w:lang w:eastAsia="zh-CN"/>
              </w:rPr>
              <w:t>起草单位具体实</w:t>
            </w:r>
            <w:r>
              <w:rPr>
                <w:spacing w:val="-17"/>
                <w:lang w:eastAsia="zh-CN"/>
              </w:rPr>
              <w:t>施， 开展该标准的宣贯</w:t>
            </w:r>
            <w:r>
              <w:rPr>
                <w:spacing w:val="-31"/>
                <w:lang w:eastAsia="zh-CN"/>
              </w:rPr>
              <w:t>；（</w:t>
            </w:r>
            <w:r>
              <w:rPr>
                <w:rFonts w:ascii="Calibri" w:hAnsi="Calibri" w:eastAsia="Calibri" w:cs="Calibri"/>
                <w:spacing w:val="-17"/>
                <w:lang w:eastAsia="zh-CN"/>
              </w:rPr>
              <w:t>2</w:t>
            </w:r>
            <w:r>
              <w:rPr>
                <w:spacing w:val="-17"/>
                <w:lang w:eastAsia="zh-CN"/>
              </w:rPr>
              <w:t>）标准起草单位应继续开展研究，改进和完善标准的相关内容。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9573" w:type="dxa"/>
            <w:gridSpan w:val="2"/>
          </w:tcPr>
          <w:p>
            <w:pPr>
              <w:pStyle w:val="6"/>
              <w:spacing w:before="176" w:line="219" w:lineRule="auto"/>
              <w:rPr>
                <w:spacing w:val="-2"/>
                <w:lang w:eastAsia="zh-CN"/>
              </w:rPr>
            </w:pPr>
            <w:r>
              <w:rPr>
                <w:spacing w:val="-2"/>
                <w:lang w:eastAsia="zh-CN"/>
              </w:rPr>
              <w:t>9、废止现行相关标准的建议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9573" w:type="dxa"/>
            <w:gridSpan w:val="2"/>
          </w:tcPr>
          <w:p>
            <w:pPr>
              <w:pStyle w:val="6"/>
              <w:spacing w:before="176" w:line="219" w:lineRule="auto"/>
              <w:rPr>
                <w:spacing w:val="-2"/>
                <w:lang w:eastAsia="zh-CN"/>
              </w:rPr>
            </w:pPr>
            <w:r>
              <w:rPr>
                <w:spacing w:val="-2"/>
                <w:lang w:eastAsia="zh-CN"/>
              </w:rPr>
              <w:t>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9573" w:type="dxa"/>
            <w:gridSpan w:val="2"/>
          </w:tcPr>
          <w:p>
            <w:pPr>
              <w:pStyle w:val="6"/>
              <w:spacing w:before="176" w:line="219" w:lineRule="auto"/>
              <w:rPr>
                <w:spacing w:val="-2"/>
                <w:lang w:eastAsia="zh-CN"/>
              </w:rPr>
            </w:pPr>
            <w:r>
              <w:rPr>
                <w:spacing w:val="-4"/>
                <w:lang w:eastAsia="zh-CN"/>
              </w:rPr>
              <w:t>10、其它应予说明的事项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9573" w:type="dxa"/>
            <w:gridSpan w:val="2"/>
          </w:tcPr>
          <w:p>
            <w:pPr>
              <w:pStyle w:val="6"/>
              <w:spacing w:before="176" w:line="219" w:lineRule="auto"/>
              <w:rPr>
                <w:spacing w:val="-4"/>
                <w:lang w:eastAsia="zh-CN"/>
              </w:rPr>
            </w:pPr>
            <w:r>
              <w:rPr>
                <w:spacing w:val="-4"/>
                <w:lang w:eastAsia="zh-CN"/>
              </w:rPr>
              <w:t>无</w:t>
            </w:r>
          </w:p>
        </w:tc>
      </w:tr>
    </w:tbl>
    <w:p>
      <w:pPr>
        <w:rPr>
          <w:rFonts w:eastAsiaTheme="minorEastAsia"/>
          <w:lang w:eastAsia="zh-CN"/>
        </w:rPr>
      </w:pPr>
      <w:r>
        <w:rPr>
          <w:rFonts w:ascii="黑体" w:hAnsi="黑体" w:eastAsia="黑体" w:cs="黑体"/>
          <w:spacing w:val="-10"/>
          <w:sz w:val="18"/>
          <w:szCs w:val="18"/>
          <w:lang w:eastAsia="zh-CN"/>
        </w:rPr>
        <w:t xml:space="preserve">注： </w:t>
      </w:r>
      <w:r>
        <w:rPr>
          <w:rFonts w:ascii="宋体" w:hAnsi="宋体" w:eastAsia="宋体" w:cs="宋体"/>
          <w:spacing w:val="-10"/>
          <w:sz w:val="28"/>
          <w:szCs w:val="28"/>
          <w:lang w:eastAsia="zh-CN"/>
        </w:rPr>
        <w:t>没有的请填写</w:t>
      </w:r>
      <w:r>
        <w:rPr>
          <w:rFonts w:ascii="宋体" w:hAnsi="宋体" w:eastAsia="宋体" w:cs="宋体"/>
          <w:spacing w:val="66"/>
          <w:sz w:val="28"/>
          <w:szCs w:val="28"/>
          <w:lang w:eastAsia="zh-CN"/>
        </w:rPr>
        <w:t xml:space="preserve"> </w:t>
      </w:r>
      <w:r>
        <w:rPr>
          <w:rFonts w:ascii="宋体" w:hAnsi="宋体" w:eastAsia="宋体" w:cs="宋体"/>
          <w:spacing w:val="-20"/>
          <w:sz w:val="28"/>
          <w:szCs w:val="28"/>
          <w:lang w:eastAsia="zh-CN"/>
        </w:rPr>
        <w:t>“无”。</w:t>
      </w:r>
    </w:p>
    <w:p>
      <w:pPr>
        <w:rPr>
          <w:rFonts w:hint="eastAsia" w:eastAsiaTheme="minor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ViY2JkMjU3NGYzZTEwMzZmMGFkZWViYmNkYWU3NDIifQ=="/>
  </w:docVars>
  <w:rsids>
    <w:rsidRoot w:val="00077369"/>
    <w:rsid w:val="00077369"/>
    <w:rsid w:val="000E7B78"/>
    <w:rsid w:val="0018207D"/>
    <w:rsid w:val="00F06E8A"/>
    <w:rsid w:val="184A2604"/>
    <w:rsid w:val="590D21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nhideWhenUsed/>
    <w:uiPriority w:val="1"/>
  </w:style>
  <w:style w:type="table" w:default="1" w:styleId="2">
    <w:name w:val="Normal Table"/>
    <w:autoRedefine/>
    <w:semiHidden/>
    <w:unhideWhenUsed/>
    <w:qFormat/>
    <w:uiPriority w:val="99"/>
    <w:tblPr>
      <w:tblCellMar>
        <w:top w:w="0" w:type="dxa"/>
        <w:left w:w="108" w:type="dxa"/>
        <w:bottom w:w="0" w:type="dxa"/>
        <w:right w:w="108" w:type="dxa"/>
      </w:tblCellMar>
    </w:tblPr>
  </w:style>
  <w:style w:type="table" w:styleId="3">
    <w:name w:val="Table Grid"/>
    <w:basedOn w:val="2"/>
    <w:autoRedefine/>
    <w:qFormat/>
    <w:uiPriority w:val="5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
    <w:name w:val="Table Normal"/>
    <w:autoRedefine/>
    <w:semiHidden/>
    <w:unhideWhenUsed/>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6">
    <w:name w:val="Table Text"/>
    <w:basedOn w:val="1"/>
    <w:autoRedefine/>
    <w:semiHidden/>
    <w:qFormat/>
    <w:uiPriority w:val="0"/>
    <w:rPr>
      <w:rFonts w:ascii="宋体" w:hAnsi="宋体" w:eastAsia="宋体" w:cs="宋体"/>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9</Pages>
  <Words>733</Words>
  <Characters>4183</Characters>
  <Lines>34</Lines>
  <Paragraphs>9</Paragraphs>
  <TotalTime>34</TotalTime>
  <ScaleCrop>false</ScaleCrop>
  <LinksUpToDate>false</LinksUpToDate>
  <CharactersWithSpaces>4907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2024-05-12T15:28:00Z</dcterms:created>
  <dc:creator>Windows User</dc:creator>
  <cp:lastModifiedBy>胡萝卜大侠</cp:lastModifiedBy>
  <dcterms:modified xsi:type="dcterms:W3CDTF">2024-05-29T15:01:31Z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88BD3203D9CE4B8FA984B8230E4E2250_12</vt:lpwstr>
  </property>
</Properties>
</file>