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jc w:val="both"/>
        <w:rPr>
          <w:rFonts w:ascii="黑体" w:hAnsi="黑体" w:eastAsia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  <w:lang w:bidi="ar"/>
        </w:rPr>
        <w:t>附件2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Ansi="黑体"/>
          <w:color w:val="auto"/>
          <w:sz w:val="42"/>
          <w:szCs w:val="42"/>
          <w:lang w:bidi="ar"/>
        </w:rPr>
      </w:pPr>
      <w:r>
        <w:rPr>
          <w:rFonts w:hint="eastAsia" w:hAnsi="黑体"/>
          <w:color w:val="auto"/>
          <w:sz w:val="42"/>
          <w:szCs w:val="42"/>
          <w:lang w:bidi="ar"/>
        </w:rPr>
        <w:t>2024年全省定点医疗机构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Ansi="黑体"/>
          <w:color w:val="auto"/>
          <w:sz w:val="42"/>
          <w:szCs w:val="42"/>
          <w:lang w:bidi="ar"/>
        </w:rPr>
      </w:pPr>
      <w:r>
        <w:rPr>
          <w:rFonts w:hint="eastAsia" w:hAnsi="黑体"/>
          <w:color w:val="auto"/>
          <w:sz w:val="42"/>
          <w:szCs w:val="42"/>
          <w:lang w:bidi="ar"/>
        </w:rPr>
        <w:t>DRG/DIP支付方式改革绩效管理评价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rPr>
          <w:rFonts w:hAnsi="黑体"/>
          <w:color w:val="auto"/>
          <w:sz w:val="42"/>
          <w:szCs w:val="42"/>
          <w:lang w:bidi="ar"/>
        </w:rPr>
      </w:pPr>
      <w:r>
        <w:rPr>
          <w:rFonts w:hint="eastAsia" w:hAnsi="黑体"/>
          <w:color w:val="auto"/>
          <w:sz w:val="42"/>
          <w:szCs w:val="42"/>
          <w:lang w:bidi="ar"/>
        </w:rPr>
        <w:t>操作手册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为有效提升全省DRG/DIP支付方式改革成效，充分发挥医保支付方式改革战略购买作用，着力引导定点医疗机构深度参与改革，结合《甘肃省DRG/DIP支付方式改革三年行动计划》要求，制定定点医疗机构绩效评价手册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  <w:lang w:bidi="ar"/>
        </w:rPr>
        <w:t>一、评价范围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开展DRG/DIP支付方式改革的定点医疗机构。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  <w:lang w:bidi="ar"/>
        </w:rPr>
        <w:t>二、评价周期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按年度组织实施绩效评价工作，在年度清算前完成；数据时限范围：2024年1月1日—12月31日。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  <w:lang w:bidi="ar"/>
        </w:rPr>
        <w:t>三</w:t>
      </w:r>
      <w:r>
        <w:rPr>
          <w:rFonts w:ascii="黑体" w:hAnsi="黑体" w:eastAsia="黑体"/>
          <w:color w:val="auto"/>
          <w:sz w:val="32"/>
          <w:szCs w:val="32"/>
          <w:lang w:bidi="ar"/>
        </w:rPr>
        <w:t>、</w:t>
      </w:r>
      <w:r>
        <w:rPr>
          <w:rFonts w:hint="eastAsia" w:ascii="黑体" w:hAnsi="黑体" w:eastAsia="黑体"/>
          <w:color w:val="auto"/>
          <w:sz w:val="32"/>
          <w:szCs w:val="32"/>
          <w:lang w:bidi="ar"/>
        </w:rPr>
        <w:t>评价办法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评价指标中的定性指标由市州医保部门组织评分；定量指标由省医保局从DRG/DIP支付结算系统中提取数据统一计算赋分。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黑体" w:hAnsi="黑体" w:eastAsia="黑体"/>
          <w:color w:val="auto"/>
          <w:sz w:val="32"/>
          <w:szCs w:val="32"/>
          <w:lang w:bidi="ar"/>
        </w:rPr>
      </w:pPr>
      <w:r>
        <w:rPr>
          <w:rFonts w:hint="eastAsia" w:ascii="黑体" w:hAnsi="黑体" w:eastAsia="黑体"/>
          <w:color w:val="auto"/>
          <w:sz w:val="32"/>
          <w:szCs w:val="32"/>
          <w:lang w:bidi="ar"/>
        </w:rPr>
        <w:t>四、评价指标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依据《甘肃省定点医疗机构DRG/DIP支付方式改革绩效管理评价表》进行评价，按照计分制，对不同评价对象设置总分均为1000分，其中：5个一级指标，33个二级指标，34个三级指标。其中，定性指标5个，定量指标31个。分为组织建设140分，医保结算清单质量管理120分，医疗服务能力230分，医疗质量管理110分，医疗服务效率520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评价标准说明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“同比”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是指该医疗机构本年度与上年度相比较。</w:t>
      </w: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“同级别医疗机构”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是指省级医疗机构（三甲）、市级医疗机构（三甲、三乙）、县级医疗机构（三乙、二级）、基层医疗机构（一级及未定级医疗机构）。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楷体_GB2312" w:hAnsi="Times New Roman" w:eastAsia="楷体_GB2312"/>
          <w:color w:val="auto"/>
          <w:sz w:val="32"/>
          <w:szCs w:val="32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lang w:bidi="ar"/>
        </w:rPr>
        <w:t>（一）组织建设（</w:t>
      </w:r>
      <w:r>
        <w:rPr>
          <w:rFonts w:hint="eastAsia" w:ascii="楷体_GB2312" w:hAnsi="Times New Roman" w:eastAsia="楷体_GB2312"/>
          <w:bCs/>
          <w:color w:val="auto"/>
          <w:sz w:val="32"/>
          <w:szCs w:val="32"/>
          <w:lang w:bidi="ar"/>
        </w:rPr>
        <w:t>140</w:t>
      </w:r>
      <w:r>
        <w:rPr>
          <w:rFonts w:hint="eastAsia" w:ascii="楷体_GB2312" w:hAnsi="Times New Roman" w:eastAsia="楷体_GB2312"/>
          <w:color w:val="auto"/>
          <w:sz w:val="32"/>
          <w:szCs w:val="32"/>
          <w:lang w:bidi="ar"/>
        </w:rPr>
        <w:t>分）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1.建立DRG/DIP工作推进机制（60分）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（1）建立主要领导抓改革、院内多部门协同抓支付方式改革的工作机制。（40分）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：定性指标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指标意义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：评价医疗机构支付方式改革内部管理协同推进情况。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主要领导抓改革、建立以医保牵头的多部门协作的工作机制，成立由相关职能科室、临床科室主任作为委员的医保管理委员会，有明确的部门职责分工，得20分；每月召开院内支付方式改革运营分析会议，得20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：医院填报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（2）广泛开展DRG/DIP支付方式改革培训。（20分）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：定性指标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指标意义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：评价医疗机构支付方式改革内部培训情况。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：定期分层级召开院级、职能部门、临床科室DRG/DIP支付方式改革培训，得20分。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：医院填报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2.建立健全医疗质量安全管理制度（40分）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规范医疗行为，合理控制医疗成本。（40分）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：定性/定量指标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指标意义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：评价医疗行为的规范性，医疗成本的合理性。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：建立全员参与、覆盖临床诊疗服务全过程的医疗质量管理与控制工作制度，得20分；编码人员年度负担出院患者病历数小于或等于同级医疗机构均值的，得20分。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：逐步提升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：医院填报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：编码人员年度负担出院患者病历数=年度医疗机构上传医保结算清单数÷具有编码资质的编码人员数量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3.建立健全绩效分配制度（40分）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建立适应DRG/DIP支付特点的医院绩效分配制度。（40分）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：定性指标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指标意义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：评价医疗机构建立适应DRG/DIP支付特点的医院绩效分配制度。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：结合DRG/DIP支付方式改革特点，建立完善院内绩效分配制度，并组织实施的，得40分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：医院填报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楷体_GB2312" w:hAnsi="Times New Roman" w:eastAsia="楷体_GB2312"/>
          <w:color w:val="auto"/>
          <w:sz w:val="32"/>
          <w:szCs w:val="32"/>
          <w:lang w:bidi="ar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lang w:bidi="ar"/>
        </w:rPr>
        <w:t>（二）医保结算清单质量管理（120分）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1.医保结算清单上传率（20分）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：医保结算清单上传率100%得20分，下降1个百分点扣4分，扣完为止。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：逐步提升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：医保结算清单上传率=年度医疗机构上传医保结算清单数÷年度医疗机构医保结算人数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2.医保结算清单质控通过率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（20分）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：医保结算清单质控通过率100%得20分，每下降1个百分点扣4分，扣完为止。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：逐步提升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：医保结算清单质控通过率=年度医疗机构医保结算清单质控通过数÷年度医疗机构医保结算上传数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3.医保结算清单入组率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（20分）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：根据年度同级医疗机构入组率最高值从高到低排序，以最高值为参照，每下降1个百分点扣4分，扣完为止。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：逐步提升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：医保结算清单入组率=年度医疗机构医保结算清单入组数÷年度医疗机构医保结算人数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4.医保结算清单严重问题数量占比（40分）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：年度医保结算清单严重问题数量与上年同比，下降的得20分。严重问题数量为0的，得40分。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5.医保结算清单一般问题数量占比（20分）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：年度医保结算清单一般问题数量与上年同比，下降的得10分。一般问题数量为0的，得20分。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楷体_GB2312" w:hAnsi="Times New Roman" w:eastAsia="楷体_GB2312"/>
          <w:color w:val="auto"/>
          <w:sz w:val="32"/>
          <w:szCs w:val="32"/>
          <w:lang w:bidi="ar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lang w:bidi="ar"/>
        </w:rPr>
        <w:t>（三）医疗服务能力（230分）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1.DRG病组数（DIP病种数）覆盖率（40分）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：年度医疗机构DRG病组数（DIP病种数）覆盖率与上年度同比，每下降1个百分点扣10分，扣完为止。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：DRG病组数（DIP病种数）覆盖率=年度医疗机构DRG病组数（DIP病种数）÷总DRG病组数（总DIP病种数）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2.病例组合指数（CMI）（40分）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：年度医疗机构CMI指数与上年同比，持平的得20分，提高的得40分。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：无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：CMI值（DRG）=该医院DRG入组病例总权重÷该院DRG入组病例总病例数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CMI值（DIP）=该医院DIP入组病例总分值÷该院DIP入组病例总病例数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3.三、四级手术比例*（30分）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：年度三级医疗机构四级手术比例与上年同比，持平的得15分，提高的得30分；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年度二级医疗机构三、四级手术比例与上年同比，持平的得15分，提高的得30分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：四级手术比例（三级医疗机构）= 出院患者四级手术台次数÷同期出院患者手术台次数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三级手术比例（二级医疗机构）=年度出院患者三级手术台次数÷同期出院患者手术台次数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：纳入DRG/DIP的二级及以上医疗机构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4.基层医疗机构手术及操作组组数（40分）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：年度基层医疗机构手术及操作组组数与上年同比，每增加1组，加10分。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：纳入DRG/DIP的基层医疗机构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5.基层病组数量覆盖占比（40分）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：基层医疗机构基层病组覆盖率100%得40分；90%以上，得30分；80%以上，得20分；70%以上，得10分；60%以上，得5分。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：基层病组数量覆盖占比=年度基层医疗机构基层收治病组组数÷基层病组组数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：纳入DRG/DIP的基层医疗机构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6.基层病组收治人次占比（40分）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：基层医疗机构基层病组收治人次占比与上年同比，每上升5个百分点加10分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：基层病组收治人次占比=（年度基层病组收治人次-上年度基层病组收治人次）÷上年度基层病组收治人次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：纳入DRG/DIP的基层医疗机构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楷体_GB2312" w:hAnsi="Times New Roman" w:eastAsia="楷体_GB2312"/>
          <w:color w:val="auto"/>
          <w:sz w:val="32"/>
          <w:szCs w:val="32"/>
          <w:lang w:bidi="ar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lang w:bidi="ar"/>
        </w:rPr>
        <w:t>（四）医疗质量管理（110分）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1.临床路径入径数（30分）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：年度同级医疗机构病种临床路径入径数量与上年同比，持平的得15分，提高的得30分。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：例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：医院填报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临床路径入径占比=年度医疗机构纳入临床路径的病例数÷年度医疗机构总病例数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：纳入DRG/DIP的二级及以上医疗机构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2.再住院率*（40分）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：年度医疗机构再住院率与上年同比，持平的得20分，下降的得40分。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再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院率=患者出院后非计划重返再住院人次数÷同期出院患者总人次数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3.低风险组病例死亡率*（40分）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：年度低风险组病例死亡率与上年同比，持平的得20分，下降的得40分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低风险组病例死亡率=低风险组死亡病例数÷低风险组病例数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0" w:firstLineChars="200"/>
        <w:jc w:val="both"/>
        <w:rPr>
          <w:rFonts w:ascii="楷体_GB2312" w:hAnsi="Times New Roman" w:eastAsia="楷体_GB2312"/>
          <w:color w:val="auto"/>
          <w:sz w:val="32"/>
          <w:szCs w:val="32"/>
          <w:lang w:bidi="ar"/>
        </w:rPr>
      </w:pPr>
      <w:r>
        <w:rPr>
          <w:rFonts w:hint="eastAsia" w:ascii="楷体_GB2312" w:hAnsi="Times New Roman" w:eastAsia="楷体_GB2312"/>
          <w:color w:val="auto"/>
          <w:sz w:val="32"/>
          <w:szCs w:val="32"/>
          <w:lang w:bidi="ar"/>
        </w:rPr>
        <w:t>（五）医疗服务效率（520分）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1.费用消耗指数（40分）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：年度医疗机构费用消耗指数与上年同比，持平的得20分，下降的得40分。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：无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：费用消耗指数=Σ（医疗机构该病组住院次均费用÷纳入DRG/DIP的全部医疗机构该病组住院次均费用×该医疗机构该病组病例数）÷该医疗机构总病组病例数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2.时间消耗指数（40分）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：年度医疗机构时间消耗指数与上年同比，持平的得20分，下降的得40分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：无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：时间消耗指数=Σ（医疗机构该病组平均住院日÷纳入DRG/DIP的医疗机构该病组平均住院日×该医疗机构该病组病例数）÷该医疗机构总病组病例数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3.药品消耗指数（40分）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：年度医疗机构药品消耗指数与上年同比，持平的得20分，下降的得40分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：无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药品消耗指数=Σ（医疗机构该病组次均药品费用÷纳入DRG/DIP的医疗机构该病组次均药品费用×该医疗机构该病组病例数）÷该医疗机构总病组病例数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4.耗材消耗指数（40分）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：年度医疗机构耗材消耗指数与上年同比，持平的得20分，下降的得40分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  <w:lang w:bidi="ar"/>
        </w:rPr>
        <w:t>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：无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耗材消耗指数=Σ(医疗机构该病组次均耗材费用÷纳入DRG/DIP的医疗机构该病组次均耗材费用×该医疗机构该病组病例数）÷该医疗机构总病组病例数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5.平均住院日*（30分）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：年度医疗机构平均住院日与上年同比，持平的得15分，下降的得30分。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平均住院日=年度出院患者占用总床日数÷同期出院人数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6.参保患者住院费用实际补偿比（30分）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：年度医疗机构参保患者住院费用实际补偿与上年同比，持平的得15分，上升的得30分。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：逐步提升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参保患者住院费用实际补偿比=参保患者住院期间医保报销金额÷住院总费用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7.参保患者次均住院费用（30分）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：年度医疗机构参保患者住院次均费用与上年同比，持平的得15分，下降的得30分。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：元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参保患者</w:t>
      </w:r>
      <w:r>
        <w:rPr>
          <w:rFonts w:hint="eastAsia" w:ascii="仿宋_GB2312" w:hAnsi="Times New Roman" w:eastAsia="仿宋_GB2312"/>
          <w:bCs/>
          <w:color w:val="auto"/>
          <w:sz w:val="32"/>
          <w:szCs w:val="32"/>
        </w:rPr>
        <w:t>次均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住院费用=住院总费用÷住院总人数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8.人次人头比（30分）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：年度人次人头比与上年同比，持平的得15分，下降的得30分。（放化疗除外）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人次人头比=住院总人次数÷住院总人数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9.集采中选药品使用占比达标率*（30分）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：达标率100%的得30分；100%～80%之间的，每降低1个百分点减1分；80%以下的不得分。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集采药品使用占比=中标药品用量÷同种药品用量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10.集采中选药品采购协议量完成比例*（30分）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：约定量完成比例100%的得30分；100%～80%之间的，每降低1个百分点减1分；80%以下的不得分。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集中采购中选药品完成比例=中选药品采购完成品种数÷中选药品品种总数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11.集采耗材使用占比（30分）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：集采中选耗材使用比例100%的得30分；100%～80%之间的，每降低1个百分点减1分；80%以下的不得分。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集采耗材使用占比=中标耗材用量÷同种耗材用量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12.集中采购中选耗材完成比例（30分）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：约定量完成比例100%的得30分；100%～80%之间的，每降低1个百分点减1分；80%以下的不得分。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集中采购中选耗材完成比例=中选耗材采购完成品种数÷中选耗材品种总数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13.检验检查费用占比（30分）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：年度医疗机构检验检查费用占比与上年同比，持平的得15分，下降的得30分。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住院医疗检验检查费用占比=住院检验检查费用÷住院总费用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14.谈判药品配备种类占比（30分）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：年度医疗机构谈判药品配备种类与上年同比，持平的得15分，增加的得30分。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：医院填报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谈判药品配备种类占比=年度医疗机构谈判药品配备种类÷年度谈判药品种类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：纳入DRG/DIP的二级及以上医疗机构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15.医疗服务收入占比*（30分）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：年度医疗机构医疗服务收入占比与上年同比，持平的得15分，增幅的得30分。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：正向指标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住院医疗服务收入占比=住院医疗服务收入÷住院医疗收入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：纳入DRG/DIP的全部医疗机构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widowControl w:val="0"/>
        <w:tabs>
          <w:tab w:val="left" w:pos="779"/>
        </w:tabs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</w:rPr>
        <w:t>16.剔除有关项后的医疗收入增幅*（30分）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指标属性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：定量指标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评价标准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：年度医疗机构剔除有关项后的医疗收入增幅与上年同比，持平的得15分，下降的得30分。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计量单位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：%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指标导向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：逐步降低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数据来源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：系统提取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计算公式：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剔除有关项后的医疗收入增幅=（本年度剔除有关项后的医疗收入-上一年度剔除有关项后的医疗收入）÷上一年度剔除有关项后的医疗收入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评价对象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：纳入DRG/DIP的二级及以上医疗机构</w:t>
      </w:r>
    </w:p>
    <w:p>
      <w:pPr>
        <w:widowControl w:val="0"/>
        <w:overflowPunct w:val="0"/>
        <w:autoSpaceDE w:val="0"/>
        <w:autoSpaceDN w:val="0"/>
        <w:adjustRightInd w:val="0"/>
        <w:snapToGrid w:val="0"/>
        <w:spacing w:line="580" w:lineRule="exact"/>
        <w:ind w:firstLine="643" w:firstLineChars="200"/>
        <w:jc w:val="both"/>
        <w:rPr>
          <w:rFonts w:ascii="仿宋_GB2312" w:hAnsi="Times New Roman" w:eastAsia="仿宋_GB2312"/>
          <w:b/>
          <w:bCs/>
          <w:color w:val="auto"/>
          <w:sz w:val="32"/>
          <w:szCs w:val="32"/>
          <w:lang w:bidi="ar"/>
        </w:rPr>
      </w:pPr>
      <w:r>
        <w:rPr>
          <w:rFonts w:hint="eastAsia" w:ascii="仿宋_GB2312" w:hAnsi="Times New Roman" w:eastAsia="仿宋_GB2312"/>
          <w:b/>
          <w:bCs/>
          <w:color w:val="auto"/>
          <w:sz w:val="32"/>
          <w:szCs w:val="32"/>
          <w:lang w:bidi="ar"/>
        </w:rPr>
        <w:t>评价主体：</w:t>
      </w:r>
      <w:r>
        <w:rPr>
          <w:rFonts w:hint="eastAsia" w:ascii="仿宋_GB2312" w:hAnsi="Times New Roman" w:eastAsia="仿宋_GB2312"/>
          <w:color w:val="auto"/>
          <w:sz w:val="32"/>
          <w:szCs w:val="32"/>
          <w:lang w:bidi="ar"/>
        </w:rPr>
        <w:t>各市州医保部门调取</w:t>
      </w:r>
    </w:p>
    <w:p>
      <w:pPr>
        <w:spacing w:line="240" w:lineRule="auto"/>
        <w:jc w:val="left"/>
        <w:rPr>
          <w:color w:val="auto"/>
          <w:lang w:bidi="ar"/>
        </w:rPr>
      </w:pPr>
      <w:bookmarkStart w:id="0" w:name="_GoBack"/>
      <w:bookmarkEnd w:id="0"/>
    </w:p>
    <w:sectPr>
      <w:footerReference r:id="rId5" w:type="default"/>
      <w:pgSz w:w="11906" w:h="16838"/>
      <w:pgMar w:top="1701" w:right="1588" w:bottom="1701" w:left="1588" w:header="851" w:footer="992" w:gutter="0"/>
      <w:pgNumType w:fmt="numberInDash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4401638-B711-4B03-9D21-5814B6F68D5B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CEE54382-20BD-47F1-8B9E-7AF98B29E335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AAD52975-A14F-4EC9-95C5-9870BE8C6404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2456180</wp:posOffset>
              </wp:positionH>
              <wp:positionV relativeFrom="paragraph">
                <wp:posOffset>0</wp:posOffset>
              </wp:positionV>
              <wp:extent cx="370205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70205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5"/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193.4pt;margin-top:0pt;height:144pt;width:29.15pt;mso-position-horizontal-relative:margin;z-index:251659264;mso-width-relative:page;mso-height-relative:page;" filled="f" stroked="f" coordsize="21600,21600" o:gfxdata="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A2leo/1wAAAAgBAAAPAAAAAAAAAAEAIAAAACIAAABkcnMvZG93bnJldi54bWxQ&#10;SwECFAAUAAAACACHTuJA2jnRxDECAABW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VjNTE5ZjE4ZGM0OGEzZjU5ODYyOWEwMWFiZjM0ZGIifQ=="/>
  </w:docVars>
  <w:rsids>
    <w:rsidRoot w:val="CFB4A1FC"/>
    <w:rsid w:val="001131E9"/>
    <w:rsid w:val="001D552A"/>
    <w:rsid w:val="002B1CBC"/>
    <w:rsid w:val="00317B11"/>
    <w:rsid w:val="003849AE"/>
    <w:rsid w:val="004E574C"/>
    <w:rsid w:val="00532532"/>
    <w:rsid w:val="00556589"/>
    <w:rsid w:val="00572C74"/>
    <w:rsid w:val="0061443A"/>
    <w:rsid w:val="006167B2"/>
    <w:rsid w:val="006727EC"/>
    <w:rsid w:val="0068044C"/>
    <w:rsid w:val="00690BC1"/>
    <w:rsid w:val="006E6810"/>
    <w:rsid w:val="006F1FB5"/>
    <w:rsid w:val="007819B2"/>
    <w:rsid w:val="007A68F2"/>
    <w:rsid w:val="00817B22"/>
    <w:rsid w:val="00844D98"/>
    <w:rsid w:val="008E4C88"/>
    <w:rsid w:val="00970C8C"/>
    <w:rsid w:val="00A8371F"/>
    <w:rsid w:val="00C8382C"/>
    <w:rsid w:val="00C94391"/>
    <w:rsid w:val="00EE4BE3"/>
    <w:rsid w:val="00F37CF1"/>
    <w:rsid w:val="00F51D92"/>
    <w:rsid w:val="02BA5D3C"/>
    <w:rsid w:val="03011BBD"/>
    <w:rsid w:val="04CD3FBC"/>
    <w:rsid w:val="07283BBC"/>
    <w:rsid w:val="082347B0"/>
    <w:rsid w:val="08897181"/>
    <w:rsid w:val="09E518F1"/>
    <w:rsid w:val="0A40121D"/>
    <w:rsid w:val="0A5922DF"/>
    <w:rsid w:val="0B7C6285"/>
    <w:rsid w:val="0B7E024F"/>
    <w:rsid w:val="0BFBA55E"/>
    <w:rsid w:val="0D002EE5"/>
    <w:rsid w:val="0D576FA9"/>
    <w:rsid w:val="0E9F69D3"/>
    <w:rsid w:val="0ED028A7"/>
    <w:rsid w:val="0F10646A"/>
    <w:rsid w:val="0FDC38AF"/>
    <w:rsid w:val="11A402E3"/>
    <w:rsid w:val="13165211"/>
    <w:rsid w:val="1384279B"/>
    <w:rsid w:val="13BD38DE"/>
    <w:rsid w:val="144B713C"/>
    <w:rsid w:val="14CE3B89"/>
    <w:rsid w:val="14EB4517"/>
    <w:rsid w:val="151A016E"/>
    <w:rsid w:val="151D2886"/>
    <w:rsid w:val="16745497"/>
    <w:rsid w:val="16F220B5"/>
    <w:rsid w:val="17017F86"/>
    <w:rsid w:val="17255A22"/>
    <w:rsid w:val="19DD8300"/>
    <w:rsid w:val="19FA7B06"/>
    <w:rsid w:val="1CFA525B"/>
    <w:rsid w:val="1D951428"/>
    <w:rsid w:val="1FAB0A8F"/>
    <w:rsid w:val="1FCF277E"/>
    <w:rsid w:val="1FDA1374"/>
    <w:rsid w:val="201B19CB"/>
    <w:rsid w:val="212B00D9"/>
    <w:rsid w:val="2580651A"/>
    <w:rsid w:val="278B1ED4"/>
    <w:rsid w:val="27AFA340"/>
    <w:rsid w:val="2899640B"/>
    <w:rsid w:val="29C55F3E"/>
    <w:rsid w:val="2A533672"/>
    <w:rsid w:val="2ACD67F9"/>
    <w:rsid w:val="2CE850D0"/>
    <w:rsid w:val="2D611200"/>
    <w:rsid w:val="2F195A15"/>
    <w:rsid w:val="2FB599B4"/>
    <w:rsid w:val="30B22269"/>
    <w:rsid w:val="30B71989"/>
    <w:rsid w:val="31A41298"/>
    <w:rsid w:val="34FE3CED"/>
    <w:rsid w:val="3680281D"/>
    <w:rsid w:val="375F329A"/>
    <w:rsid w:val="37A318CD"/>
    <w:rsid w:val="37FF5CFE"/>
    <w:rsid w:val="390037A2"/>
    <w:rsid w:val="3A073743"/>
    <w:rsid w:val="3AF14DEE"/>
    <w:rsid w:val="3BFCB196"/>
    <w:rsid w:val="3CF510E8"/>
    <w:rsid w:val="3FBF1A48"/>
    <w:rsid w:val="3FFA2D1F"/>
    <w:rsid w:val="439873F8"/>
    <w:rsid w:val="456E3CF0"/>
    <w:rsid w:val="47CA48BE"/>
    <w:rsid w:val="48435459"/>
    <w:rsid w:val="492B486B"/>
    <w:rsid w:val="4A396B13"/>
    <w:rsid w:val="4B7F6CB4"/>
    <w:rsid w:val="4CE10B16"/>
    <w:rsid w:val="50404DD7"/>
    <w:rsid w:val="505B3C87"/>
    <w:rsid w:val="51576032"/>
    <w:rsid w:val="51F83758"/>
    <w:rsid w:val="53073C53"/>
    <w:rsid w:val="54B25E40"/>
    <w:rsid w:val="556C1142"/>
    <w:rsid w:val="55B0753C"/>
    <w:rsid w:val="55F85AD5"/>
    <w:rsid w:val="562766AF"/>
    <w:rsid w:val="565D3B8A"/>
    <w:rsid w:val="581406F3"/>
    <w:rsid w:val="59777658"/>
    <w:rsid w:val="598E0CE5"/>
    <w:rsid w:val="59BE5287"/>
    <w:rsid w:val="5A1D0200"/>
    <w:rsid w:val="5A3F00FB"/>
    <w:rsid w:val="5AB43BFE"/>
    <w:rsid w:val="5B1769FD"/>
    <w:rsid w:val="5B1E1DFF"/>
    <w:rsid w:val="5BDE8B97"/>
    <w:rsid w:val="5DF179D9"/>
    <w:rsid w:val="5DFDF025"/>
    <w:rsid w:val="5EB4AE56"/>
    <w:rsid w:val="5EDFA413"/>
    <w:rsid w:val="5F7F240D"/>
    <w:rsid w:val="5FA7EA9E"/>
    <w:rsid w:val="5FEFC714"/>
    <w:rsid w:val="5FFB3923"/>
    <w:rsid w:val="5FFFEB38"/>
    <w:rsid w:val="602A71D2"/>
    <w:rsid w:val="612B1454"/>
    <w:rsid w:val="615362B5"/>
    <w:rsid w:val="621517BC"/>
    <w:rsid w:val="634142E1"/>
    <w:rsid w:val="63870498"/>
    <w:rsid w:val="63BD7CEE"/>
    <w:rsid w:val="65331F2C"/>
    <w:rsid w:val="65570BC6"/>
    <w:rsid w:val="659B01B4"/>
    <w:rsid w:val="660514FF"/>
    <w:rsid w:val="66641A48"/>
    <w:rsid w:val="670A5668"/>
    <w:rsid w:val="67FF6983"/>
    <w:rsid w:val="68295FC1"/>
    <w:rsid w:val="68792AA5"/>
    <w:rsid w:val="69564DAD"/>
    <w:rsid w:val="6B32518D"/>
    <w:rsid w:val="6BBD539F"/>
    <w:rsid w:val="6C6F8DE2"/>
    <w:rsid w:val="6C891725"/>
    <w:rsid w:val="6CCB366E"/>
    <w:rsid w:val="6D3E6ACC"/>
    <w:rsid w:val="6DDF8F8A"/>
    <w:rsid w:val="6E396833"/>
    <w:rsid w:val="6E7A7584"/>
    <w:rsid w:val="6EA43A86"/>
    <w:rsid w:val="6F8EF9A4"/>
    <w:rsid w:val="6FED2098"/>
    <w:rsid w:val="71944BBF"/>
    <w:rsid w:val="71D7300C"/>
    <w:rsid w:val="748527D2"/>
    <w:rsid w:val="749BB335"/>
    <w:rsid w:val="750000AA"/>
    <w:rsid w:val="75662603"/>
    <w:rsid w:val="75BE5602"/>
    <w:rsid w:val="75BFF4CB"/>
    <w:rsid w:val="75CE7BD7"/>
    <w:rsid w:val="75EF3CD5"/>
    <w:rsid w:val="76665502"/>
    <w:rsid w:val="77DF2031"/>
    <w:rsid w:val="77E76594"/>
    <w:rsid w:val="77F82283"/>
    <w:rsid w:val="77FFA71F"/>
    <w:rsid w:val="78FF4673"/>
    <w:rsid w:val="79B80F53"/>
    <w:rsid w:val="7A57AA52"/>
    <w:rsid w:val="7A772BBC"/>
    <w:rsid w:val="7AE77D42"/>
    <w:rsid w:val="7AFF699E"/>
    <w:rsid w:val="7B007056"/>
    <w:rsid w:val="7B3F7B7E"/>
    <w:rsid w:val="7BB704F0"/>
    <w:rsid w:val="7BB70C66"/>
    <w:rsid w:val="7BF7B116"/>
    <w:rsid w:val="7C7A6994"/>
    <w:rsid w:val="7CFFB8FE"/>
    <w:rsid w:val="7D5D1A0D"/>
    <w:rsid w:val="7D7FCA0A"/>
    <w:rsid w:val="7DEFBB0C"/>
    <w:rsid w:val="7DFF1D3B"/>
    <w:rsid w:val="7E935C59"/>
    <w:rsid w:val="7EDCF474"/>
    <w:rsid w:val="7EFF0277"/>
    <w:rsid w:val="7F6B961F"/>
    <w:rsid w:val="7F7B2B68"/>
    <w:rsid w:val="7F7F99AA"/>
    <w:rsid w:val="7FB52F50"/>
    <w:rsid w:val="7FCFF01B"/>
    <w:rsid w:val="7FDFAAE8"/>
    <w:rsid w:val="94D5B4CE"/>
    <w:rsid w:val="9C3CC9FB"/>
    <w:rsid w:val="9F7726C3"/>
    <w:rsid w:val="9FEF33F3"/>
    <w:rsid w:val="B4C34E5D"/>
    <w:rsid w:val="B54F8F28"/>
    <w:rsid w:val="B5BEECE5"/>
    <w:rsid w:val="BB49BEDB"/>
    <w:rsid w:val="BBAF9E18"/>
    <w:rsid w:val="BDFF2C1E"/>
    <w:rsid w:val="BE2F759C"/>
    <w:rsid w:val="BF6963A2"/>
    <w:rsid w:val="BF734A5E"/>
    <w:rsid w:val="BF7E190D"/>
    <w:rsid w:val="BFFEECED"/>
    <w:rsid w:val="C7AF5517"/>
    <w:rsid w:val="CE1FE6E9"/>
    <w:rsid w:val="CED32CFE"/>
    <w:rsid w:val="CEEF4C88"/>
    <w:rsid w:val="CFB4A1FC"/>
    <w:rsid w:val="D6DF84D2"/>
    <w:rsid w:val="DB6DBA73"/>
    <w:rsid w:val="DBBDD894"/>
    <w:rsid w:val="DBD7D920"/>
    <w:rsid w:val="DED4E4C2"/>
    <w:rsid w:val="DF560D84"/>
    <w:rsid w:val="DF65B6D1"/>
    <w:rsid w:val="DFCFD091"/>
    <w:rsid w:val="DFD7D1FC"/>
    <w:rsid w:val="DFFB7493"/>
    <w:rsid w:val="E5F3AC45"/>
    <w:rsid w:val="EB2B6C74"/>
    <w:rsid w:val="EBA7E097"/>
    <w:rsid w:val="ECFD9D47"/>
    <w:rsid w:val="ED7EF56D"/>
    <w:rsid w:val="EDEEE313"/>
    <w:rsid w:val="EEBDA841"/>
    <w:rsid w:val="EEE2D578"/>
    <w:rsid w:val="EF77DA14"/>
    <w:rsid w:val="EFDBA11C"/>
    <w:rsid w:val="EFF2B6D5"/>
    <w:rsid w:val="EFFFC691"/>
    <w:rsid w:val="F2CB9E09"/>
    <w:rsid w:val="F53D9DCB"/>
    <w:rsid w:val="F57F5E0C"/>
    <w:rsid w:val="F6ED0056"/>
    <w:rsid w:val="F7564428"/>
    <w:rsid w:val="F77384FB"/>
    <w:rsid w:val="F77BE7E2"/>
    <w:rsid w:val="F7D7BFF6"/>
    <w:rsid w:val="F7F31DC4"/>
    <w:rsid w:val="F9FF6FC6"/>
    <w:rsid w:val="FA773B15"/>
    <w:rsid w:val="FABFB29B"/>
    <w:rsid w:val="FBEFEAC4"/>
    <w:rsid w:val="FBFFB162"/>
    <w:rsid w:val="FCE6583D"/>
    <w:rsid w:val="FCFF45CC"/>
    <w:rsid w:val="FD9F340D"/>
    <w:rsid w:val="FDFFFA00"/>
    <w:rsid w:val="FE3C4974"/>
    <w:rsid w:val="FE7EF095"/>
    <w:rsid w:val="FEAF2033"/>
    <w:rsid w:val="FEE73B7E"/>
    <w:rsid w:val="FEF2E675"/>
    <w:rsid w:val="FF6E9D76"/>
    <w:rsid w:val="FF8C13C8"/>
    <w:rsid w:val="FFEE809B"/>
    <w:rsid w:val="FFFF156D"/>
    <w:rsid w:val="FFFFC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qFormat="1"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qFormat="1"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spacing w:line="560" w:lineRule="exact"/>
      <w:jc w:val="center"/>
    </w:pPr>
    <w:rPr>
      <w:rFonts w:ascii="方正小标宋简体" w:hAnsi="方正小标宋简体" w:eastAsia="方正小标宋简体" w:cs="Times New Roman"/>
      <w:color w:val="333333"/>
      <w:sz w:val="44"/>
      <w:szCs w:val="44"/>
      <w:shd w:val="clear" w:color="auto" w:fill="FFFFFF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spacing w:beforeAutospacing="1" w:afterAutospacing="1"/>
      <w:jc w:val="left"/>
      <w:outlineLvl w:val="0"/>
    </w:pPr>
    <w:rPr>
      <w:rFonts w:hint="eastAsia" w:ascii="宋体" w:hAnsi="宋体" w:eastAsia="宋体"/>
      <w:b/>
      <w:bCs/>
      <w:kern w:val="44"/>
      <w:sz w:val="48"/>
      <w:szCs w:val="48"/>
    </w:rPr>
  </w:style>
  <w:style w:type="character" w:default="1" w:styleId="9">
    <w:name w:val="Default Paragraph Font"/>
    <w:semiHidden/>
    <w:unhideWhenUsed/>
    <w:uiPriority w:val="1"/>
  </w:style>
  <w:style w:type="table" w:default="1" w:styleId="8">
    <w:name w:val="Normal Table"/>
    <w:autoRedefine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able of authorities"/>
    <w:basedOn w:val="1"/>
    <w:next w:val="1"/>
    <w:autoRedefine/>
    <w:qFormat/>
    <w:uiPriority w:val="0"/>
    <w:pPr>
      <w:ind w:left="420" w:leftChars="200"/>
    </w:pPr>
  </w:style>
  <w:style w:type="paragraph" w:styleId="4">
    <w:name w:val="Date"/>
    <w:basedOn w:val="1"/>
    <w:next w:val="1"/>
    <w:link w:val="11"/>
    <w:autoRedefine/>
    <w:qFormat/>
    <w:uiPriority w:val="0"/>
    <w:pPr>
      <w:ind w:left="100" w:leftChars="2500"/>
    </w:p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</w:pPr>
    <w:rPr>
      <w:sz w:val="18"/>
    </w:rPr>
  </w:style>
  <w:style w:type="paragraph" w:styleId="7">
    <w:name w:val="Normal (Web)"/>
    <w:basedOn w:val="1"/>
    <w:autoRedefine/>
    <w:qFormat/>
    <w:uiPriority w:val="0"/>
    <w:pPr>
      <w:spacing w:beforeAutospacing="1" w:afterAutospacing="1"/>
      <w:jc w:val="left"/>
    </w:pPr>
    <w:rPr>
      <w:sz w:val="24"/>
    </w:rPr>
  </w:style>
  <w:style w:type="table" w:customStyle="1" w:styleId="10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1">
    <w:name w:val="日期 字符"/>
    <w:basedOn w:val="9"/>
    <w:link w:val="4"/>
    <w:autoRedefine/>
    <w:qFormat/>
    <w:uiPriority w:val="0"/>
    <w:rPr>
      <w:rFonts w:ascii="方正小标宋简体" w:hAnsi="方正小标宋简体" w:eastAsia="方正小标宋简体"/>
      <w:color w:val="333333"/>
      <w:sz w:val="44"/>
      <w:szCs w:val="44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2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" StyleName="" Version="0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9D128E39-ADDF-4325-8882-98DC03BC074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DoubleOX</Company>
  <Pages>19</Pages>
  <Words>2028</Words>
  <Characters>11565</Characters>
  <Lines>96</Lines>
  <Paragraphs>27</Paragraphs>
  <TotalTime>62</TotalTime>
  <ScaleCrop>false</ScaleCrop>
  <LinksUpToDate>false</LinksUpToDate>
  <CharactersWithSpaces>13566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2023-07-05T07:46:00Z</dcterms:created>
  <dc:creator>樊娜</dc:creator>
  <cp:lastModifiedBy>Pek✈️✈️</cp:lastModifiedBy>
  <cp:lastPrinted>2024-05-16T08:52:00Z</cp:lastPrinted>
  <dcterms:modified xsi:type="dcterms:W3CDTF">2024-05-20T08:29:12Z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CAFF61433DE04CB68DC595F41FD84979_13</vt:lpwstr>
  </property>
</Properties>
</file>