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lang w:bidi="ar"/>
        </w:rPr>
      </w:pPr>
    </w:p>
    <w:p>
      <w:pPr>
        <w:pStyle w:val="2"/>
        <w:spacing w:line="400" w:lineRule="exact"/>
        <w:ind w:left="0" w:leftChars="0"/>
        <w:jc w:val="left"/>
        <w:rPr>
          <w:rFonts w:ascii="黑体" w:hAnsi="黑体" w:eastAsia="黑体"/>
          <w:color w:val="auto"/>
          <w:sz w:val="32"/>
          <w:szCs w:val="32"/>
          <w:lang w:bidi="ar"/>
        </w:rPr>
      </w:pPr>
      <w:r>
        <w:rPr>
          <w:rFonts w:hint="eastAsia" w:ascii="黑体" w:hAnsi="黑体" w:eastAsia="黑体"/>
          <w:color w:val="auto"/>
          <w:sz w:val="32"/>
          <w:szCs w:val="32"/>
          <w:lang w:bidi="ar"/>
        </w:rPr>
        <w:t>附件1</w:t>
      </w:r>
    </w:p>
    <w:p>
      <w:pPr>
        <w:widowControl w:val="0"/>
        <w:overflowPunct w:val="0"/>
        <w:autoSpaceDE w:val="0"/>
        <w:autoSpaceDN w:val="0"/>
        <w:adjustRightInd w:val="0"/>
        <w:snapToGrid w:val="0"/>
        <w:spacing w:line="580" w:lineRule="exact"/>
        <w:rPr>
          <w:rFonts w:hAnsi="Times New Roman"/>
          <w:color w:val="auto"/>
          <w:sz w:val="42"/>
          <w:szCs w:val="42"/>
          <w:lang w:bidi="ar"/>
        </w:rPr>
      </w:pPr>
      <w:r>
        <w:rPr>
          <w:rFonts w:hint="eastAsia" w:hAnsi="Times New Roman"/>
          <w:color w:val="auto"/>
          <w:sz w:val="42"/>
          <w:szCs w:val="42"/>
          <w:lang w:bidi="ar"/>
        </w:rPr>
        <w:t>2024年全省定点医疗机构DRG/DIP支付方式改革绩效管理评价表</w:t>
      </w:r>
    </w:p>
    <w:tbl>
      <w:tblPr>
        <w:tblStyle w:val="8"/>
        <w:tblW w:w="4953" w:type="pct"/>
        <w:jc w:val="right"/>
        <w:tblLayout w:type="autofit"/>
        <w:tblCellMar>
          <w:top w:w="0" w:type="dxa"/>
          <w:left w:w="108" w:type="dxa"/>
          <w:bottom w:w="0" w:type="dxa"/>
          <w:right w:w="108" w:type="dxa"/>
        </w:tblCellMar>
      </w:tblPr>
      <w:tblGrid>
        <w:gridCol w:w="971"/>
        <w:gridCol w:w="1034"/>
        <w:gridCol w:w="2018"/>
        <w:gridCol w:w="630"/>
        <w:gridCol w:w="3888"/>
        <w:gridCol w:w="607"/>
        <w:gridCol w:w="826"/>
        <w:gridCol w:w="2253"/>
        <w:gridCol w:w="1093"/>
      </w:tblGrid>
      <w:tr>
        <w:tblPrEx>
          <w:tblCellMar>
            <w:top w:w="0" w:type="dxa"/>
            <w:left w:w="108" w:type="dxa"/>
            <w:bottom w:w="0" w:type="dxa"/>
            <w:right w:w="108" w:type="dxa"/>
          </w:tblCellMar>
        </w:tblPrEx>
        <w:trPr>
          <w:trHeight w:val="567" w:hRule="atLeast"/>
          <w:tblHeader/>
          <w:jc w:val="right"/>
        </w:trPr>
        <w:tc>
          <w:tcPr>
            <w:tcW w:w="970"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00" w:lineRule="exact"/>
              <w:rPr>
                <w:rFonts w:ascii="仿宋_GB2312" w:hAnsi="Times New Roman" w:eastAsia="仿宋_GB2312"/>
                <w:b/>
                <w:bCs/>
                <w:color w:val="auto"/>
                <w:sz w:val="24"/>
                <w:szCs w:val="24"/>
                <w:shd w:val="clear" w:color="auto" w:fill="auto"/>
              </w:rPr>
            </w:pPr>
            <w:r>
              <w:rPr>
                <w:rFonts w:hint="eastAsia" w:ascii="仿宋_GB2312" w:hAnsi="Times New Roman" w:eastAsia="仿宋_GB2312"/>
                <w:b/>
                <w:bCs/>
                <w:color w:val="auto"/>
                <w:sz w:val="24"/>
                <w:szCs w:val="24"/>
                <w:shd w:val="clear" w:color="auto" w:fill="auto"/>
              </w:rPr>
              <w:t>一级</w:t>
            </w:r>
          </w:p>
          <w:p>
            <w:pPr>
              <w:widowControl w:val="0"/>
              <w:overflowPunct w:val="0"/>
              <w:autoSpaceDE w:val="0"/>
              <w:autoSpaceDN w:val="0"/>
              <w:spacing w:line="300" w:lineRule="exact"/>
              <w:rPr>
                <w:rFonts w:ascii="仿宋_GB2312" w:hAnsi="Times New Roman" w:eastAsia="仿宋_GB2312"/>
                <w:b/>
                <w:bCs/>
                <w:color w:val="auto"/>
                <w:sz w:val="24"/>
                <w:szCs w:val="24"/>
                <w:shd w:val="clear" w:color="auto" w:fill="auto"/>
              </w:rPr>
            </w:pPr>
            <w:r>
              <w:rPr>
                <w:rFonts w:hint="eastAsia" w:ascii="仿宋_GB2312" w:hAnsi="Times New Roman" w:eastAsia="仿宋_GB2312"/>
                <w:b/>
                <w:bCs/>
                <w:color w:val="auto"/>
                <w:sz w:val="24"/>
                <w:szCs w:val="24"/>
                <w:shd w:val="clear" w:color="auto" w:fill="auto"/>
              </w:rPr>
              <w:t>指标</w:t>
            </w:r>
          </w:p>
        </w:tc>
        <w:tc>
          <w:tcPr>
            <w:tcW w:w="1033"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00" w:lineRule="exact"/>
              <w:rPr>
                <w:rFonts w:ascii="仿宋_GB2312" w:hAnsi="Times New Roman" w:eastAsia="仿宋_GB2312"/>
                <w:b/>
                <w:bCs/>
                <w:color w:val="auto"/>
                <w:sz w:val="24"/>
                <w:szCs w:val="24"/>
                <w:shd w:val="clear" w:color="auto" w:fill="auto"/>
              </w:rPr>
            </w:pPr>
            <w:r>
              <w:rPr>
                <w:rFonts w:hint="eastAsia" w:ascii="仿宋_GB2312" w:hAnsi="Times New Roman" w:eastAsia="仿宋_GB2312"/>
                <w:b/>
                <w:bCs/>
                <w:color w:val="auto"/>
                <w:sz w:val="24"/>
                <w:szCs w:val="24"/>
                <w:shd w:val="clear" w:color="auto" w:fill="auto"/>
              </w:rPr>
              <w:t>二级指标</w:t>
            </w:r>
          </w:p>
        </w:tc>
        <w:tc>
          <w:tcPr>
            <w:tcW w:w="201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00" w:lineRule="exact"/>
              <w:rPr>
                <w:rFonts w:ascii="仿宋_GB2312" w:hAnsi="Times New Roman" w:eastAsia="仿宋_GB2312"/>
                <w:b/>
                <w:bCs/>
                <w:color w:val="auto"/>
                <w:sz w:val="24"/>
                <w:szCs w:val="24"/>
                <w:shd w:val="clear" w:color="auto" w:fill="auto"/>
              </w:rPr>
            </w:pPr>
            <w:r>
              <w:rPr>
                <w:rFonts w:hint="eastAsia" w:ascii="仿宋_GB2312" w:hAnsi="Times New Roman" w:eastAsia="仿宋_GB2312"/>
                <w:b/>
                <w:bCs/>
                <w:color w:val="auto"/>
                <w:sz w:val="24"/>
                <w:szCs w:val="24"/>
                <w:shd w:val="clear" w:color="auto" w:fill="auto"/>
              </w:rPr>
              <w:t>三级指标</w:t>
            </w:r>
          </w:p>
        </w:tc>
        <w:tc>
          <w:tcPr>
            <w:tcW w:w="630"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00" w:lineRule="exact"/>
              <w:rPr>
                <w:rFonts w:ascii="仿宋_GB2312" w:hAnsi="Times New Roman" w:eastAsia="仿宋_GB2312"/>
                <w:b/>
                <w:bCs/>
                <w:color w:val="auto"/>
                <w:sz w:val="24"/>
                <w:szCs w:val="24"/>
                <w:shd w:val="clear" w:color="auto" w:fill="auto"/>
              </w:rPr>
            </w:pPr>
            <w:r>
              <w:rPr>
                <w:rFonts w:hint="eastAsia" w:ascii="仿宋_GB2312" w:hAnsi="Times New Roman" w:eastAsia="仿宋_GB2312"/>
                <w:b/>
                <w:bCs/>
                <w:color w:val="auto"/>
                <w:sz w:val="24"/>
                <w:szCs w:val="24"/>
                <w:shd w:val="clear" w:color="auto" w:fill="auto"/>
              </w:rPr>
              <w:t>分值</w:t>
            </w:r>
          </w:p>
        </w:tc>
        <w:tc>
          <w:tcPr>
            <w:tcW w:w="388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00" w:lineRule="exact"/>
              <w:rPr>
                <w:rFonts w:ascii="仿宋_GB2312" w:hAnsi="Times New Roman" w:eastAsia="仿宋_GB2312"/>
                <w:b/>
                <w:bCs/>
                <w:color w:val="auto"/>
                <w:sz w:val="24"/>
                <w:szCs w:val="24"/>
                <w:shd w:val="clear" w:color="auto" w:fill="auto"/>
              </w:rPr>
            </w:pPr>
            <w:r>
              <w:rPr>
                <w:rFonts w:hint="eastAsia" w:ascii="仿宋_GB2312" w:hAnsi="Times New Roman" w:eastAsia="仿宋_GB2312"/>
                <w:b/>
                <w:bCs/>
                <w:color w:val="auto"/>
                <w:sz w:val="24"/>
                <w:szCs w:val="24"/>
                <w:shd w:val="clear" w:color="auto" w:fill="auto"/>
              </w:rPr>
              <w:t>评价标准</w:t>
            </w:r>
          </w:p>
        </w:tc>
        <w:tc>
          <w:tcPr>
            <w:tcW w:w="60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00" w:lineRule="exact"/>
              <w:rPr>
                <w:rFonts w:ascii="仿宋_GB2312" w:hAnsi="Times New Roman" w:eastAsia="仿宋_GB2312"/>
                <w:b/>
                <w:bCs/>
                <w:color w:val="auto"/>
                <w:sz w:val="24"/>
                <w:szCs w:val="24"/>
                <w:shd w:val="clear" w:color="auto" w:fill="auto"/>
              </w:rPr>
            </w:pPr>
            <w:r>
              <w:rPr>
                <w:rFonts w:hint="eastAsia" w:ascii="仿宋_GB2312" w:hAnsi="Times New Roman" w:eastAsia="仿宋_GB2312"/>
                <w:b/>
                <w:bCs/>
                <w:color w:val="auto"/>
                <w:sz w:val="24"/>
                <w:szCs w:val="24"/>
                <w:shd w:val="clear" w:color="auto" w:fill="auto"/>
              </w:rPr>
              <w:t>指标属性</w:t>
            </w:r>
          </w:p>
        </w:tc>
        <w:tc>
          <w:tcPr>
            <w:tcW w:w="82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00" w:lineRule="exact"/>
              <w:rPr>
                <w:rFonts w:ascii="仿宋_GB2312" w:hAnsi="Times New Roman" w:eastAsia="仿宋_GB2312"/>
                <w:b/>
                <w:bCs/>
                <w:color w:val="auto"/>
                <w:sz w:val="24"/>
                <w:szCs w:val="24"/>
                <w:shd w:val="clear" w:color="auto" w:fill="auto"/>
              </w:rPr>
            </w:pPr>
            <w:r>
              <w:rPr>
                <w:rFonts w:hint="eastAsia" w:ascii="仿宋_GB2312" w:hAnsi="Times New Roman" w:eastAsia="仿宋_GB2312"/>
                <w:b/>
                <w:bCs/>
                <w:color w:val="auto"/>
                <w:sz w:val="24"/>
                <w:szCs w:val="24"/>
                <w:shd w:val="clear" w:color="auto" w:fill="auto"/>
              </w:rPr>
              <w:t>数据</w:t>
            </w:r>
          </w:p>
          <w:p>
            <w:pPr>
              <w:widowControl w:val="0"/>
              <w:overflowPunct w:val="0"/>
              <w:autoSpaceDE w:val="0"/>
              <w:autoSpaceDN w:val="0"/>
              <w:adjustRightInd w:val="0"/>
              <w:snapToGrid w:val="0"/>
              <w:spacing w:line="300" w:lineRule="exact"/>
              <w:rPr>
                <w:rFonts w:ascii="仿宋_GB2312" w:hAnsi="Times New Roman" w:eastAsia="仿宋_GB2312"/>
                <w:b/>
                <w:bCs/>
                <w:color w:val="auto"/>
                <w:sz w:val="24"/>
                <w:szCs w:val="24"/>
                <w:shd w:val="clear" w:color="auto" w:fill="auto"/>
              </w:rPr>
            </w:pPr>
            <w:r>
              <w:rPr>
                <w:rFonts w:hint="eastAsia" w:ascii="仿宋_GB2312" w:hAnsi="Times New Roman" w:eastAsia="仿宋_GB2312"/>
                <w:b/>
                <w:bCs/>
                <w:color w:val="auto"/>
                <w:sz w:val="24"/>
                <w:szCs w:val="24"/>
                <w:shd w:val="clear" w:color="auto" w:fill="auto"/>
              </w:rPr>
              <w:t>来源</w:t>
            </w:r>
          </w:p>
        </w:tc>
        <w:tc>
          <w:tcPr>
            <w:tcW w:w="2252"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00" w:lineRule="exact"/>
              <w:rPr>
                <w:rFonts w:ascii="仿宋_GB2312" w:hAnsi="Times New Roman" w:eastAsia="仿宋_GB2312"/>
                <w:b/>
                <w:bCs/>
                <w:color w:val="auto"/>
                <w:sz w:val="24"/>
                <w:szCs w:val="24"/>
                <w:shd w:val="clear" w:color="auto" w:fill="auto"/>
              </w:rPr>
            </w:pPr>
            <w:r>
              <w:rPr>
                <w:rFonts w:hint="eastAsia" w:ascii="仿宋_GB2312" w:hAnsi="Times New Roman" w:eastAsia="仿宋_GB2312"/>
                <w:b/>
                <w:bCs/>
                <w:color w:val="auto"/>
                <w:sz w:val="24"/>
                <w:szCs w:val="24"/>
                <w:shd w:val="clear" w:color="auto" w:fill="auto"/>
              </w:rPr>
              <w:t>计算公式</w:t>
            </w:r>
          </w:p>
        </w:tc>
        <w:tc>
          <w:tcPr>
            <w:tcW w:w="1091"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00" w:lineRule="exact"/>
              <w:rPr>
                <w:rFonts w:ascii="仿宋_GB2312" w:hAnsi="Times New Roman" w:eastAsia="仿宋_GB2312"/>
                <w:b/>
                <w:bCs/>
                <w:color w:val="auto"/>
                <w:sz w:val="24"/>
                <w:szCs w:val="24"/>
                <w:shd w:val="clear" w:color="auto" w:fill="auto"/>
              </w:rPr>
            </w:pPr>
            <w:r>
              <w:rPr>
                <w:rFonts w:hint="eastAsia" w:ascii="仿宋_GB2312" w:hAnsi="Times New Roman" w:eastAsia="仿宋_GB2312"/>
                <w:b/>
                <w:bCs/>
                <w:color w:val="auto"/>
                <w:sz w:val="24"/>
                <w:szCs w:val="24"/>
                <w:shd w:val="clear" w:color="auto" w:fill="auto"/>
              </w:rPr>
              <w:t>评价对象</w:t>
            </w:r>
          </w:p>
        </w:tc>
      </w:tr>
      <w:tr>
        <w:tblPrEx>
          <w:tblCellMar>
            <w:top w:w="0" w:type="dxa"/>
            <w:left w:w="108" w:type="dxa"/>
            <w:bottom w:w="0" w:type="dxa"/>
            <w:right w:w="108" w:type="dxa"/>
          </w:tblCellMar>
        </w:tblPrEx>
        <w:trPr>
          <w:trHeight w:val="567" w:hRule="atLeast"/>
          <w:jc w:val="right"/>
        </w:trPr>
        <w:tc>
          <w:tcPr>
            <w:tcW w:w="970" w:type="dxa"/>
            <w:vMerge w:val="restart"/>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0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组织建设（140）</w:t>
            </w:r>
          </w:p>
        </w:tc>
        <w:tc>
          <w:tcPr>
            <w:tcW w:w="1033" w:type="dxa"/>
            <w:vMerge w:val="restart"/>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2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建立DRG/DIP工作推进机制</w:t>
            </w:r>
          </w:p>
        </w:tc>
        <w:tc>
          <w:tcPr>
            <w:tcW w:w="2017" w:type="dxa"/>
            <w:vMerge w:val="restart"/>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20" w:lineRule="exact"/>
              <w:jc w:val="both"/>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建立主要领导抓改革、院内多部门协同抓支付方式改革的工作机制</w:t>
            </w:r>
          </w:p>
        </w:tc>
        <w:tc>
          <w:tcPr>
            <w:tcW w:w="63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2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20</w:t>
            </w:r>
          </w:p>
        </w:tc>
        <w:tc>
          <w:tcPr>
            <w:tcW w:w="3886"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20" w:lineRule="exact"/>
              <w:jc w:val="both"/>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主要领导抓改革、建立以医保牵头的多部门协作的工作机制，成立由相关职能科室、临床科室主任作为委员的医保管理委员会，有明确的部门职责分工，得20分。</w:t>
            </w:r>
          </w:p>
        </w:tc>
        <w:tc>
          <w:tcPr>
            <w:tcW w:w="607"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2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定性</w:t>
            </w:r>
          </w:p>
        </w:tc>
        <w:tc>
          <w:tcPr>
            <w:tcW w:w="826"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2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医院</w:t>
            </w:r>
          </w:p>
          <w:p>
            <w:pPr>
              <w:widowControl w:val="0"/>
              <w:overflowPunct w:val="0"/>
              <w:autoSpaceDE w:val="0"/>
              <w:autoSpaceDN w:val="0"/>
              <w:adjustRightInd w:val="0"/>
              <w:snapToGrid w:val="0"/>
              <w:spacing w:line="32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填报</w:t>
            </w:r>
          </w:p>
        </w:tc>
        <w:tc>
          <w:tcPr>
            <w:tcW w:w="2252"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2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w:t>
            </w:r>
          </w:p>
        </w:tc>
        <w:tc>
          <w:tcPr>
            <w:tcW w:w="1091" w:type="dxa"/>
            <w:vMerge w:val="restart"/>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0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纳入DRG/DIP的全部医疗机构</w:t>
            </w:r>
          </w:p>
        </w:tc>
      </w:tr>
      <w:tr>
        <w:tblPrEx>
          <w:tblCellMar>
            <w:top w:w="0" w:type="dxa"/>
            <w:left w:w="108" w:type="dxa"/>
            <w:bottom w:w="0" w:type="dxa"/>
            <w:right w:w="108" w:type="dxa"/>
          </w:tblCellMar>
        </w:tblPrEx>
        <w:trPr>
          <w:trHeight w:val="567" w:hRule="atLeast"/>
          <w:jc w:val="right"/>
        </w:trPr>
        <w:tc>
          <w:tcPr>
            <w:tcW w:w="970"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val="0"/>
              <w:overflowPunct w:val="0"/>
              <w:autoSpaceDE w:val="0"/>
              <w:autoSpaceDN w:val="0"/>
              <w:spacing w:line="300" w:lineRule="exact"/>
              <w:rPr>
                <w:rFonts w:ascii="仿宋_GB2312" w:hAnsi="Times New Roman" w:eastAsia="仿宋_GB2312"/>
                <w:color w:val="auto"/>
                <w:sz w:val="24"/>
                <w:szCs w:val="24"/>
                <w:shd w:val="clear" w:color="auto" w:fill="auto"/>
              </w:rPr>
            </w:pPr>
          </w:p>
        </w:tc>
        <w:tc>
          <w:tcPr>
            <w:tcW w:w="1033"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val="0"/>
              <w:overflowPunct w:val="0"/>
              <w:autoSpaceDE w:val="0"/>
              <w:autoSpaceDN w:val="0"/>
              <w:spacing w:line="320" w:lineRule="exact"/>
              <w:rPr>
                <w:rFonts w:ascii="仿宋_GB2312" w:hAnsi="Times New Roman" w:eastAsia="仿宋_GB2312"/>
                <w:color w:val="auto"/>
                <w:sz w:val="24"/>
                <w:szCs w:val="24"/>
                <w:shd w:val="clear" w:color="auto" w:fill="auto"/>
              </w:rPr>
            </w:pPr>
          </w:p>
        </w:tc>
        <w:tc>
          <w:tcPr>
            <w:tcW w:w="2017"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val="0"/>
              <w:overflowPunct w:val="0"/>
              <w:autoSpaceDE w:val="0"/>
              <w:autoSpaceDN w:val="0"/>
              <w:spacing w:line="320" w:lineRule="exact"/>
              <w:jc w:val="both"/>
              <w:rPr>
                <w:rFonts w:ascii="仿宋_GB2312" w:hAnsi="Times New Roman" w:eastAsia="仿宋_GB2312"/>
                <w:color w:val="auto"/>
                <w:sz w:val="24"/>
                <w:szCs w:val="24"/>
                <w:shd w:val="clear" w:color="auto" w:fill="auto"/>
              </w:rPr>
            </w:pPr>
          </w:p>
        </w:tc>
        <w:tc>
          <w:tcPr>
            <w:tcW w:w="63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2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20</w:t>
            </w:r>
          </w:p>
        </w:tc>
        <w:tc>
          <w:tcPr>
            <w:tcW w:w="3886"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20" w:lineRule="exact"/>
              <w:jc w:val="both"/>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每月召开院内支付方式改革运营分析会议，得20分。</w:t>
            </w:r>
          </w:p>
        </w:tc>
        <w:tc>
          <w:tcPr>
            <w:tcW w:w="607"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2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定性</w:t>
            </w:r>
          </w:p>
        </w:tc>
        <w:tc>
          <w:tcPr>
            <w:tcW w:w="826"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2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医院</w:t>
            </w:r>
          </w:p>
          <w:p>
            <w:pPr>
              <w:widowControl w:val="0"/>
              <w:overflowPunct w:val="0"/>
              <w:autoSpaceDE w:val="0"/>
              <w:autoSpaceDN w:val="0"/>
              <w:adjustRightInd w:val="0"/>
              <w:snapToGrid w:val="0"/>
              <w:spacing w:line="32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填报</w:t>
            </w:r>
          </w:p>
        </w:tc>
        <w:tc>
          <w:tcPr>
            <w:tcW w:w="2252"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2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w:t>
            </w:r>
          </w:p>
        </w:tc>
        <w:tc>
          <w:tcPr>
            <w:tcW w:w="1091"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val="0"/>
              <w:overflowPunct w:val="0"/>
              <w:autoSpaceDE w:val="0"/>
              <w:autoSpaceDN w:val="0"/>
              <w:adjustRightInd w:val="0"/>
              <w:snapToGrid w:val="0"/>
              <w:spacing w:line="300" w:lineRule="exact"/>
              <w:rPr>
                <w:rFonts w:ascii="仿宋_GB2312" w:hAnsi="Times New Roman" w:eastAsia="仿宋_GB2312"/>
                <w:color w:val="auto"/>
                <w:sz w:val="24"/>
                <w:szCs w:val="24"/>
                <w:shd w:val="clear" w:color="auto" w:fill="auto"/>
              </w:rPr>
            </w:pPr>
          </w:p>
        </w:tc>
      </w:tr>
      <w:tr>
        <w:tblPrEx>
          <w:tblCellMar>
            <w:top w:w="0" w:type="dxa"/>
            <w:left w:w="108" w:type="dxa"/>
            <w:bottom w:w="0" w:type="dxa"/>
            <w:right w:w="108" w:type="dxa"/>
          </w:tblCellMar>
        </w:tblPrEx>
        <w:trPr>
          <w:trHeight w:val="567" w:hRule="atLeast"/>
          <w:jc w:val="right"/>
        </w:trPr>
        <w:tc>
          <w:tcPr>
            <w:tcW w:w="970"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val="0"/>
              <w:overflowPunct w:val="0"/>
              <w:autoSpaceDE w:val="0"/>
              <w:autoSpaceDN w:val="0"/>
              <w:spacing w:line="300" w:lineRule="exact"/>
              <w:rPr>
                <w:rFonts w:ascii="仿宋_GB2312" w:hAnsi="Times New Roman" w:eastAsia="仿宋_GB2312"/>
                <w:color w:val="auto"/>
                <w:sz w:val="24"/>
                <w:szCs w:val="24"/>
                <w:shd w:val="clear" w:color="auto" w:fill="auto"/>
              </w:rPr>
            </w:pPr>
          </w:p>
        </w:tc>
        <w:tc>
          <w:tcPr>
            <w:tcW w:w="1033"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val="0"/>
              <w:overflowPunct w:val="0"/>
              <w:autoSpaceDE w:val="0"/>
              <w:autoSpaceDN w:val="0"/>
              <w:spacing w:line="320" w:lineRule="exact"/>
              <w:rPr>
                <w:rFonts w:ascii="仿宋_GB2312" w:hAnsi="Times New Roman" w:eastAsia="仿宋_GB2312"/>
                <w:color w:val="auto"/>
                <w:sz w:val="24"/>
                <w:szCs w:val="24"/>
                <w:shd w:val="clear" w:color="auto" w:fill="auto"/>
              </w:rPr>
            </w:pPr>
          </w:p>
        </w:tc>
        <w:tc>
          <w:tcPr>
            <w:tcW w:w="2017"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20" w:lineRule="exact"/>
              <w:jc w:val="both"/>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广泛开展DRG/DIP支付方式改革培训</w:t>
            </w:r>
          </w:p>
        </w:tc>
        <w:tc>
          <w:tcPr>
            <w:tcW w:w="63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2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20</w:t>
            </w:r>
          </w:p>
        </w:tc>
        <w:tc>
          <w:tcPr>
            <w:tcW w:w="3886"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20" w:lineRule="exact"/>
              <w:jc w:val="both"/>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定期分层级召开院级、职能部门、临床科室DRG/DIP支付方式改革培训，得20分。</w:t>
            </w:r>
          </w:p>
        </w:tc>
        <w:tc>
          <w:tcPr>
            <w:tcW w:w="607"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2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定性</w:t>
            </w:r>
          </w:p>
        </w:tc>
        <w:tc>
          <w:tcPr>
            <w:tcW w:w="826"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2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医院</w:t>
            </w:r>
          </w:p>
          <w:p>
            <w:pPr>
              <w:widowControl w:val="0"/>
              <w:overflowPunct w:val="0"/>
              <w:autoSpaceDE w:val="0"/>
              <w:autoSpaceDN w:val="0"/>
              <w:adjustRightInd w:val="0"/>
              <w:snapToGrid w:val="0"/>
              <w:spacing w:line="32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填报</w:t>
            </w:r>
          </w:p>
        </w:tc>
        <w:tc>
          <w:tcPr>
            <w:tcW w:w="2252"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2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w:t>
            </w:r>
          </w:p>
        </w:tc>
        <w:tc>
          <w:tcPr>
            <w:tcW w:w="1091"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val="0"/>
              <w:overflowPunct w:val="0"/>
              <w:autoSpaceDE w:val="0"/>
              <w:autoSpaceDN w:val="0"/>
              <w:adjustRightInd w:val="0"/>
              <w:snapToGrid w:val="0"/>
              <w:spacing w:line="300" w:lineRule="exact"/>
              <w:rPr>
                <w:rFonts w:ascii="仿宋_GB2312" w:hAnsi="Times New Roman" w:eastAsia="仿宋_GB2312"/>
                <w:color w:val="auto"/>
                <w:sz w:val="24"/>
                <w:szCs w:val="24"/>
                <w:shd w:val="clear" w:color="auto" w:fill="auto"/>
              </w:rPr>
            </w:pPr>
          </w:p>
        </w:tc>
      </w:tr>
      <w:tr>
        <w:tblPrEx>
          <w:tblCellMar>
            <w:top w:w="0" w:type="dxa"/>
            <w:left w:w="108" w:type="dxa"/>
            <w:bottom w:w="0" w:type="dxa"/>
            <w:right w:w="108" w:type="dxa"/>
          </w:tblCellMar>
        </w:tblPrEx>
        <w:trPr>
          <w:trHeight w:val="567" w:hRule="atLeast"/>
          <w:jc w:val="right"/>
        </w:trPr>
        <w:tc>
          <w:tcPr>
            <w:tcW w:w="970"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val="0"/>
              <w:overflowPunct w:val="0"/>
              <w:autoSpaceDE w:val="0"/>
              <w:autoSpaceDN w:val="0"/>
              <w:spacing w:line="300" w:lineRule="exact"/>
              <w:rPr>
                <w:rFonts w:ascii="仿宋_GB2312" w:hAnsi="Times New Roman" w:eastAsia="仿宋_GB2312"/>
                <w:color w:val="auto"/>
                <w:sz w:val="24"/>
                <w:szCs w:val="24"/>
                <w:shd w:val="clear" w:color="auto" w:fill="auto"/>
              </w:rPr>
            </w:pPr>
          </w:p>
        </w:tc>
        <w:tc>
          <w:tcPr>
            <w:tcW w:w="1033" w:type="dxa"/>
            <w:vMerge w:val="restart"/>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2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建立健全医疗质量安全管理制度</w:t>
            </w:r>
          </w:p>
        </w:tc>
        <w:tc>
          <w:tcPr>
            <w:tcW w:w="2017" w:type="dxa"/>
            <w:vMerge w:val="restart"/>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20" w:lineRule="exact"/>
              <w:jc w:val="both"/>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规范医疗行为，合理控制医疗成本</w:t>
            </w:r>
          </w:p>
        </w:tc>
        <w:tc>
          <w:tcPr>
            <w:tcW w:w="63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2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20</w:t>
            </w:r>
          </w:p>
        </w:tc>
        <w:tc>
          <w:tcPr>
            <w:tcW w:w="3886"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20" w:lineRule="exact"/>
              <w:jc w:val="both"/>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建立全员参与、覆盖临床诊疗服务全过程的医疗质量管理与控制工作制度，得20分。</w:t>
            </w:r>
          </w:p>
        </w:tc>
        <w:tc>
          <w:tcPr>
            <w:tcW w:w="607"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2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定性</w:t>
            </w:r>
          </w:p>
        </w:tc>
        <w:tc>
          <w:tcPr>
            <w:tcW w:w="826"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2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医院</w:t>
            </w:r>
          </w:p>
          <w:p>
            <w:pPr>
              <w:widowControl w:val="0"/>
              <w:overflowPunct w:val="0"/>
              <w:autoSpaceDE w:val="0"/>
              <w:autoSpaceDN w:val="0"/>
              <w:adjustRightInd w:val="0"/>
              <w:snapToGrid w:val="0"/>
              <w:spacing w:line="32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填报</w:t>
            </w:r>
          </w:p>
        </w:tc>
        <w:tc>
          <w:tcPr>
            <w:tcW w:w="2252"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2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w:t>
            </w:r>
          </w:p>
        </w:tc>
        <w:tc>
          <w:tcPr>
            <w:tcW w:w="1091"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val="0"/>
              <w:overflowPunct w:val="0"/>
              <w:autoSpaceDE w:val="0"/>
              <w:autoSpaceDN w:val="0"/>
              <w:adjustRightInd w:val="0"/>
              <w:snapToGrid w:val="0"/>
              <w:spacing w:line="300" w:lineRule="exact"/>
              <w:rPr>
                <w:rFonts w:ascii="仿宋_GB2312" w:hAnsi="Times New Roman" w:eastAsia="仿宋_GB2312"/>
                <w:color w:val="auto"/>
                <w:sz w:val="24"/>
                <w:szCs w:val="24"/>
                <w:shd w:val="clear" w:color="auto" w:fill="auto"/>
              </w:rPr>
            </w:pPr>
          </w:p>
        </w:tc>
      </w:tr>
      <w:tr>
        <w:tblPrEx>
          <w:tblCellMar>
            <w:top w:w="0" w:type="dxa"/>
            <w:left w:w="108" w:type="dxa"/>
            <w:bottom w:w="0" w:type="dxa"/>
            <w:right w:w="108" w:type="dxa"/>
          </w:tblCellMar>
        </w:tblPrEx>
        <w:trPr>
          <w:trHeight w:val="567" w:hRule="atLeast"/>
          <w:jc w:val="right"/>
        </w:trPr>
        <w:tc>
          <w:tcPr>
            <w:tcW w:w="970"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val="0"/>
              <w:overflowPunct w:val="0"/>
              <w:autoSpaceDE w:val="0"/>
              <w:autoSpaceDN w:val="0"/>
              <w:spacing w:line="300" w:lineRule="exact"/>
              <w:rPr>
                <w:rFonts w:ascii="仿宋_GB2312" w:hAnsi="Times New Roman" w:eastAsia="仿宋_GB2312"/>
                <w:color w:val="auto"/>
                <w:sz w:val="24"/>
                <w:szCs w:val="24"/>
                <w:shd w:val="clear" w:color="auto" w:fill="auto"/>
              </w:rPr>
            </w:pPr>
          </w:p>
        </w:tc>
        <w:tc>
          <w:tcPr>
            <w:tcW w:w="1033"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val="0"/>
              <w:overflowPunct w:val="0"/>
              <w:autoSpaceDE w:val="0"/>
              <w:autoSpaceDN w:val="0"/>
              <w:spacing w:line="320" w:lineRule="exact"/>
              <w:rPr>
                <w:rFonts w:ascii="仿宋_GB2312" w:hAnsi="Times New Roman" w:eastAsia="仿宋_GB2312"/>
                <w:color w:val="auto"/>
                <w:sz w:val="24"/>
                <w:szCs w:val="24"/>
                <w:shd w:val="clear" w:color="auto" w:fill="auto"/>
              </w:rPr>
            </w:pPr>
          </w:p>
        </w:tc>
        <w:tc>
          <w:tcPr>
            <w:tcW w:w="2017"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val="0"/>
              <w:overflowPunct w:val="0"/>
              <w:autoSpaceDE w:val="0"/>
              <w:autoSpaceDN w:val="0"/>
              <w:spacing w:line="320" w:lineRule="exact"/>
              <w:jc w:val="both"/>
              <w:rPr>
                <w:rFonts w:ascii="仿宋_GB2312" w:hAnsi="Times New Roman" w:eastAsia="仿宋_GB2312"/>
                <w:color w:val="auto"/>
                <w:sz w:val="24"/>
                <w:szCs w:val="24"/>
                <w:shd w:val="clear" w:color="auto" w:fill="auto"/>
              </w:rPr>
            </w:pPr>
          </w:p>
        </w:tc>
        <w:tc>
          <w:tcPr>
            <w:tcW w:w="63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2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20</w:t>
            </w:r>
          </w:p>
        </w:tc>
        <w:tc>
          <w:tcPr>
            <w:tcW w:w="3886"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20" w:lineRule="exact"/>
              <w:jc w:val="both"/>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编码人员年度负担出院患者病历数小于或等于同级医疗机构均值的，得20分。</w:t>
            </w:r>
          </w:p>
        </w:tc>
        <w:tc>
          <w:tcPr>
            <w:tcW w:w="607"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2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定量</w:t>
            </w:r>
          </w:p>
        </w:tc>
        <w:tc>
          <w:tcPr>
            <w:tcW w:w="826"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2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医院</w:t>
            </w:r>
          </w:p>
          <w:p>
            <w:pPr>
              <w:widowControl w:val="0"/>
              <w:overflowPunct w:val="0"/>
              <w:autoSpaceDE w:val="0"/>
              <w:autoSpaceDN w:val="0"/>
              <w:adjustRightInd w:val="0"/>
              <w:snapToGrid w:val="0"/>
              <w:spacing w:line="32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填报</w:t>
            </w:r>
          </w:p>
        </w:tc>
        <w:tc>
          <w:tcPr>
            <w:tcW w:w="2252"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20" w:lineRule="exact"/>
              <w:jc w:val="both"/>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编码人员年度负担出院患者病历数=年度医疗机构上传医保结算清单数÷具有编码资质的编码人员数量</w:t>
            </w:r>
          </w:p>
        </w:tc>
        <w:tc>
          <w:tcPr>
            <w:tcW w:w="1091"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val="0"/>
              <w:overflowPunct w:val="0"/>
              <w:autoSpaceDE w:val="0"/>
              <w:autoSpaceDN w:val="0"/>
              <w:adjustRightInd w:val="0"/>
              <w:snapToGrid w:val="0"/>
              <w:spacing w:line="300" w:lineRule="exact"/>
              <w:rPr>
                <w:rFonts w:ascii="仿宋_GB2312" w:hAnsi="Times New Roman" w:eastAsia="仿宋_GB2312"/>
                <w:color w:val="auto"/>
                <w:sz w:val="24"/>
                <w:szCs w:val="24"/>
                <w:shd w:val="clear" w:color="auto" w:fill="auto"/>
              </w:rPr>
            </w:pPr>
          </w:p>
        </w:tc>
      </w:tr>
      <w:tr>
        <w:tblPrEx>
          <w:tblCellMar>
            <w:top w:w="0" w:type="dxa"/>
            <w:left w:w="108" w:type="dxa"/>
            <w:bottom w:w="0" w:type="dxa"/>
            <w:right w:w="108" w:type="dxa"/>
          </w:tblCellMar>
        </w:tblPrEx>
        <w:trPr>
          <w:trHeight w:val="567" w:hRule="atLeast"/>
          <w:jc w:val="right"/>
        </w:trPr>
        <w:tc>
          <w:tcPr>
            <w:tcW w:w="970"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val="0"/>
              <w:overflowPunct w:val="0"/>
              <w:autoSpaceDE w:val="0"/>
              <w:autoSpaceDN w:val="0"/>
              <w:spacing w:line="300" w:lineRule="exact"/>
              <w:rPr>
                <w:rFonts w:ascii="仿宋_GB2312" w:hAnsi="Times New Roman" w:eastAsia="仿宋_GB2312"/>
                <w:color w:val="auto"/>
                <w:sz w:val="24"/>
                <w:szCs w:val="24"/>
                <w:shd w:val="clear" w:color="auto" w:fill="auto"/>
              </w:rPr>
            </w:pPr>
          </w:p>
        </w:tc>
        <w:tc>
          <w:tcPr>
            <w:tcW w:w="1033"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2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建立健全绩效分配制度</w:t>
            </w:r>
          </w:p>
        </w:tc>
        <w:tc>
          <w:tcPr>
            <w:tcW w:w="2017"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20" w:lineRule="exact"/>
              <w:jc w:val="both"/>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建立适应DRG/DIP支付特点的医院绩效分配制度</w:t>
            </w:r>
          </w:p>
        </w:tc>
        <w:tc>
          <w:tcPr>
            <w:tcW w:w="63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2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40</w:t>
            </w:r>
          </w:p>
        </w:tc>
        <w:tc>
          <w:tcPr>
            <w:tcW w:w="3886"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20" w:lineRule="exact"/>
              <w:jc w:val="both"/>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结合DRG/DIP支付方式改革特点，建立完善院内绩效分配制度，并组织实施的，得40分。</w:t>
            </w:r>
          </w:p>
        </w:tc>
        <w:tc>
          <w:tcPr>
            <w:tcW w:w="607"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2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定性</w:t>
            </w:r>
          </w:p>
        </w:tc>
        <w:tc>
          <w:tcPr>
            <w:tcW w:w="826"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2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医院</w:t>
            </w:r>
          </w:p>
          <w:p>
            <w:pPr>
              <w:widowControl w:val="0"/>
              <w:overflowPunct w:val="0"/>
              <w:autoSpaceDE w:val="0"/>
              <w:autoSpaceDN w:val="0"/>
              <w:adjustRightInd w:val="0"/>
              <w:snapToGrid w:val="0"/>
              <w:spacing w:line="32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填报</w:t>
            </w:r>
          </w:p>
        </w:tc>
        <w:tc>
          <w:tcPr>
            <w:tcW w:w="2252"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2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w:t>
            </w:r>
          </w:p>
        </w:tc>
        <w:tc>
          <w:tcPr>
            <w:tcW w:w="1091"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val="0"/>
              <w:overflowPunct w:val="0"/>
              <w:autoSpaceDE w:val="0"/>
              <w:autoSpaceDN w:val="0"/>
              <w:adjustRightInd w:val="0"/>
              <w:snapToGrid w:val="0"/>
              <w:spacing w:line="300" w:lineRule="exact"/>
              <w:rPr>
                <w:rFonts w:ascii="仿宋_GB2312" w:hAnsi="Times New Roman" w:eastAsia="仿宋_GB2312"/>
                <w:color w:val="auto"/>
                <w:sz w:val="24"/>
                <w:szCs w:val="24"/>
                <w:shd w:val="clear" w:color="auto" w:fill="auto"/>
              </w:rPr>
            </w:pPr>
          </w:p>
        </w:tc>
      </w:tr>
      <w:tr>
        <w:tblPrEx>
          <w:tblCellMar>
            <w:top w:w="0" w:type="dxa"/>
            <w:left w:w="108" w:type="dxa"/>
            <w:bottom w:w="0" w:type="dxa"/>
            <w:right w:w="108" w:type="dxa"/>
          </w:tblCellMar>
        </w:tblPrEx>
        <w:trPr>
          <w:trHeight w:val="567" w:hRule="atLeast"/>
          <w:jc w:val="right"/>
        </w:trPr>
        <w:tc>
          <w:tcPr>
            <w:tcW w:w="970" w:type="dxa"/>
            <w:vMerge w:val="restart"/>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0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医保结算清单质量管理（120）</w:t>
            </w:r>
          </w:p>
        </w:tc>
        <w:tc>
          <w:tcPr>
            <w:tcW w:w="1033"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4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医保结算清单</w:t>
            </w:r>
          </w:p>
          <w:p>
            <w:pPr>
              <w:widowControl w:val="0"/>
              <w:overflowPunct w:val="0"/>
              <w:autoSpaceDE w:val="0"/>
              <w:autoSpaceDN w:val="0"/>
              <w:spacing w:line="34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上传率</w:t>
            </w:r>
          </w:p>
        </w:tc>
        <w:tc>
          <w:tcPr>
            <w:tcW w:w="2017"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40" w:lineRule="exact"/>
              <w:jc w:val="both"/>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医保结算清单上传率</w:t>
            </w:r>
          </w:p>
        </w:tc>
        <w:tc>
          <w:tcPr>
            <w:tcW w:w="63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4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20</w:t>
            </w:r>
          </w:p>
        </w:tc>
        <w:tc>
          <w:tcPr>
            <w:tcW w:w="3886"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40" w:lineRule="exact"/>
              <w:jc w:val="both"/>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医保结算清单上传率100%得20分，下降1个百分点扣4分，扣完为止。</w:t>
            </w:r>
          </w:p>
        </w:tc>
        <w:tc>
          <w:tcPr>
            <w:tcW w:w="607"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4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定量</w:t>
            </w:r>
          </w:p>
        </w:tc>
        <w:tc>
          <w:tcPr>
            <w:tcW w:w="826"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4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系统</w:t>
            </w:r>
          </w:p>
          <w:p>
            <w:pPr>
              <w:widowControl w:val="0"/>
              <w:overflowPunct w:val="0"/>
              <w:autoSpaceDE w:val="0"/>
              <w:autoSpaceDN w:val="0"/>
              <w:adjustRightInd w:val="0"/>
              <w:snapToGrid w:val="0"/>
              <w:spacing w:line="34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提取</w:t>
            </w:r>
          </w:p>
        </w:tc>
        <w:tc>
          <w:tcPr>
            <w:tcW w:w="2252"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40" w:lineRule="exact"/>
              <w:jc w:val="both"/>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医保结算清单上传率=年度医疗机构上传医保结算清单数÷年度医疗机构医保结算人数</w:t>
            </w:r>
          </w:p>
        </w:tc>
        <w:tc>
          <w:tcPr>
            <w:tcW w:w="1091" w:type="dxa"/>
            <w:vMerge w:val="restart"/>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0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纳入DRG/DIP的全部医疗机构</w:t>
            </w:r>
          </w:p>
        </w:tc>
      </w:tr>
      <w:tr>
        <w:tblPrEx>
          <w:tblCellMar>
            <w:top w:w="0" w:type="dxa"/>
            <w:left w:w="108" w:type="dxa"/>
            <w:bottom w:w="0" w:type="dxa"/>
            <w:right w:w="108" w:type="dxa"/>
          </w:tblCellMar>
        </w:tblPrEx>
        <w:trPr>
          <w:trHeight w:val="567" w:hRule="atLeast"/>
          <w:jc w:val="right"/>
        </w:trPr>
        <w:tc>
          <w:tcPr>
            <w:tcW w:w="970"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val="0"/>
              <w:overflowPunct w:val="0"/>
              <w:autoSpaceDE w:val="0"/>
              <w:autoSpaceDN w:val="0"/>
              <w:spacing w:line="300" w:lineRule="exact"/>
              <w:rPr>
                <w:rFonts w:ascii="仿宋_GB2312" w:hAnsi="Times New Roman" w:eastAsia="仿宋_GB2312"/>
                <w:color w:val="auto"/>
                <w:sz w:val="24"/>
                <w:szCs w:val="24"/>
                <w:shd w:val="clear" w:color="auto" w:fill="auto"/>
              </w:rPr>
            </w:pPr>
          </w:p>
        </w:tc>
        <w:tc>
          <w:tcPr>
            <w:tcW w:w="1033"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4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医保结算清单质控通过率</w:t>
            </w:r>
          </w:p>
        </w:tc>
        <w:tc>
          <w:tcPr>
            <w:tcW w:w="2017"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40" w:lineRule="exact"/>
              <w:jc w:val="both"/>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医保结算清单质控通过率</w:t>
            </w:r>
          </w:p>
        </w:tc>
        <w:tc>
          <w:tcPr>
            <w:tcW w:w="63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4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20</w:t>
            </w:r>
          </w:p>
        </w:tc>
        <w:tc>
          <w:tcPr>
            <w:tcW w:w="3886"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40" w:lineRule="exact"/>
              <w:jc w:val="both"/>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医保结算清单质控通过率100%得20分，每下降1个百分点扣4分，扣完为止。</w:t>
            </w:r>
          </w:p>
        </w:tc>
        <w:tc>
          <w:tcPr>
            <w:tcW w:w="607"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4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定量</w:t>
            </w:r>
          </w:p>
        </w:tc>
        <w:tc>
          <w:tcPr>
            <w:tcW w:w="826"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4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系统</w:t>
            </w:r>
          </w:p>
          <w:p>
            <w:pPr>
              <w:widowControl w:val="0"/>
              <w:overflowPunct w:val="0"/>
              <w:autoSpaceDE w:val="0"/>
              <w:autoSpaceDN w:val="0"/>
              <w:adjustRightInd w:val="0"/>
              <w:snapToGrid w:val="0"/>
              <w:spacing w:line="34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提取</w:t>
            </w:r>
          </w:p>
        </w:tc>
        <w:tc>
          <w:tcPr>
            <w:tcW w:w="2252"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40" w:lineRule="exact"/>
              <w:jc w:val="both"/>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医保结算清单质控通过率=年度医疗机构医保结算清单质控通过数÷年度医疗机构医保结算上传数</w:t>
            </w:r>
          </w:p>
        </w:tc>
        <w:tc>
          <w:tcPr>
            <w:tcW w:w="1091"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val="0"/>
              <w:overflowPunct w:val="0"/>
              <w:autoSpaceDE w:val="0"/>
              <w:autoSpaceDN w:val="0"/>
              <w:adjustRightInd w:val="0"/>
              <w:snapToGrid w:val="0"/>
              <w:spacing w:line="300" w:lineRule="exact"/>
              <w:rPr>
                <w:rFonts w:ascii="仿宋_GB2312" w:hAnsi="Times New Roman" w:eastAsia="仿宋_GB2312"/>
                <w:color w:val="auto"/>
                <w:sz w:val="24"/>
                <w:szCs w:val="24"/>
                <w:shd w:val="clear" w:color="auto" w:fill="auto"/>
              </w:rPr>
            </w:pPr>
          </w:p>
        </w:tc>
      </w:tr>
      <w:tr>
        <w:tblPrEx>
          <w:tblCellMar>
            <w:top w:w="0" w:type="dxa"/>
            <w:left w:w="108" w:type="dxa"/>
            <w:bottom w:w="0" w:type="dxa"/>
            <w:right w:w="108" w:type="dxa"/>
          </w:tblCellMar>
        </w:tblPrEx>
        <w:trPr>
          <w:trHeight w:val="567" w:hRule="atLeast"/>
          <w:jc w:val="right"/>
        </w:trPr>
        <w:tc>
          <w:tcPr>
            <w:tcW w:w="970"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val="0"/>
              <w:overflowPunct w:val="0"/>
              <w:autoSpaceDE w:val="0"/>
              <w:autoSpaceDN w:val="0"/>
              <w:spacing w:line="300" w:lineRule="exact"/>
              <w:rPr>
                <w:rFonts w:ascii="仿宋_GB2312" w:hAnsi="Times New Roman" w:eastAsia="仿宋_GB2312"/>
                <w:color w:val="auto"/>
                <w:sz w:val="24"/>
                <w:szCs w:val="24"/>
                <w:shd w:val="clear" w:color="auto" w:fill="auto"/>
              </w:rPr>
            </w:pPr>
          </w:p>
        </w:tc>
        <w:tc>
          <w:tcPr>
            <w:tcW w:w="1033"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4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医保结算清单</w:t>
            </w:r>
          </w:p>
          <w:p>
            <w:pPr>
              <w:widowControl w:val="0"/>
              <w:overflowPunct w:val="0"/>
              <w:autoSpaceDE w:val="0"/>
              <w:autoSpaceDN w:val="0"/>
              <w:spacing w:line="34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入组率</w:t>
            </w:r>
          </w:p>
        </w:tc>
        <w:tc>
          <w:tcPr>
            <w:tcW w:w="2017"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40" w:lineRule="exact"/>
              <w:jc w:val="both"/>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医保结算清单入组率</w:t>
            </w:r>
          </w:p>
        </w:tc>
        <w:tc>
          <w:tcPr>
            <w:tcW w:w="63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4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20</w:t>
            </w:r>
          </w:p>
        </w:tc>
        <w:tc>
          <w:tcPr>
            <w:tcW w:w="3886"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40" w:lineRule="exact"/>
              <w:jc w:val="both"/>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根据年度同级医疗机构入组率最高值从高到低排序，以最高值为参照，每下降1个百分点扣4分，扣完为止。</w:t>
            </w:r>
          </w:p>
        </w:tc>
        <w:tc>
          <w:tcPr>
            <w:tcW w:w="607"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4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定量</w:t>
            </w:r>
          </w:p>
        </w:tc>
        <w:tc>
          <w:tcPr>
            <w:tcW w:w="826"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4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系统</w:t>
            </w:r>
          </w:p>
          <w:p>
            <w:pPr>
              <w:widowControl w:val="0"/>
              <w:overflowPunct w:val="0"/>
              <w:autoSpaceDE w:val="0"/>
              <w:autoSpaceDN w:val="0"/>
              <w:adjustRightInd w:val="0"/>
              <w:snapToGrid w:val="0"/>
              <w:spacing w:line="34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提取</w:t>
            </w:r>
          </w:p>
        </w:tc>
        <w:tc>
          <w:tcPr>
            <w:tcW w:w="2252"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40" w:lineRule="exact"/>
              <w:jc w:val="both"/>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医保结算清单入组率=年度医疗机构医保结算清单入组数÷年度医疗机构医保结算人数</w:t>
            </w:r>
          </w:p>
        </w:tc>
        <w:tc>
          <w:tcPr>
            <w:tcW w:w="1091"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val="0"/>
              <w:overflowPunct w:val="0"/>
              <w:autoSpaceDE w:val="0"/>
              <w:autoSpaceDN w:val="0"/>
              <w:adjustRightInd w:val="0"/>
              <w:snapToGrid w:val="0"/>
              <w:spacing w:line="300" w:lineRule="exact"/>
              <w:rPr>
                <w:rFonts w:ascii="仿宋_GB2312" w:hAnsi="Times New Roman" w:eastAsia="仿宋_GB2312"/>
                <w:color w:val="auto"/>
                <w:sz w:val="24"/>
                <w:szCs w:val="24"/>
                <w:shd w:val="clear" w:color="auto" w:fill="auto"/>
              </w:rPr>
            </w:pPr>
          </w:p>
        </w:tc>
      </w:tr>
      <w:tr>
        <w:tblPrEx>
          <w:tblCellMar>
            <w:top w:w="0" w:type="dxa"/>
            <w:left w:w="108" w:type="dxa"/>
            <w:bottom w:w="0" w:type="dxa"/>
            <w:right w:w="108" w:type="dxa"/>
          </w:tblCellMar>
        </w:tblPrEx>
        <w:trPr>
          <w:trHeight w:val="567" w:hRule="atLeast"/>
          <w:jc w:val="right"/>
        </w:trPr>
        <w:tc>
          <w:tcPr>
            <w:tcW w:w="970"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val="0"/>
              <w:overflowPunct w:val="0"/>
              <w:autoSpaceDE w:val="0"/>
              <w:autoSpaceDN w:val="0"/>
              <w:spacing w:line="300" w:lineRule="exact"/>
              <w:rPr>
                <w:rFonts w:ascii="仿宋_GB2312" w:hAnsi="Times New Roman" w:eastAsia="仿宋_GB2312"/>
                <w:color w:val="auto"/>
                <w:sz w:val="24"/>
                <w:szCs w:val="24"/>
                <w:shd w:val="clear" w:color="auto" w:fill="auto"/>
              </w:rPr>
            </w:pPr>
          </w:p>
        </w:tc>
        <w:tc>
          <w:tcPr>
            <w:tcW w:w="1033"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4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医保结算清单严重问题数量占比</w:t>
            </w:r>
          </w:p>
        </w:tc>
        <w:tc>
          <w:tcPr>
            <w:tcW w:w="2017"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40" w:lineRule="exact"/>
              <w:jc w:val="both"/>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医疗机构上传的医保结算清单中，存在严重质控问题数量</w:t>
            </w:r>
          </w:p>
        </w:tc>
        <w:tc>
          <w:tcPr>
            <w:tcW w:w="63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4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40</w:t>
            </w:r>
          </w:p>
        </w:tc>
        <w:tc>
          <w:tcPr>
            <w:tcW w:w="3886"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40" w:lineRule="exact"/>
              <w:jc w:val="both"/>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年度医保结算清单严重问题数量与上年同比，下降的得20分。严重问题数量为0的，得40分。</w:t>
            </w:r>
          </w:p>
        </w:tc>
        <w:tc>
          <w:tcPr>
            <w:tcW w:w="607"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4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定量</w:t>
            </w:r>
          </w:p>
        </w:tc>
        <w:tc>
          <w:tcPr>
            <w:tcW w:w="826"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4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系统</w:t>
            </w:r>
          </w:p>
          <w:p>
            <w:pPr>
              <w:widowControl w:val="0"/>
              <w:overflowPunct w:val="0"/>
              <w:autoSpaceDE w:val="0"/>
              <w:autoSpaceDN w:val="0"/>
              <w:adjustRightInd w:val="0"/>
              <w:snapToGrid w:val="0"/>
              <w:spacing w:line="34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提取</w:t>
            </w:r>
          </w:p>
        </w:tc>
        <w:tc>
          <w:tcPr>
            <w:tcW w:w="2252"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4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w:t>
            </w:r>
          </w:p>
        </w:tc>
        <w:tc>
          <w:tcPr>
            <w:tcW w:w="1091"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val="0"/>
              <w:overflowPunct w:val="0"/>
              <w:autoSpaceDE w:val="0"/>
              <w:autoSpaceDN w:val="0"/>
              <w:adjustRightInd w:val="0"/>
              <w:snapToGrid w:val="0"/>
              <w:spacing w:line="300" w:lineRule="exact"/>
              <w:rPr>
                <w:rFonts w:ascii="仿宋_GB2312" w:hAnsi="Times New Roman" w:eastAsia="仿宋_GB2312"/>
                <w:color w:val="auto"/>
                <w:sz w:val="24"/>
                <w:szCs w:val="24"/>
                <w:shd w:val="clear" w:color="auto" w:fill="auto"/>
              </w:rPr>
            </w:pPr>
          </w:p>
        </w:tc>
      </w:tr>
      <w:tr>
        <w:tblPrEx>
          <w:tblCellMar>
            <w:top w:w="0" w:type="dxa"/>
            <w:left w:w="108" w:type="dxa"/>
            <w:bottom w:w="0" w:type="dxa"/>
            <w:right w:w="108" w:type="dxa"/>
          </w:tblCellMar>
        </w:tblPrEx>
        <w:trPr>
          <w:trHeight w:val="567" w:hRule="atLeast"/>
          <w:jc w:val="right"/>
        </w:trPr>
        <w:tc>
          <w:tcPr>
            <w:tcW w:w="970"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val="0"/>
              <w:overflowPunct w:val="0"/>
              <w:autoSpaceDE w:val="0"/>
              <w:autoSpaceDN w:val="0"/>
              <w:spacing w:line="300" w:lineRule="exact"/>
              <w:rPr>
                <w:rFonts w:ascii="仿宋_GB2312" w:hAnsi="Times New Roman" w:eastAsia="仿宋_GB2312"/>
                <w:color w:val="auto"/>
                <w:sz w:val="24"/>
                <w:szCs w:val="24"/>
                <w:shd w:val="clear" w:color="auto" w:fill="auto"/>
              </w:rPr>
            </w:pPr>
          </w:p>
        </w:tc>
        <w:tc>
          <w:tcPr>
            <w:tcW w:w="1033"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4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医保结算清单一般问题数量占比</w:t>
            </w:r>
          </w:p>
        </w:tc>
        <w:tc>
          <w:tcPr>
            <w:tcW w:w="2017"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40" w:lineRule="exact"/>
              <w:jc w:val="both"/>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医疗机构上传的医保结算清单中，存在一般质控问题数量</w:t>
            </w:r>
          </w:p>
        </w:tc>
        <w:tc>
          <w:tcPr>
            <w:tcW w:w="63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4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20</w:t>
            </w:r>
          </w:p>
        </w:tc>
        <w:tc>
          <w:tcPr>
            <w:tcW w:w="3886"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40" w:lineRule="exact"/>
              <w:jc w:val="both"/>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年度医保结算清单一般问题数量与上年同比，下降的得10分。一般问题数量为0的，得20分。</w:t>
            </w:r>
          </w:p>
        </w:tc>
        <w:tc>
          <w:tcPr>
            <w:tcW w:w="607"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4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定量</w:t>
            </w:r>
          </w:p>
        </w:tc>
        <w:tc>
          <w:tcPr>
            <w:tcW w:w="826"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4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系统</w:t>
            </w:r>
          </w:p>
          <w:p>
            <w:pPr>
              <w:widowControl w:val="0"/>
              <w:overflowPunct w:val="0"/>
              <w:autoSpaceDE w:val="0"/>
              <w:autoSpaceDN w:val="0"/>
              <w:adjustRightInd w:val="0"/>
              <w:snapToGrid w:val="0"/>
              <w:spacing w:line="34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提取</w:t>
            </w:r>
          </w:p>
        </w:tc>
        <w:tc>
          <w:tcPr>
            <w:tcW w:w="2252"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4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w:t>
            </w:r>
          </w:p>
        </w:tc>
        <w:tc>
          <w:tcPr>
            <w:tcW w:w="1091"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val="0"/>
              <w:overflowPunct w:val="0"/>
              <w:autoSpaceDE w:val="0"/>
              <w:autoSpaceDN w:val="0"/>
              <w:adjustRightInd w:val="0"/>
              <w:snapToGrid w:val="0"/>
              <w:spacing w:line="300" w:lineRule="exact"/>
              <w:rPr>
                <w:rFonts w:ascii="仿宋_GB2312" w:hAnsi="Times New Roman" w:eastAsia="仿宋_GB2312"/>
                <w:color w:val="auto"/>
                <w:sz w:val="24"/>
                <w:szCs w:val="24"/>
                <w:shd w:val="clear" w:color="auto" w:fill="auto"/>
              </w:rPr>
            </w:pPr>
          </w:p>
        </w:tc>
      </w:tr>
      <w:tr>
        <w:tblPrEx>
          <w:tblCellMar>
            <w:top w:w="0" w:type="dxa"/>
            <w:left w:w="108" w:type="dxa"/>
            <w:bottom w:w="0" w:type="dxa"/>
            <w:right w:w="108" w:type="dxa"/>
          </w:tblCellMar>
        </w:tblPrEx>
        <w:trPr>
          <w:trHeight w:val="567" w:hRule="atLeast"/>
          <w:jc w:val="right"/>
        </w:trPr>
        <w:tc>
          <w:tcPr>
            <w:tcW w:w="970" w:type="dxa"/>
            <w:vMerge w:val="restart"/>
            <w:tcBorders>
              <w:top w:val="nil"/>
              <w:left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2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医疗服务能力（230）</w:t>
            </w:r>
          </w:p>
        </w:tc>
        <w:tc>
          <w:tcPr>
            <w:tcW w:w="1033"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2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DRG病组数（DIP病种数）覆盖率</w:t>
            </w:r>
          </w:p>
        </w:tc>
        <w:tc>
          <w:tcPr>
            <w:tcW w:w="2017"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20" w:lineRule="exact"/>
              <w:jc w:val="both"/>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年度医疗机构DRG病组数（DIP病种数）覆盖当地病组（病种）总数的比例</w:t>
            </w:r>
          </w:p>
        </w:tc>
        <w:tc>
          <w:tcPr>
            <w:tcW w:w="63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2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40</w:t>
            </w:r>
          </w:p>
        </w:tc>
        <w:tc>
          <w:tcPr>
            <w:tcW w:w="3886"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20" w:lineRule="exact"/>
              <w:jc w:val="both"/>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年度医疗机构DRG病组数（DIP病种数）覆盖率与上年度同比，每下降1个百分点扣10分，扣完为止。</w:t>
            </w:r>
          </w:p>
        </w:tc>
        <w:tc>
          <w:tcPr>
            <w:tcW w:w="607"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2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定量</w:t>
            </w:r>
          </w:p>
        </w:tc>
        <w:tc>
          <w:tcPr>
            <w:tcW w:w="826"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2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系统</w:t>
            </w:r>
          </w:p>
          <w:p>
            <w:pPr>
              <w:widowControl w:val="0"/>
              <w:overflowPunct w:val="0"/>
              <w:autoSpaceDE w:val="0"/>
              <w:autoSpaceDN w:val="0"/>
              <w:adjustRightInd w:val="0"/>
              <w:snapToGrid w:val="0"/>
              <w:spacing w:line="32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提取</w:t>
            </w:r>
          </w:p>
        </w:tc>
        <w:tc>
          <w:tcPr>
            <w:tcW w:w="2252"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20" w:lineRule="exact"/>
              <w:jc w:val="both"/>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DRG病组数（DIP病种数）覆盖率=年度医疗机构DRG病组数（DIP病种数）÷总DRG病组数（总DIP病种数）</w:t>
            </w:r>
          </w:p>
        </w:tc>
        <w:tc>
          <w:tcPr>
            <w:tcW w:w="1091"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val="0"/>
              <w:overflowPunct w:val="0"/>
              <w:autoSpaceDE w:val="0"/>
              <w:autoSpaceDN w:val="0"/>
              <w:adjustRightInd w:val="0"/>
              <w:snapToGrid w:val="0"/>
              <w:spacing w:line="320" w:lineRule="exact"/>
              <w:rPr>
                <w:rFonts w:ascii="仿宋_GB2312" w:hAnsi="Times New Roman" w:eastAsia="仿宋_GB2312"/>
                <w:color w:val="auto"/>
                <w:sz w:val="24"/>
                <w:szCs w:val="24"/>
                <w:shd w:val="clear" w:color="auto" w:fill="auto"/>
              </w:rPr>
            </w:pPr>
          </w:p>
        </w:tc>
      </w:tr>
      <w:tr>
        <w:tblPrEx>
          <w:tblCellMar>
            <w:top w:w="0" w:type="dxa"/>
            <w:left w:w="108" w:type="dxa"/>
            <w:bottom w:w="0" w:type="dxa"/>
            <w:right w:w="108" w:type="dxa"/>
          </w:tblCellMar>
        </w:tblPrEx>
        <w:trPr>
          <w:trHeight w:val="567" w:hRule="atLeast"/>
          <w:jc w:val="right"/>
        </w:trPr>
        <w:tc>
          <w:tcPr>
            <w:tcW w:w="970" w:type="dxa"/>
            <w:vMerge w:val="continue"/>
            <w:tcBorders>
              <w:left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20" w:lineRule="exact"/>
              <w:rPr>
                <w:rFonts w:ascii="仿宋_GB2312" w:hAnsi="Times New Roman" w:eastAsia="仿宋_GB2312"/>
                <w:color w:val="auto"/>
                <w:sz w:val="24"/>
                <w:szCs w:val="24"/>
                <w:shd w:val="clear" w:color="auto" w:fill="auto"/>
              </w:rPr>
            </w:pPr>
          </w:p>
        </w:tc>
        <w:tc>
          <w:tcPr>
            <w:tcW w:w="1033"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2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病例组合指数（CMI）</w:t>
            </w:r>
          </w:p>
        </w:tc>
        <w:tc>
          <w:tcPr>
            <w:tcW w:w="2017"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20" w:lineRule="exact"/>
              <w:jc w:val="both"/>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年度医疗机构病例组合指数（CMI）的同比</w:t>
            </w:r>
          </w:p>
        </w:tc>
        <w:tc>
          <w:tcPr>
            <w:tcW w:w="63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2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40</w:t>
            </w:r>
          </w:p>
        </w:tc>
        <w:tc>
          <w:tcPr>
            <w:tcW w:w="3886"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20" w:lineRule="exact"/>
              <w:jc w:val="both"/>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年度医疗机构CMI指数与上年同比，持平的得20分，提高的得40分。</w:t>
            </w:r>
          </w:p>
        </w:tc>
        <w:tc>
          <w:tcPr>
            <w:tcW w:w="607"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2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定量</w:t>
            </w:r>
          </w:p>
        </w:tc>
        <w:tc>
          <w:tcPr>
            <w:tcW w:w="826"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2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系统</w:t>
            </w:r>
          </w:p>
          <w:p>
            <w:pPr>
              <w:widowControl w:val="0"/>
              <w:overflowPunct w:val="0"/>
              <w:autoSpaceDE w:val="0"/>
              <w:autoSpaceDN w:val="0"/>
              <w:adjustRightInd w:val="0"/>
              <w:snapToGrid w:val="0"/>
              <w:spacing w:line="32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提取</w:t>
            </w:r>
          </w:p>
        </w:tc>
        <w:tc>
          <w:tcPr>
            <w:tcW w:w="2252"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20" w:lineRule="exact"/>
              <w:jc w:val="both"/>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CMI值（DRG）=该医疗机构DRG入组病例总权重÷该医疗机构DRG入组病例总病例数</w:t>
            </w:r>
            <w:r>
              <w:rPr>
                <w:rFonts w:hint="eastAsia" w:ascii="仿宋_GB2312" w:hAnsi="Times New Roman" w:eastAsia="仿宋_GB2312"/>
                <w:color w:val="auto"/>
                <w:sz w:val="24"/>
                <w:szCs w:val="24"/>
                <w:shd w:val="clear" w:color="auto" w:fill="auto"/>
              </w:rPr>
              <w:br w:type="textWrapping"/>
            </w:r>
            <w:r>
              <w:rPr>
                <w:rFonts w:hint="eastAsia" w:ascii="仿宋_GB2312" w:hAnsi="Times New Roman" w:eastAsia="仿宋_GB2312"/>
                <w:color w:val="auto"/>
                <w:sz w:val="24"/>
                <w:szCs w:val="24"/>
                <w:shd w:val="clear" w:color="auto" w:fill="auto"/>
              </w:rPr>
              <w:t>CMI值（DIP）=该医疗机构DIP入组病例总分值÷该医疗机构DIP入组病例总病例数</w:t>
            </w:r>
          </w:p>
        </w:tc>
        <w:tc>
          <w:tcPr>
            <w:tcW w:w="1091"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val="0"/>
              <w:overflowPunct w:val="0"/>
              <w:autoSpaceDE w:val="0"/>
              <w:autoSpaceDN w:val="0"/>
              <w:adjustRightInd w:val="0"/>
              <w:snapToGrid w:val="0"/>
              <w:spacing w:line="320" w:lineRule="exact"/>
              <w:rPr>
                <w:rFonts w:ascii="仿宋_GB2312" w:hAnsi="Times New Roman" w:eastAsia="仿宋_GB2312"/>
                <w:color w:val="auto"/>
                <w:sz w:val="24"/>
                <w:szCs w:val="24"/>
                <w:shd w:val="clear" w:color="auto" w:fill="auto"/>
              </w:rPr>
            </w:pPr>
          </w:p>
        </w:tc>
      </w:tr>
      <w:tr>
        <w:tblPrEx>
          <w:tblCellMar>
            <w:top w:w="0" w:type="dxa"/>
            <w:left w:w="108" w:type="dxa"/>
            <w:bottom w:w="0" w:type="dxa"/>
            <w:right w:w="108" w:type="dxa"/>
          </w:tblCellMar>
        </w:tblPrEx>
        <w:trPr>
          <w:trHeight w:val="567" w:hRule="atLeast"/>
          <w:jc w:val="right"/>
        </w:trPr>
        <w:tc>
          <w:tcPr>
            <w:tcW w:w="970" w:type="dxa"/>
            <w:vMerge w:val="continue"/>
            <w:tcBorders>
              <w:left w:val="single" w:color="auto" w:sz="4" w:space="0"/>
              <w:bottom w:val="single" w:color="000000"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20" w:lineRule="exact"/>
              <w:rPr>
                <w:rFonts w:ascii="仿宋_GB2312" w:hAnsi="Times New Roman" w:eastAsia="仿宋_GB2312"/>
                <w:color w:val="auto"/>
                <w:sz w:val="24"/>
                <w:szCs w:val="24"/>
                <w:shd w:val="clear" w:color="auto" w:fill="auto"/>
              </w:rPr>
            </w:pPr>
          </w:p>
        </w:tc>
        <w:tc>
          <w:tcPr>
            <w:tcW w:w="1033"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2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三、四级手术比例*</w:t>
            </w:r>
          </w:p>
        </w:tc>
        <w:tc>
          <w:tcPr>
            <w:tcW w:w="2017"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20" w:lineRule="exact"/>
              <w:jc w:val="both"/>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三、四级手术占比</w:t>
            </w:r>
          </w:p>
        </w:tc>
        <w:tc>
          <w:tcPr>
            <w:tcW w:w="63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2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30</w:t>
            </w:r>
          </w:p>
        </w:tc>
        <w:tc>
          <w:tcPr>
            <w:tcW w:w="3886"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20" w:lineRule="exact"/>
              <w:jc w:val="both"/>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年度三级医疗机构四级手术比例与上年同比，持平的得15分，提高的得30分</w:t>
            </w:r>
            <w:r>
              <w:rPr>
                <w:rFonts w:hint="eastAsia" w:ascii="仿宋_GB2312" w:hAnsi="Times New Roman" w:eastAsia="仿宋_GB2312"/>
                <w:bCs/>
                <w:color w:val="auto"/>
                <w:sz w:val="24"/>
                <w:szCs w:val="24"/>
                <w:shd w:val="clear" w:color="auto" w:fill="auto"/>
              </w:rPr>
              <w:t>；</w:t>
            </w:r>
          </w:p>
          <w:p>
            <w:pPr>
              <w:widowControl w:val="0"/>
              <w:overflowPunct w:val="0"/>
              <w:autoSpaceDE w:val="0"/>
              <w:autoSpaceDN w:val="0"/>
              <w:spacing w:line="320" w:lineRule="exact"/>
              <w:jc w:val="both"/>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年度二级医疗机构三、四级手术比例与上年同比，持平的得15分，提高的得30分。</w:t>
            </w:r>
          </w:p>
        </w:tc>
        <w:tc>
          <w:tcPr>
            <w:tcW w:w="607"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2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定量</w:t>
            </w:r>
          </w:p>
        </w:tc>
        <w:tc>
          <w:tcPr>
            <w:tcW w:w="826"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2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系统</w:t>
            </w:r>
          </w:p>
          <w:p>
            <w:pPr>
              <w:widowControl w:val="0"/>
              <w:overflowPunct w:val="0"/>
              <w:autoSpaceDE w:val="0"/>
              <w:autoSpaceDN w:val="0"/>
              <w:adjustRightInd w:val="0"/>
              <w:snapToGrid w:val="0"/>
              <w:spacing w:line="32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提取</w:t>
            </w:r>
          </w:p>
        </w:tc>
        <w:tc>
          <w:tcPr>
            <w:tcW w:w="2252"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20" w:lineRule="exact"/>
              <w:jc w:val="both"/>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四级手术比例（三级医疗机构）= 出院患者四级手术台次数÷同期出院患者手术台次数</w:t>
            </w:r>
            <w:r>
              <w:rPr>
                <w:rFonts w:hint="eastAsia" w:ascii="仿宋_GB2312" w:hAnsi="Times New Roman" w:eastAsia="仿宋_GB2312"/>
                <w:color w:val="auto"/>
                <w:sz w:val="24"/>
                <w:szCs w:val="24"/>
                <w:shd w:val="clear" w:color="auto" w:fill="auto"/>
              </w:rPr>
              <w:br w:type="textWrapping"/>
            </w:r>
            <w:r>
              <w:rPr>
                <w:rFonts w:hint="eastAsia" w:ascii="仿宋_GB2312" w:hAnsi="Times New Roman" w:eastAsia="仿宋_GB2312"/>
                <w:color w:val="auto"/>
                <w:sz w:val="24"/>
                <w:szCs w:val="24"/>
                <w:shd w:val="clear" w:color="auto" w:fill="auto"/>
              </w:rPr>
              <w:t>三级手术比例（二级医疗机构）=年度出院患者三级手术台次数÷同期出院患者手术台次数</w:t>
            </w:r>
          </w:p>
        </w:tc>
        <w:tc>
          <w:tcPr>
            <w:tcW w:w="1091"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2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纳入DRG/DIP的二级及以上医疗机构</w:t>
            </w:r>
          </w:p>
        </w:tc>
      </w:tr>
      <w:tr>
        <w:tblPrEx>
          <w:tblCellMar>
            <w:top w:w="0" w:type="dxa"/>
            <w:left w:w="108" w:type="dxa"/>
            <w:bottom w:w="0" w:type="dxa"/>
            <w:right w:w="108" w:type="dxa"/>
          </w:tblCellMar>
        </w:tblPrEx>
        <w:trPr>
          <w:trHeight w:val="567" w:hRule="atLeast"/>
          <w:jc w:val="right"/>
        </w:trPr>
        <w:tc>
          <w:tcPr>
            <w:tcW w:w="970" w:type="dxa"/>
            <w:vMerge w:val="restart"/>
            <w:tcBorders>
              <w:top w:val="nil"/>
              <w:left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2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医疗服务能力（230）</w:t>
            </w:r>
          </w:p>
        </w:tc>
        <w:tc>
          <w:tcPr>
            <w:tcW w:w="1033"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2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基层医疗机构手术及操作组组数</w:t>
            </w:r>
          </w:p>
        </w:tc>
        <w:tc>
          <w:tcPr>
            <w:tcW w:w="2017"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20" w:lineRule="exact"/>
              <w:jc w:val="both"/>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年度基层医疗机构手术及操作组组数情况</w:t>
            </w:r>
          </w:p>
        </w:tc>
        <w:tc>
          <w:tcPr>
            <w:tcW w:w="63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2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40</w:t>
            </w:r>
          </w:p>
        </w:tc>
        <w:tc>
          <w:tcPr>
            <w:tcW w:w="3886"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20" w:lineRule="exact"/>
              <w:jc w:val="both"/>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年度基层医疗机构手术及操作组组数与上年同比，每增加1组，加10分。</w:t>
            </w:r>
          </w:p>
        </w:tc>
        <w:tc>
          <w:tcPr>
            <w:tcW w:w="607"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2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定量</w:t>
            </w:r>
          </w:p>
        </w:tc>
        <w:tc>
          <w:tcPr>
            <w:tcW w:w="826"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2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系统</w:t>
            </w:r>
          </w:p>
          <w:p>
            <w:pPr>
              <w:widowControl w:val="0"/>
              <w:overflowPunct w:val="0"/>
              <w:autoSpaceDE w:val="0"/>
              <w:autoSpaceDN w:val="0"/>
              <w:adjustRightInd w:val="0"/>
              <w:snapToGrid w:val="0"/>
              <w:spacing w:line="32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提取</w:t>
            </w:r>
          </w:p>
        </w:tc>
        <w:tc>
          <w:tcPr>
            <w:tcW w:w="2252"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2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w:t>
            </w:r>
          </w:p>
        </w:tc>
        <w:tc>
          <w:tcPr>
            <w:tcW w:w="1091"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2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纳入DRG/DIP的基层医疗机构</w:t>
            </w:r>
          </w:p>
        </w:tc>
      </w:tr>
      <w:tr>
        <w:tblPrEx>
          <w:tblCellMar>
            <w:top w:w="0" w:type="dxa"/>
            <w:left w:w="108" w:type="dxa"/>
            <w:bottom w:w="0" w:type="dxa"/>
            <w:right w:w="108" w:type="dxa"/>
          </w:tblCellMar>
        </w:tblPrEx>
        <w:trPr>
          <w:trHeight w:val="567" w:hRule="atLeast"/>
          <w:jc w:val="right"/>
        </w:trPr>
        <w:tc>
          <w:tcPr>
            <w:tcW w:w="970" w:type="dxa"/>
            <w:vMerge w:val="continue"/>
            <w:tcBorders>
              <w:left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00" w:lineRule="exact"/>
              <w:rPr>
                <w:rFonts w:ascii="仿宋_GB2312" w:hAnsi="Times New Roman" w:eastAsia="仿宋_GB2312"/>
                <w:color w:val="auto"/>
                <w:sz w:val="24"/>
                <w:szCs w:val="24"/>
                <w:shd w:val="clear" w:color="auto" w:fill="auto"/>
              </w:rPr>
            </w:pPr>
          </w:p>
        </w:tc>
        <w:tc>
          <w:tcPr>
            <w:tcW w:w="1033"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2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基层病组数量覆盖占比</w:t>
            </w:r>
          </w:p>
        </w:tc>
        <w:tc>
          <w:tcPr>
            <w:tcW w:w="2017"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20" w:lineRule="exact"/>
              <w:jc w:val="both"/>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充分发挥医保对医疗服务供方的引导，进一步促进分级诊疗</w:t>
            </w:r>
          </w:p>
        </w:tc>
        <w:tc>
          <w:tcPr>
            <w:tcW w:w="63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2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40</w:t>
            </w:r>
          </w:p>
        </w:tc>
        <w:tc>
          <w:tcPr>
            <w:tcW w:w="3886"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20" w:lineRule="exact"/>
              <w:jc w:val="both"/>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基层医疗机构基层病组覆盖率100%得40分；90%以上，得30分；80%以上，得20分；70%以上，得10分；60%以上，得5分。</w:t>
            </w:r>
          </w:p>
        </w:tc>
        <w:tc>
          <w:tcPr>
            <w:tcW w:w="607"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2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定量</w:t>
            </w:r>
          </w:p>
        </w:tc>
        <w:tc>
          <w:tcPr>
            <w:tcW w:w="826"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2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系统</w:t>
            </w:r>
          </w:p>
          <w:p>
            <w:pPr>
              <w:widowControl w:val="0"/>
              <w:overflowPunct w:val="0"/>
              <w:autoSpaceDE w:val="0"/>
              <w:autoSpaceDN w:val="0"/>
              <w:adjustRightInd w:val="0"/>
              <w:snapToGrid w:val="0"/>
              <w:spacing w:line="32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提取</w:t>
            </w:r>
          </w:p>
        </w:tc>
        <w:tc>
          <w:tcPr>
            <w:tcW w:w="2252"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20" w:lineRule="exact"/>
              <w:jc w:val="both"/>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基层病组数量覆盖占比=年度基层医疗机构基层收治病组组数÷基层病组组数</w:t>
            </w:r>
          </w:p>
        </w:tc>
        <w:tc>
          <w:tcPr>
            <w:tcW w:w="1091"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2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纳入DRG/DIP的基层医疗机构</w:t>
            </w:r>
          </w:p>
        </w:tc>
      </w:tr>
      <w:tr>
        <w:tblPrEx>
          <w:tblCellMar>
            <w:top w:w="0" w:type="dxa"/>
            <w:left w:w="108" w:type="dxa"/>
            <w:bottom w:w="0" w:type="dxa"/>
            <w:right w:w="108" w:type="dxa"/>
          </w:tblCellMar>
        </w:tblPrEx>
        <w:trPr>
          <w:trHeight w:val="567" w:hRule="atLeast"/>
          <w:jc w:val="right"/>
        </w:trPr>
        <w:tc>
          <w:tcPr>
            <w:tcW w:w="970" w:type="dxa"/>
            <w:vMerge w:val="continue"/>
            <w:tcBorders>
              <w:left w:val="single" w:color="auto" w:sz="4" w:space="0"/>
              <w:bottom w:val="single" w:color="000000"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00" w:lineRule="exact"/>
              <w:rPr>
                <w:rFonts w:ascii="仿宋_GB2312" w:hAnsi="Times New Roman" w:eastAsia="仿宋_GB2312"/>
                <w:color w:val="auto"/>
                <w:sz w:val="24"/>
                <w:szCs w:val="24"/>
                <w:shd w:val="clear" w:color="auto" w:fill="auto"/>
              </w:rPr>
            </w:pPr>
          </w:p>
        </w:tc>
        <w:tc>
          <w:tcPr>
            <w:tcW w:w="1033"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2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基层病组收治人次占比</w:t>
            </w:r>
          </w:p>
        </w:tc>
        <w:tc>
          <w:tcPr>
            <w:tcW w:w="2017"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20" w:lineRule="exact"/>
              <w:jc w:val="both"/>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充分发挥医保对医疗服务供方的引导，进一步促进分级诊疗</w:t>
            </w:r>
          </w:p>
        </w:tc>
        <w:tc>
          <w:tcPr>
            <w:tcW w:w="63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2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40</w:t>
            </w:r>
          </w:p>
        </w:tc>
        <w:tc>
          <w:tcPr>
            <w:tcW w:w="3886"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20" w:lineRule="exact"/>
              <w:jc w:val="both"/>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基层医疗机构基层病组收治人次占比与上年同比，每上升5个百分点加10分。</w:t>
            </w:r>
          </w:p>
        </w:tc>
        <w:tc>
          <w:tcPr>
            <w:tcW w:w="607"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2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定量</w:t>
            </w:r>
          </w:p>
        </w:tc>
        <w:tc>
          <w:tcPr>
            <w:tcW w:w="826"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2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系统</w:t>
            </w:r>
          </w:p>
          <w:p>
            <w:pPr>
              <w:widowControl w:val="0"/>
              <w:overflowPunct w:val="0"/>
              <w:autoSpaceDE w:val="0"/>
              <w:autoSpaceDN w:val="0"/>
              <w:adjustRightInd w:val="0"/>
              <w:snapToGrid w:val="0"/>
              <w:spacing w:line="32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提取</w:t>
            </w:r>
          </w:p>
        </w:tc>
        <w:tc>
          <w:tcPr>
            <w:tcW w:w="2252"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20" w:lineRule="exact"/>
              <w:jc w:val="both"/>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基层病组收治人次占比=（年度基层病组收治人次-上年度基层病组收治人次）÷上年度基层病组收治人次</w:t>
            </w:r>
          </w:p>
        </w:tc>
        <w:tc>
          <w:tcPr>
            <w:tcW w:w="1091"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2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纳入DRG/DIP的基层医疗机构</w:t>
            </w:r>
          </w:p>
        </w:tc>
      </w:tr>
      <w:tr>
        <w:tblPrEx>
          <w:tblCellMar>
            <w:top w:w="0" w:type="dxa"/>
            <w:left w:w="108" w:type="dxa"/>
            <w:bottom w:w="0" w:type="dxa"/>
            <w:right w:w="108" w:type="dxa"/>
          </w:tblCellMar>
        </w:tblPrEx>
        <w:trPr>
          <w:trHeight w:val="567" w:hRule="atLeast"/>
          <w:jc w:val="right"/>
        </w:trPr>
        <w:tc>
          <w:tcPr>
            <w:tcW w:w="970" w:type="dxa"/>
            <w:vMerge w:val="restart"/>
            <w:tcBorders>
              <w:top w:val="nil"/>
              <w:left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0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医疗质量管理（110）</w:t>
            </w:r>
          </w:p>
        </w:tc>
        <w:tc>
          <w:tcPr>
            <w:tcW w:w="1033"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2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临床路径入径数</w:t>
            </w:r>
          </w:p>
        </w:tc>
        <w:tc>
          <w:tcPr>
            <w:tcW w:w="2017"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20" w:lineRule="exact"/>
              <w:jc w:val="both"/>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年度医疗机构纳入临床路径的病例数</w:t>
            </w:r>
          </w:p>
        </w:tc>
        <w:tc>
          <w:tcPr>
            <w:tcW w:w="63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2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30</w:t>
            </w:r>
          </w:p>
        </w:tc>
        <w:tc>
          <w:tcPr>
            <w:tcW w:w="3886"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20" w:lineRule="exact"/>
              <w:jc w:val="both"/>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年度同级医疗机构病种临床路径入径数量与上年同比，持平的得15分，提高的得30分。</w:t>
            </w:r>
          </w:p>
        </w:tc>
        <w:tc>
          <w:tcPr>
            <w:tcW w:w="607"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2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定量</w:t>
            </w:r>
          </w:p>
        </w:tc>
        <w:tc>
          <w:tcPr>
            <w:tcW w:w="826"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2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医院</w:t>
            </w:r>
          </w:p>
          <w:p>
            <w:pPr>
              <w:widowControl w:val="0"/>
              <w:overflowPunct w:val="0"/>
              <w:autoSpaceDE w:val="0"/>
              <w:autoSpaceDN w:val="0"/>
              <w:adjustRightInd w:val="0"/>
              <w:snapToGrid w:val="0"/>
              <w:spacing w:line="32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填报</w:t>
            </w:r>
          </w:p>
        </w:tc>
        <w:tc>
          <w:tcPr>
            <w:tcW w:w="2252"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20" w:lineRule="exact"/>
              <w:jc w:val="both"/>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临床路径入径占比=年度医疗机构纳入临床路径的病例数÷年度医疗机构总病例数</w:t>
            </w:r>
          </w:p>
        </w:tc>
        <w:tc>
          <w:tcPr>
            <w:tcW w:w="1091"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2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纳入DRG/DIP的二级及以上医疗机构</w:t>
            </w:r>
          </w:p>
        </w:tc>
      </w:tr>
      <w:tr>
        <w:tblPrEx>
          <w:tblCellMar>
            <w:top w:w="0" w:type="dxa"/>
            <w:left w:w="108" w:type="dxa"/>
            <w:bottom w:w="0" w:type="dxa"/>
            <w:right w:w="108" w:type="dxa"/>
          </w:tblCellMar>
        </w:tblPrEx>
        <w:trPr>
          <w:trHeight w:val="567" w:hRule="atLeast"/>
          <w:jc w:val="right"/>
        </w:trPr>
        <w:tc>
          <w:tcPr>
            <w:tcW w:w="970" w:type="dxa"/>
            <w:vMerge w:val="continue"/>
            <w:tcBorders>
              <w:left w:val="single" w:color="auto" w:sz="4" w:space="0"/>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00" w:lineRule="exact"/>
              <w:rPr>
                <w:rFonts w:ascii="仿宋_GB2312" w:hAnsi="Times New Roman" w:eastAsia="仿宋_GB2312"/>
                <w:color w:val="auto"/>
                <w:sz w:val="24"/>
                <w:szCs w:val="24"/>
                <w:shd w:val="clear" w:color="auto" w:fill="auto"/>
              </w:rPr>
            </w:pPr>
          </w:p>
        </w:tc>
        <w:tc>
          <w:tcPr>
            <w:tcW w:w="1033"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2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再住院率*</w:t>
            </w:r>
          </w:p>
        </w:tc>
        <w:tc>
          <w:tcPr>
            <w:tcW w:w="2017"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20" w:lineRule="exact"/>
              <w:jc w:val="both"/>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年度出院患者出院后31日内因相同或相关疾病非计划再次入院人次数占同期出院患者总人次数的比例</w:t>
            </w:r>
          </w:p>
        </w:tc>
        <w:tc>
          <w:tcPr>
            <w:tcW w:w="63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2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40</w:t>
            </w:r>
          </w:p>
        </w:tc>
        <w:tc>
          <w:tcPr>
            <w:tcW w:w="3886"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20" w:lineRule="exact"/>
              <w:jc w:val="both"/>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年度医疗机构再住院率与上年同比，持平的得20分，下降的得40分。</w:t>
            </w:r>
          </w:p>
        </w:tc>
        <w:tc>
          <w:tcPr>
            <w:tcW w:w="607"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2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定量</w:t>
            </w:r>
          </w:p>
        </w:tc>
        <w:tc>
          <w:tcPr>
            <w:tcW w:w="826"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2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系统</w:t>
            </w:r>
          </w:p>
          <w:p>
            <w:pPr>
              <w:widowControl w:val="0"/>
              <w:overflowPunct w:val="0"/>
              <w:autoSpaceDE w:val="0"/>
              <w:autoSpaceDN w:val="0"/>
              <w:adjustRightInd w:val="0"/>
              <w:snapToGrid w:val="0"/>
              <w:spacing w:line="32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提取</w:t>
            </w:r>
          </w:p>
        </w:tc>
        <w:tc>
          <w:tcPr>
            <w:tcW w:w="2252"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20" w:lineRule="exact"/>
              <w:jc w:val="both"/>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再</w:t>
            </w:r>
            <w:r>
              <w:rPr>
                <w:rFonts w:hint="eastAsia" w:ascii="仿宋_GB2312" w:hAnsi="Times New Roman" w:eastAsia="仿宋_GB2312"/>
                <w:bCs/>
                <w:color w:val="auto"/>
                <w:sz w:val="24"/>
                <w:szCs w:val="24"/>
                <w:shd w:val="clear" w:color="auto" w:fill="auto"/>
              </w:rPr>
              <w:t>住</w:t>
            </w:r>
            <w:r>
              <w:rPr>
                <w:rFonts w:hint="eastAsia" w:ascii="仿宋_GB2312" w:hAnsi="Times New Roman" w:eastAsia="仿宋_GB2312"/>
                <w:color w:val="auto"/>
                <w:sz w:val="24"/>
                <w:szCs w:val="24"/>
                <w:shd w:val="clear" w:color="auto" w:fill="auto"/>
              </w:rPr>
              <w:t>院率=患者出院后非计划重返再住院人次数/同期出院患者总人次数</w:t>
            </w:r>
          </w:p>
        </w:tc>
        <w:tc>
          <w:tcPr>
            <w:tcW w:w="1091"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2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纳入DRG/DIP的全部医疗机构</w:t>
            </w:r>
          </w:p>
        </w:tc>
      </w:tr>
      <w:tr>
        <w:tblPrEx>
          <w:tblCellMar>
            <w:top w:w="0" w:type="dxa"/>
            <w:left w:w="108" w:type="dxa"/>
            <w:bottom w:w="0" w:type="dxa"/>
            <w:right w:w="108" w:type="dxa"/>
          </w:tblCellMar>
        </w:tblPrEx>
        <w:trPr>
          <w:trHeight w:val="1933" w:hRule="atLeast"/>
          <w:jc w:val="right"/>
        </w:trPr>
        <w:tc>
          <w:tcPr>
            <w:tcW w:w="970"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6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医疗质量管理（110）</w:t>
            </w:r>
          </w:p>
        </w:tc>
        <w:tc>
          <w:tcPr>
            <w:tcW w:w="1033"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6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低风险</w:t>
            </w:r>
          </w:p>
          <w:p>
            <w:pPr>
              <w:widowControl w:val="0"/>
              <w:overflowPunct w:val="0"/>
              <w:autoSpaceDE w:val="0"/>
              <w:autoSpaceDN w:val="0"/>
              <w:spacing w:line="36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组病例</w:t>
            </w:r>
          </w:p>
          <w:p>
            <w:pPr>
              <w:widowControl w:val="0"/>
              <w:overflowPunct w:val="0"/>
              <w:autoSpaceDE w:val="0"/>
              <w:autoSpaceDN w:val="0"/>
              <w:spacing w:line="36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死亡率*</w:t>
            </w:r>
          </w:p>
        </w:tc>
        <w:tc>
          <w:tcPr>
            <w:tcW w:w="201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60" w:lineRule="exact"/>
              <w:jc w:val="both"/>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体现医院医疗质量和安全管理情况，也间接反映了医院的救治能力和临床诊疗过程管理水平</w:t>
            </w:r>
          </w:p>
        </w:tc>
        <w:tc>
          <w:tcPr>
            <w:tcW w:w="63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6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40</w:t>
            </w:r>
          </w:p>
        </w:tc>
        <w:tc>
          <w:tcPr>
            <w:tcW w:w="3886"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60" w:lineRule="exact"/>
              <w:jc w:val="both"/>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年度低风险组病例死亡率与上年同比，持平的得20分，下降的得40分。</w:t>
            </w:r>
          </w:p>
        </w:tc>
        <w:tc>
          <w:tcPr>
            <w:tcW w:w="607"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6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定量</w:t>
            </w:r>
          </w:p>
        </w:tc>
        <w:tc>
          <w:tcPr>
            <w:tcW w:w="826"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6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系统</w:t>
            </w:r>
          </w:p>
          <w:p>
            <w:pPr>
              <w:widowControl w:val="0"/>
              <w:overflowPunct w:val="0"/>
              <w:autoSpaceDE w:val="0"/>
              <w:autoSpaceDN w:val="0"/>
              <w:adjustRightInd w:val="0"/>
              <w:snapToGrid w:val="0"/>
              <w:spacing w:line="36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提取</w:t>
            </w:r>
          </w:p>
        </w:tc>
        <w:tc>
          <w:tcPr>
            <w:tcW w:w="2252"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60" w:lineRule="exact"/>
              <w:jc w:val="both"/>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低风险组病例死亡率=低风险组死亡病例数/低风险组病例数</w:t>
            </w:r>
          </w:p>
        </w:tc>
        <w:tc>
          <w:tcPr>
            <w:tcW w:w="1091"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6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纳入DRG/DIP的全部医疗机构</w:t>
            </w:r>
          </w:p>
        </w:tc>
      </w:tr>
      <w:tr>
        <w:tblPrEx>
          <w:tblCellMar>
            <w:top w:w="0" w:type="dxa"/>
            <w:left w:w="108" w:type="dxa"/>
            <w:bottom w:w="0" w:type="dxa"/>
            <w:right w:w="108" w:type="dxa"/>
          </w:tblCellMar>
        </w:tblPrEx>
        <w:trPr>
          <w:trHeight w:val="3108" w:hRule="atLeast"/>
          <w:jc w:val="right"/>
        </w:trPr>
        <w:tc>
          <w:tcPr>
            <w:tcW w:w="970" w:type="dxa"/>
            <w:vMerge w:val="restart"/>
            <w:tcBorders>
              <w:top w:val="single" w:color="auto" w:sz="4" w:space="0"/>
              <w:left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6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医疗服务效率（520）</w:t>
            </w:r>
          </w:p>
        </w:tc>
        <w:tc>
          <w:tcPr>
            <w:tcW w:w="1033"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6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费用</w:t>
            </w:r>
          </w:p>
          <w:p>
            <w:pPr>
              <w:widowControl w:val="0"/>
              <w:overflowPunct w:val="0"/>
              <w:autoSpaceDE w:val="0"/>
              <w:autoSpaceDN w:val="0"/>
              <w:spacing w:line="36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消耗指数</w:t>
            </w:r>
          </w:p>
        </w:tc>
        <w:tc>
          <w:tcPr>
            <w:tcW w:w="201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60" w:lineRule="exact"/>
              <w:jc w:val="both"/>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年度医疗机构费用消耗指数</w:t>
            </w:r>
          </w:p>
        </w:tc>
        <w:tc>
          <w:tcPr>
            <w:tcW w:w="63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6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40</w:t>
            </w:r>
          </w:p>
        </w:tc>
        <w:tc>
          <w:tcPr>
            <w:tcW w:w="3886"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60" w:lineRule="exact"/>
              <w:jc w:val="both"/>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年度医疗机构费用消耗指数与上年同比，持平的得20分，下降的得40分。</w:t>
            </w:r>
          </w:p>
        </w:tc>
        <w:tc>
          <w:tcPr>
            <w:tcW w:w="607"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6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定量</w:t>
            </w:r>
          </w:p>
        </w:tc>
        <w:tc>
          <w:tcPr>
            <w:tcW w:w="826"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6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系统</w:t>
            </w:r>
          </w:p>
          <w:p>
            <w:pPr>
              <w:widowControl w:val="0"/>
              <w:overflowPunct w:val="0"/>
              <w:autoSpaceDE w:val="0"/>
              <w:autoSpaceDN w:val="0"/>
              <w:adjustRightInd w:val="0"/>
              <w:snapToGrid w:val="0"/>
              <w:spacing w:line="36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提取</w:t>
            </w:r>
          </w:p>
        </w:tc>
        <w:tc>
          <w:tcPr>
            <w:tcW w:w="2252"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60" w:lineRule="exact"/>
              <w:jc w:val="both"/>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费用消耗指数=Σ（医疗机构该病组住院次均费用÷纳入DRG/DIP的全部医疗机构该病组住院次均费用×该医疗机构该病组病例数）÷该医疗机构总病组病例数</w:t>
            </w:r>
          </w:p>
        </w:tc>
        <w:tc>
          <w:tcPr>
            <w:tcW w:w="1091"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6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纳入DRG/DIP的全部医疗机构</w:t>
            </w:r>
          </w:p>
        </w:tc>
      </w:tr>
      <w:tr>
        <w:tblPrEx>
          <w:tblCellMar>
            <w:top w:w="0" w:type="dxa"/>
            <w:left w:w="108" w:type="dxa"/>
            <w:bottom w:w="0" w:type="dxa"/>
            <w:right w:w="108" w:type="dxa"/>
          </w:tblCellMar>
        </w:tblPrEx>
        <w:trPr>
          <w:trHeight w:val="567" w:hRule="atLeast"/>
          <w:jc w:val="right"/>
        </w:trPr>
        <w:tc>
          <w:tcPr>
            <w:tcW w:w="970" w:type="dxa"/>
            <w:vMerge w:val="continue"/>
            <w:tcBorders>
              <w:left w:val="single" w:color="auto" w:sz="4" w:space="0"/>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60" w:lineRule="exact"/>
              <w:rPr>
                <w:rFonts w:ascii="仿宋_GB2312" w:hAnsi="Times New Roman" w:eastAsia="仿宋_GB2312"/>
                <w:color w:val="auto"/>
                <w:sz w:val="24"/>
                <w:szCs w:val="24"/>
                <w:shd w:val="clear" w:color="auto" w:fill="auto"/>
              </w:rPr>
            </w:pPr>
          </w:p>
        </w:tc>
        <w:tc>
          <w:tcPr>
            <w:tcW w:w="1033"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6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时间</w:t>
            </w:r>
          </w:p>
          <w:p>
            <w:pPr>
              <w:widowControl w:val="0"/>
              <w:overflowPunct w:val="0"/>
              <w:autoSpaceDE w:val="0"/>
              <w:autoSpaceDN w:val="0"/>
              <w:spacing w:line="36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消耗指数</w:t>
            </w:r>
          </w:p>
        </w:tc>
        <w:tc>
          <w:tcPr>
            <w:tcW w:w="2017"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60" w:lineRule="exact"/>
              <w:jc w:val="both"/>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年度医疗机构时间消耗指数</w:t>
            </w:r>
          </w:p>
        </w:tc>
        <w:tc>
          <w:tcPr>
            <w:tcW w:w="63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6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40</w:t>
            </w:r>
          </w:p>
        </w:tc>
        <w:tc>
          <w:tcPr>
            <w:tcW w:w="3886"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60" w:lineRule="exact"/>
              <w:jc w:val="both"/>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年度医疗机构时间消耗指数与上年同比，持平的得20分，下降的得40分。</w:t>
            </w:r>
          </w:p>
        </w:tc>
        <w:tc>
          <w:tcPr>
            <w:tcW w:w="607"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6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定量</w:t>
            </w:r>
          </w:p>
        </w:tc>
        <w:tc>
          <w:tcPr>
            <w:tcW w:w="826"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6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系统</w:t>
            </w:r>
          </w:p>
          <w:p>
            <w:pPr>
              <w:widowControl w:val="0"/>
              <w:overflowPunct w:val="0"/>
              <w:autoSpaceDE w:val="0"/>
              <w:autoSpaceDN w:val="0"/>
              <w:adjustRightInd w:val="0"/>
              <w:snapToGrid w:val="0"/>
              <w:spacing w:line="36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提取</w:t>
            </w:r>
          </w:p>
        </w:tc>
        <w:tc>
          <w:tcPr>
            <w:tcW w:w="2252"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60" w:lineRule="exact"/>
              <w:jc w:val="both"/>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时间消耗指数=Σ（医疗机构该病组平均住院日÷纳入DRG/DIP的全部医疗机构该病组平均住院日×该医疗机构该病组病例数）÷该医疗机构总病组病例数</w:t>
            </w:r>
          </w:p>
        </w:tc>
        <w:tc>
          <w:tcPr>
            <w:tcW w:w="1091"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6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纳入DRG/DIP的全部医疗机构</w:t>
            </w:r>
          </w:p>
        </w:tc>
      </w:tr>
      <w:tr>
        <w:tblPrEx>
          <w:tblCellMar>
            <w:top w:w="0" w:type="dxa"/>
            <w:left w:w="108" w:type="dxa"/>
            <w:bottom w:w="0" w:type="dxa"/>
            <w:right w:w="108" w:type="dxa"/>
          </w:tblCellMar>
        </w:tblPrEx>
        <w:trPr>
          <w:trHeight w:val="567" w:hRule="atLeast"/>
          <w:jc w:val="right"/>
        </w:trPr>
        <w:tc>
          <w:tcPr>
            <w:tcW w:w="970" w:type="dxa"/>
            <w:vMerge w:val="restart"/>
            <w:tcBorders>
              <w:top w:val="nil"/>
              <w:left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4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医疗服务效率（520）</w:t>
            </w:r>
          </w:p>
        </w:tc>
        <w:tc>
          <w:tcPr>
            <w:tcW w:w="1033"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3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药品</w:t>
            </w:r>
          </w:p>
          <w:p>
            <w:pPr>
              <w:widowControl w:val="0"/>
              <w:overflowPunct w:val="0"/>
              <w:autoSpaceDE w:val="0"/>
              <w:autoSpaceDN w:val="0"/>
              <w:spacing w:line="33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消耗指数</w:t>
            </w:r>
          </w:p>
        </w:tc>
        <w:tc>
          <w:tcPr>
            <w:tcW w:w="2017"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30" w:lineRule="exact"/>
              <w:jc w:val="both"/>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年度医疗机构药品收入占总收入比例</w:t>
            </w:r>
          </w:p>
        </w:tc>
        <w:tc>
          <w:tcPr>
            <w:tcW w:w="63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3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40</w:t>
            </w:r>
          </w:p>
        </w:tc>
        <w:tc>
          <w:tcPr>
            <w:tcW w:w="3886"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30" w:lineRule="exact"/>
              <w:jc w:val="both"/>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年度医疗机构药品消耗指数与上年同比，持平的得20分，下降的得40分。</w:t>
            </w:r>
          </w:p>
        </w:tc>
        <w:tc>
          <w:tcPr>
            <w:tcW w:w="607"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3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定量</w:t>
            </w:r>
          </w:p>
        </w:tc>
        <w:tc>
          <w:tcPr>
            <w:tcW w:w="826"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3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系统</w:t>
            </w:r>
          </w:p>
          <w:p>
            <w:pPr>
              <w:widowControl w:val="0"/>
              <w:overflowPunct w:val="0"/>
              <w:autoSpaceDE w:val="0"/>
              <w:autoSpaceDN w:val="0"/>
              <w:adjustRightInd w:val="0"/>
              <w:snapToGrid w:val="0"/>
              <w:spacing w:line="33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提取</w:t>
            </w:r>
          </w:p>
        </w:tc>
        <w:tc>
          <w:tcPr>
            <w:tcW w:w="2252"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30" w:lineRule="exact"/>
              <w:jc w:val="both"/>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药品消耗指数=Σ（医疗机构该病组次均药品费用÷纳入DRG/DIP的全部医疗机构该病组次均药品费用×该医疗机构该病组病例数）÷该医疗机构总病组病例数</w:t>
            </w:r>
          </w:p>
        </w:tc>
        <w:tc>
          <w:tcPr>
            <w:tcW w:w="1091"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3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纳入DRG/DIP的全部医疗机构</w:t>
            </w:r>
          </w:p>
        </w:tc>
      </w:tr>
      <w:tr>
        <w:tblPrEx>
          <w:tblCellMar>
            <w:top w:w="0" w:type="dxa"/>
            <w:left w:w="108" w:type="dxa"/>
            <w:bottom w:w="0" w:type="dxa"/>
            <w:right w:w="108" w:type="dxa"/>
          </w:tblCellMar>
        </w:tblPrEx>
        <w:trPr>
          <w:trHeight w:val="567" w:hRule="atLeast"/>
          <w:jc w:val="right"/>
        </w:trPr>
        <w:tc>
          <w:tcPr>
            <w:tcW w:w="970" w:type="dxa"/>
            <w:vMerge w:val="continue"/>
            <w:tcBorders>
              <w:left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00" w:lineRule="exact"/>
              <w:rPr>
                <w:rFonts w:ascii="仿宋_GB2312" w:hAnsi="Times New Roman" w:eastAsia="仿宋_GB2312"/>
                <w:color w:val="auto"/>
                <w:sz w:val="24"/>
                <w:szCs w:val="24"/>
                <w:shd w:val="clear" w:color="auto" w:fill="auto"/>
              </w:rPr>
            </w:pPr>
          </w:p>
        </w:tc>
        <w:tc>
          <w:tcPr>
            <w:tcW w:w="1033"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3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耗材</w:t>
            </w:r>
          </w:p>
          <w:p>
            <w:pPr>
              <w:widowControl w:val="0"/>
              <w:overflowPunct w:val="0"/>
              <w:autoSpaceDE w:val="0"/>
              <w:autoSpaceDN w:val="0"/>
              <w:spacing w:line="33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消耗指数</w:t>
            </w:r>
          </w:p>
        </w:tc>
        <w:tc>
          <w:tcPr>
            <w:tcW w:w="2017"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30" w:lineRule="exact"/>
              <w:jc w:val="both"/>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年度医疗机构耗材收入占总收入比例</w:t>
            </w:r>
          </w:p>
        </w:tc>
        <w:tc>
          <w:tcPr>
            <w:tcW w:w="63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3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40</w:t>
            </w:r>
          </w:p>
        </w:tc>
        <w:tc>
          <w:tcPr>
            <w:tcW w:w="3886"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30" w:lineRule="exact"/>
              <w:jc w:val="both"/>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年度医疗机构耗材消耗指数与上年同比，持平的得20分，下降的得40分。</w:t>
            </w:r>
          </w:p>
        </w:tc>
        <w:tc>
          <w:tcPr>
            <w:tcW w:w="607"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3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定量</w:t>
            </w:r>
          </w:p>
        </w:tc>
        <w:tc>
          <w:tcPr>
            <w:tcW w:w="826"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3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系统</w:t>
            </w:r>
          </w:p>
          <w:p>
            <w:pPr>
              <w:widowControl w:val="0"/>
              <w:overflowPunct w:val="0"/>
              <w:autoSpaceDE w:val="0"/>
              <w:autoSpaceDN w:val="0"/>
              <w:adjustRightInd w:val="0"/>
              <w:snapToGrid w:val="0"/>
              <w:spacing w:line="33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提取</w:t>
            </w:r>
          </w:p>
        </w:tc>
        <w:tc>
          <w:tcPr>
            <w:tcW w:w="2252"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30" w:lineRule="exact"/>
              <w:jc w:val="both"/>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耗材消耗指数=Σ (医疗机构该病组次均耗材费用÷纳入DRG/DIP的全部医疗机构该病组次均耗材费用×该医疗机构该病组病例数）÷该医疗机构总病组病例数</w:t>
            </w:r>
          </w:p>
        </w:tc>
        <w:tc>
          <w:tcPr>
            <w:tcW w:w="1091"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3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纳入DRG/DIP的全部医疗机构</w:t>
            </w:r>
          </w:p>
        </w:tc>
      </w:tr>
      <w:tr>
        <w:tblPrEx>
          <w:tblCellMar>
            <w:top w:w="0" w:type="dxa"/>
            <w:left w:w="108" w:type="dxa"/>
            <w:bottom w:w="0" w:type="dxa"/>
            <w:right w:w="108" w:type="dxa"/>
          </w:tblCellMar>
        </w:tblPrEx>
        <w:trPr>
          <w:trHeight w:val="567" w:hRule="atLeast"/>
          <w:jc w:val="right"/>
        </w:trPr>
        <w:tc>
          <w:tcPr>
            <w:tcW w:w="970" w:type="dxa"/>
            <w:vMerge w:val="continue"/>
            <w:tcBorders>
              <w:left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00" w:lineRule="exact"/>
              <w:rPr>
                <w:rFonts w:ascii="仿宋_GB2312" w:hAnsi="Times New Roman" w:eastAsia="仿宋_GB2312"/>
                <w:color w:val="auto"/>
                <w:sz w:val="24"/>
                <w:szCs w:val="24"/>
                <w:shd w:val="clear" w:color="auto" w:fill="auto"/>
              </w:rPr>
            </w:pPr>
          </w:p>
        </w:tc>
        <w:tc>
          <w:tcPr>
            <w:tcW w:w="1033"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3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平均</w:t>
            </w:r>
          </w:p>
          <w:p>
            <w:pPr>
              <w:widowControl w:val="0"/>
              <w:overflowPunct w:val="0"/>
              <w:autoSpaceDE w:val="0"/>
              <w:autoSpaceDN w:val="0"/>
              <w:spacing w:line="33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住院日*</w:t>
            </w:r>
          </w:p>
        </w:tc>
        <w:tc>
          <w:tcPr>
            <w:tcW w:w="2017"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30" w:lineRule="exact"/>
              <w:jc w:val="both"/>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年度平均住院时间</w:t>
            </w:r>
          </w:p>
        </w:tc>
        <w:tc>
          <w:tcPr>
            <w:tcW w:w="63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3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30</w:t>
            </w:r>
          </w:p>
        </w:tc>
        <w:tc>
          <w:tcPr>
            <w:tcW w:w="3886"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30" w:lineRule="exact"/>
              <w:jc w:val="both"/>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年度医疗机构平均住院日与上年同比，持平的得15分，下降的得30分。</w:t>
            </w:r>
          </w:p>
        </w:tc>
        <w:tc>
          <w:tcPr>
            <w:tcW w:w="607"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3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定量</w:t>
            </w:r>
          </w:p>
        </w:tc>
        <w:tc>
          <w:tcPr>
            <w:tcW w:w="826"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3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系统</w:t>
            </w:r>
          </w:p>
          <w:p>
            <w:pPr>
              <w:widowControl w:val="0"/>
              <w:overflowPunct w:val="0"/>
              <w:autoSpaceDE w:val="0"/>
              <w:autoSpaceDN w:val="0"/>
              <w:adjustRightInd w:val="0"/>
              <w:snapToGrid w:val="0"/>
              <w:spacing w:line="33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提取</w:t>
            </w:r>
          </w:p>
        </w:tc>
        <w:tc>
          <w:tcPr>
            <w:tcW w:w="2252"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30" w:lineRule="exact"/>
              <w:jc w:val="both"/>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平均住院日=</w:t>
            </w:r>
            <w:r>
              <w:rPr>
                <w:rFonts w:hint="eastAsia" w:ascii="仿宋_GB2312" w:hAnsi="Times New Roman" w:eastAsia="仿宋_GB2312"/>
                <w:bCs/>
                <w:color w:val="auto"/>
                <w:sz w:val="24"/>
                <w:szCs w:val="24"/>
                <w:shd w:val="clear" w:color="auto" w:fill="auto"/>
              </w:rPr>
              <w:t>年度</w:t>
            </w:r>
            <w:r>
              <w:rPr>
                <w:rFonts w:hint="eastAsia" w:ascii="仿宋_GB2312" w:hAnsi="Times New Roman" w:eastAsia="仿宋_GB2312"/>
                <w:color w:val="auto"/>
                <w:sz w:val="24"/>
                <w:szCs w:val="24"/>
                <w:shd w:val="clear" w:color="auto" w:fill="auto"/>
              </w:rPr>
              <w:t>出院患者占用总床日数/同期出院人数</w:t>
            </w:r>
          </w:p>
        </w:tc>
        <w:tc>
          <w:tcPr>
            <w:tcW w:w="1091"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3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纳入DRG/DIP的全部医疗机构</w:t>
            </w:r>
          </w:p>
        </w:tc>
      </w:tr>
      <w:tr>
        <w:tblPrEx>
          <w:tblCellMar>
            <w:top w:w="0" w:type="dxa"/>
            <w:left w:w="108" w:type="dxa"/>
            <w:bottom w:w="0" w:type="dxa"/>
            <w:right w:w="108" w:type="dxa"/>
          </w:tblCellMar>
        </w:tblPrEx>
        <w:trPr>
          <w:trHeight w:val="567" w:hRule="atLeast"/>
          <w:jc w:val="right"/>
        </w:trPr>
        <w:tc>
          <w:tcPr>
            <w:tcW w:w="970" w:type="dxa"/>
            <w:vMerge w:val="continue"/>
            <w:tcBorders>
              <w:left w:val="single" w:color="auto" w:sz="4" w:space="0"/>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00" w:lineRule="exact"/>
              <w:rPr>
                <w:rFonts w:ascii="仿宋_GB2312" w:hAnsi="Times New Roman" w:eastAsia="仿宋_GB2312"/>
                <w:color w:val="auto"/>
                <w:sz w:val="24"/>
                <w:szCs w:val="24"/>
                <w:shd w:val="clear" w:color="auto" w:fill="auto"/>
              </w:rPr>
            </w:pPr>
          </w:p>
        </w:tc>
        <w:tc>
          <w:tcPr>
            <w:tcW w:w="1033"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3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参保患者住院费用实际补偿比</w:t>
            </w:r>
          </w:p>
        </w:tc>
        <w:tc>
          <w:tcPr>
            <w:tcW w:w="2017"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30" w:lineRule="exact"/>
              <w:jc w:val="both"/>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年度参保患者住院期间实际补偿比</w:t>
            </w:r>
          </w:p>
        </w:tc>
        <w:tc>
          <w:tcPr>
            <w:tcW w:w="63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3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30</w:t>
            </w:r>
          </w:p>
        </w:tc>
        <w:tc>
          <w:tcPr>
            <w:tcW w:w="3886"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30" w:lineRule="exact"/>
              <w:jc w:val="both"/>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年度医疗机构参保患者住院费用实际补偿与上年同比，持平的得15分，上升的得30分。</w:t>
            </w:r>
          </w:p>
        </w:tc>
        <w:tc>
          <w:tcPr>
            <w:tcW w:w="607"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3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定量</w:t>
            </w:r>
          </w:p>
        </w:tc>
        <w:tc>
          <w:tcPr>
            <w:tcW w:w="826"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3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系统</w:t>
            </w:r>
          </w:p>
          <w:p>
            <w:pPr>
              <w:widowControl w:val="0"/>
              <w:overflowPunct w:val="0"/>
              <w:autoSpaceDE w:val="0"/>
              <w:autoSpaceDN w:val="0"/>
              <w:adjustRightInd w:val="0"/>
              <w:snapToGrid w:val="0"/>
              <w:spacing w:line="33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提取</w:t>
            </w:r>
          </w:p>
        </w:tc>
        <w:tc>
          <w:tcPr>
            <w:tcW w:w="2252"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30" w:lineRule="exact"/>
              <w:jc w:val="both"/>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参保患者住院费用实际补偿比=参保患者住院期间医保报销金额/住院总费用</w:t>
            </w:r>
          </w:p>
        </w:tc>
        <w:tc>
          <w:tcPr>
            <w:tcW w:w="1091"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3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纳入DRG/DIP的全部医疗机构</w:t>
            </w:r>
          </w:p>
        </w:tc>
      </w:tr>
      <w:tr>
        <w:tblPrEx>
          <w:tblCellMar>
            <w:top w:w="0" w:type="dxa"/>
            <w:left w:w="108" w:type="dxa"/>
            <w:bottom w:w="0" w:type="dxa"/>
            <w:right w:w="108" w:type="dxa"/>
          </w:tblCellMar>
        </w:tblPrEx>
        <w:trPr>
          <w:trHeight w:val="567" w:hRule="atLeast"/>
          <w:jc w:val="right"/>
        </w:trPr>
        <w:tc>
          <w:tcPr>
            <w:tcW w:w="970" w:type="dxa"/>
            <w:vMerge w:val="restart"/>
            <w:tcBorders>
              <w:top w:val="nil"/>
              <w:left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4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医疗服务效率（520）</w:t>
            </w:r>
          </w:p>
        </w:tc>
        <w:tc>
          <w:tcPr>
            <w:tcW w:w="1033"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3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参保患者</w:t>
            </w:r>
            <w:r>
              <w:rPr>
                <w:rFonts w:hint="eastAsia" w:ascii="仿宋_GB2312" w:hAnsi="Times New Roman" w:eastAsia="仿宋_GB2312"/>
                <w:bCs/>
                <w:color w:val="auto"/>
                <w:sz w:val="24"/>
                <w:szCs w:val="24"/>
                <w:shd w:val="clear" w:color="auto" w:fill="auto"/>
              </w:rPr>
              <w:t>次均</w:t>
            </w:r>
            <w:r>
              <w:rPr>
                <w:rFonts w:hint="eastAsia" w:ascii="仿宋_GB2312" w:hAnsi="Times New Roman" w:eastAsia="仿宋_GB2312"/>
                <w:color w:val="auto"/>
                <w:sz w:val="24"/>
                <w:szCs w:val="24"/>
                <w:shd w:val="clear" w:color="auto" w:fill="auto"/>
              </w:rPr>
              <w:t>住院费用</w:t>
            </w:r>
          </w:p>
        </w:tc>
        <w:tc>
          <w:tcPr>
            <w:tcW w:w="2017"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30" w:lineRule="exact"/>
              <w:jc w:val="both"/>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年度医疗机构参保患者住院次均费用增幅的同比</w:t>
            </w:r>
          </w:p>
        </w:tc>
        <w:tc>
          <w:tcPr>
            <w:tcW w:w="63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3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30</w:t>
            </w:r>
          </w:p>
        </w:tc>
        <w:tc>
          <w:tcPr>
            <w:tcW w:w="3886"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30" w:lineRule="exact"/>
              <w:jc w:val="both"/>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年度医疗机构参保患者住院次均费用与上年同比，持平的得15分，下降的得30分。</w:t>
            </w:r>
          </w:p>
        </w:tc>
        <w:tc>
          <w:tcPr>
            <w:tcW w:w="607"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3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定量</w:t>
            </w:r>
          </w:p>
        </w:tc>
        <w:tc>
          <w:tcPr>
            <w:tcW w:w="826"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3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系统</w:t>
            </w:r>
          </w:p>
          <w:p>
            <w:pPr>
              <w:widowControl w:val="0"/>
              <w:overflowPunct w:val="0"/>
              <w:autoSpaceDE w:val="0"/>
              <w:autoSpaceDN w:val="0"/>
              <w:adjustRightInd w:val="0"/>
              <w:snapToGrid w:val="0"/>
              <w:spacing w:line="33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提取</w:t>
            </w:r>
          </w:p>
        </w:tc>
        <w:tc>
          <w:tcPr>
            <w:tcW w:w="2252"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30" w:lineRule="exact"/>
              <w:jc w:val="both"/>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参保患者</w:t>
            </w:r>
            <w:r>
              <w:rPr>
                <w:rFonts w:hint="eastAsia" w:ascii="仿宋_GB2312" w:hAnsi="Times New Roman" w:eastAsia="仿宋_GB2312"/>
                <w:bCs/>
                <w:color w:val="auto"/>
                <w:sz w:val="24"/>
                <w:szCs w:val="24"/>
                <w:shd w:val="clear" w:color="auto" w:fill="auto"/>
              </w:rPr>
              <w:t>次均</w:t>
            </w:r>
            <w:r>
              <w:rPr>
                <w:rFonts w:hint="eastAsia" w:ascii="仿宋_GB2312" w:hAnsi="Times New Roman" w:eastAsia="仿宋_GB2312"/>
                <w:color w:val="auto"/>
                <w:sz w:val="24"/>
                <w:szCs w:val="24"/>
                <w:shd w:val="clear" w:color="auto" w:fill="auto"/>
              </w:rPr>
              <w:t>住院费用=住院总费用/住院总人数</w:t>
            </w:r>
          </w:p>
        </w:tc>
        <w:tc>
          <w:tcPr>
            <w:tcW w:w="1091"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3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纳入DRG/DIP的全部医疗机构</w:t>
            </w:r>
          </w:p>
        </w:tc>
      </w:tr>
      <w:tr>
        <w:tblPrEx>
          <w:tblCellMar>
            <w:top w:w="0" w:type="dxa"/>
            <w:left w:w="108" w:type="dxa"/>
            <w:bottom w:w="0" w:type="dxa"/>
            <w:right w:w="108" w:type="dxa"/>
          </w:tblCellMar>
        </w:tblPrEx>
        <w:trPr>
          <w:trHeight w:val="567" w:hRule="atLeast"/>
          <w:jc w:val="right"/>
        </w:trPr>
        <w:tc>
          <w:tcPr>
            <w:tcW w:w="970" w:type="dxa"/>
            <w:vMerge w:val="continue"/>
            <w:tcBorders>
              <w:left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00" w:lineRule="exact"/>
              <w:rPr>
                <w:rFonts w:ascii="仿宋_GB2312" w:hAnsi="Times New Roman" w:eastAsia="仿宋_GB2312"/>
                <w:color w:val="auto"/>
                <w:sz w:val="24"/>
                <w:szCs w:val="24"/>
                <w:shd w:val="clear" w:color="auto" w:fill="auto"/>
              </w:rPr>
            </w:pPr>
          </w:p>
        </w:tc>
        <w:tc>
          <w:tcPr>
            <w:tcW w:w="1033"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3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人次</w:t>
            </w:r>
          </w:p>
          <w:p>
            <w:pPr>
              <w:widowControl w:val="0"/>
              <w:overflowPunct w:val="0"/>
              <w:autoSpaceDE w:val="0"/>
              <w:autoSpaceDN w:val="0"/>
              <w:spacing w:line="33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人头比</w:t>
            </w:r>
          </w:p>
        </w:tc>
        <w:tc>
          <w:tcPr>
            <w:tcW w:w="2017"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30" w:lineRule="exact"/>
              <w:jc w:val="both"/>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年度医疗机构住院人次人头比的同比</w:t>
            </w:r>
          </w:p>
        </w:tc>
        <w:tc>
          <w:tcPr>
            <w:tcW w:w="63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3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30</w:t>
            </w:r>
          </w:p>
        </w:tc>
        <w:tc>
          <w:tcPr>
            <w:tcW w:w="3886"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30" w:lineRule="exact"/>
              <w:jc w:val="both"/>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年度人次人头比与上年同比，持平的得15分，下降的得30分。（放化疗除外）</w:t>
            </w:r>
          </w:p>
        </w:tc>
        <w:tc>
          <w:tcPr>
            <w:tcW w:w="607"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3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定量</w:t>
            </w:r>
          </w:p>
        </w:tc>
        <w:tc>
          <w:tcPr>
            <w:tcW w:w="826"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3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系统</w:t>
            </w:r>
          </w:p>
          <w:p>
            <w:pPr>
              <w:widowControl w:val="0"/>
              <w:overflowPunct w:val="0"/>
              <w:autoSpaceDE w:val="0"/>
              <w:autoSpaceDN w:val="0"/>
              <w:adjustRightInd w:val="0"/>
              <w:snapToGrid w:val="0"/>
              <w:spacing w:line="33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提取</w:t>
            </w:r>
          </w:p>
        </w:tc>
        <w:tc>
          <w:tcPr>
            <w:tcW w:w="2252"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30" w:lineRule="exact"/>
              <w:jc w:val="both"/>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人次人头比=住院总人次数/住院总人数</w:t>
            </w:r>
          </w:p>
        </w:tc>
        <w:tc>
          <w:tcPr>
            <w:tcW w:w="1091"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3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纳入DRG/DIP的全部医疗机构</w:t>
            </w:r>
          </w:p>
        </w:tc>
      </w:tr>
      <w:tr>
        <w:tblPrEx>
          <w:tblCellMar>
            <w:top w:w="0" w:type="dxa"/>
            <w:left w:w="108" w:type="dxa"/>
            <w:bottom w:w="0" w:type="dxa"/>
            <w:right w:w="108" w:type="dxa"/>
          </w:tblCellMar>
        </w:tblPrEx>
        <w:trPr>
          <w:trHeight w:val="567" w:hRule="atLeast"/>
          <w:jc w:val="right"/>
        </w:trPr>
        <w:tc>
          <w:tcPr>
            <w:tcW w:w="970" w:type="dxa"/>
            <w:vMerge w:val="continue"/>
            <w:tcBorders>
              <w:left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00" w:lineRule="exact"/>
              <w:rPr>
                <w:rFonts w:ascii="仿宋_GB2312" w:hAnsi="Times New Roman" w:eastAsia="仿宋_GB2312"/>
                <w:color w:val="auto"/>
                <w:sz w:val="24"/>
                <w:szCs w:val="24"/>
                <w:shd w:val="clear" w:color="auto" w:fill="auto"/>
              </w:rPr>
            </w:pPr>
          </w:p>
        </w:tc>
        <w:tc>
          <w:tcPr>
            <w:tcW w:w="1033"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3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集采中选药品使用占比达标率*</w:t>
            </w:r>
          </w:p>
        </w:tc>
        <w:tc>
          <w:tcPr>
            <w:tcW w:w="2017"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30" w:lineRule="exact"/>
              <w:jc w:val="both"/>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集采中选药品使用比例</w:t>
            </w:r>
          </w:p>
        </w:tc>
        <w:tc>
          <w:tcPr>
            <w:tcW w:w="63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3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30</w:t>
            </w:r>
          </w:p>
        </w:tc>
        <w:tc>
          <w:tcPr>
            <w:tcW w:w="3886"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30" w:lineRule="exact"/>
              <w:jc w:val="both"/>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达标率100%的得30分；100%～80%之间的，每降低1个百分点减1分；80%以下的不得分。</w:t>
            </w:r>
          </w:p>
        </w:tc>
        <w:tc>
          <w:tcPr>
            <w:tcW w:w="607"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3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定量</w:t>
            </w:r>
          </w:p>
        </w:tc>
        <w:tc>
          <w:tcPr>
            <w:tcW w:w="826"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3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系统</w:t>
            </w:r>
          </w:p>
          <w:p>
            <w:pPr>
              <w:widowControl w:val="0"/>
              <w:overflowPunct w:val="0"/>
              <w:autoSpaceDE w:val="0"/>
              <w:autoSpaceDN w:val="0"/>
              <w:adjustRightInd w:val="0"/>
              <w:snapToGrid w:val="0"/>
              <w:spacing w:line="33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提取</w:t>
            </w:r>
          </w:p>
        </w:tc>
        <w:tc>
          <w:tcPr>
            <w:tcW w:w="2252"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30" w:lineRule="exact"/>
              <w:jc w:val="both"/>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集采药品使用占比=中标药品用量/同种药品用量</w:t>
            </w:r>
          </w:p>
        </w:tc>
        <w:tc>
          <w:tcPr>
            <w:tcW w:w="1091"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3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纳入DRG/DIP的全部医疗机构</w:t>
            </w:r>
          </w:p>
        </w:tc>
      </w:tr>
      <w:tr>
        <w:tblPrEx>
          <w:tblCellMar>
            <w:top w:w="0" w:type="dxa"/>
            <w:left w:w="108" w:type="dxa"/>
            <w:bottom w:w="0" w:type="dxa"/>
            <w:right w:w="108" w:type="dxa"/>
          </w:tblCellMar>
        </w:tblPrEx>
        <w:trPr>
          <w:trHeight w:val="567" w:hRule="atLeast"/>
          <w:jc w:val="right"/>
        </w:trPr>
        <w:tc>
          <w:tcPr>
            <w:tcW w:w="970" w:type="dxa"/>
            <w:vMerge w:val="continue"/>
            <w:tcBorders>
              <w:left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00" w:lineRule="exact"/>
              <w:rPr>
                <w:rFonts w:ascii="仿宋_GB2312" w:hAnsi="Times New Roman" w:eastAsia="仿宋_GB2312"/>
                <w:color w:val="auto"/>
                <w:sz w:val="24"/>
                <w:szCs w:val="24"/>
                <w:shd w:val="clear" w:color="auto" w:fill="auto"/>
              </w:rPr>
            </w:pPr>
          </w:p>
        </w:tc>
        <w:tc>
          <w:tcPr>
            <w:tcW w:w="1033"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3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集采中选药品采购协议量完成比例*</w:t>
            </w:r>
          </w:p>
        </w:tc>
        <w:tc>
          <w:tcPr>
            <w:tcW w:w="2017"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30" w:lineRule="exact"/>
              <w:jc w:val="both"/>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完成的中选药品带量采购协议量的品种数</w:t>
            </w:r>
          </w:p>
        </w:tc>
        <w:tc>
          <w:tcPr>
            <w:tcW w:w="63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3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30</w:t>
            </w:r>
          </w:p>
        </w:tc>
        <w:tc>
          <w:tcPr>
            <w:tcW w:w="3886"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30" w:lineRule="exact"/>
              <w:jc w:val="both"/>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约定量完成比例100%的得30分；100%～80%之间的，每降低1个百分点减1分；80%以下的不得分。</w:t>
            </w:r>
          </w:p>
        </w:tc>
        <w:tc>
          <w:tcPr>
            <w:tcW w:w="607"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3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定量</w:t>
            </w:r>
          </w:p>
        </w:tc>
        <w:tc>
          <w:tcPr>
            <w:tcW w:w="826"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3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系统</w:t>
            </w:r>
          </w:p>
          <w:p>
            <w:pPr>
              <w:widowControl w:val="0"/>
              <w:overflowPunct w:val="0"/>
              <w:autoSpaceDE w:val="0"/>
              <w:autoSpaceDN w:val="0"/>
              <w:adjustRightInd w:val="0"/>
              <w:snapToGrid w:val="0"/>
              <w:spacing w:line="33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提取</w:t>
            </w:r>
          </w:p>
        </w:tc>
        <w:tc>
          <w:tcPr>
            <w:tcW w:w="2252"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30" w:lineRule="exact"/>
              <w:jc w:val="both"/>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集中采购中选药品完成</w:t>
            </w:r>
            <w:r>
              <w:rPr>
                <w:rFonts w:hint="eastAsia" w:ascii="仿宋_GB2312" w:hAnsi="Times New Roman" w:eastAsia="仿宋_GB2312"/>
                <w:bCs/>
                <w:color w:val="auto"/>
                <w:sz w:val="24"/>
                <w:szCs w:val="24"/>
                <w:shd w:val="clear" w:color="auto" w:fill="auto"/>
              </w:rPr>
              <w:t>比例=</w:t>
            </w:r>
            <w:r>
              <w:rPr>
                <w:rFonts w:hint="eastAsia" w:ascii="仿宋_GB2312" w:hAnsi="Times New Roman" w:eastAsia="仿宋_GB2312"/>
                <w:color w:val="auto"/>
                <w:sz w:val="24"/>
                <w:szCs w:val="24"/>
                <w:shd w:val="clear" w:color="auto" w:fill="auto"/>
              </w:rPr>
              <w:t>中选药品采购完成品种数/中选药品品种总数</w:t>
            </w:r>
          </w:p>
        </w:tc>
        <w:tc>
          <w:tcPr>
            <w:tcW w:w="1091"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3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纳入DRG/DIP的全部医疗机构</w:t>
            </w:r>
          </w:p>
        </w:tc>
      </w:tr>
      <w:tr>
        <w:tblPrEx>
          <w:tblCellMar>
            <w:top w:w="0" w:type="dxa"/>
            <w:left w:w="108" w:type="dxa"/>
            <w:bottom w:w="0" w:type="dxa"/>
            <w:right w:w="108" w:type="dxa"/>
          </w:tblCellMar>
        </w:tblPrEx>
        <w:trPr>
          <w:trHeight w:val="567" w:hRule="atLeast"/>
          <w:jc w:val="right"/>
        </w:trPr>
        <w:tc>
          <w:tcPr>
            <w:tcW w:w="970" w:type="dxa"/>
            <w:vMerge w:val="continue"/>
            <w:tcBorders>
              <w:left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00" w:lineRule="exact"/>
              <w:rPr>
                <w:rFonts w:ascii="仿宋_GB2312" w:hAnsi="Times New Roman" w:eastAsia="仿宋_GB2312"/>
                <w:color w:val="auto"/>
                <w:sz w:val="24"/>
                <w:szCs w:val="24"/>
                <w:shd w:val="clear" w:color="auto" w:fill="auto"/>
              </w:rPr>
            </w:pPr>
          </w:p>
        </w:tc>
        <w:tc>
          <w:tcPr>
            <w:tcW w:w="1033"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3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集采耗材使用占比</w:t>
            </w:r>
          </w:p>
        </w:tc>
        <w:tc>
          <w:tcPr>
            <w:tcW w:w="2017"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30" w:lineRule="exact"/>
              <w:jc w:val="both"/>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集中带量采购中标耗材使用比例</w:t>
            </w:r>
          </w:p>
        </w:tc>
        <w:tc>
          <w:tcPr>
            <w:tcW w:w="63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3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30</w:t>
            </w:r>
          </w:p>
        </w:tc>
        <w:tc>
          <w:tcPr>
            <w:tcW w:w="3886"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30" w:lineRule="exact"/>
              <w:jc w:val="both"/>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集采中选耗材使用比例100%的得30分；100%～80%之间的，每降低1个百分点减1分；80%以下的不得分。</w:t>
            </w:r>
          </w:p>
        </w:tc>
        <w:tc>
          <w:tcPr>
            <w:tcW w:w="607"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3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定量</w:t>
            </w:r>
          </w:p>
        </w:tc>
        <w:tc>
          <w:tcPr>
            <w:tcW w:w="826"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3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系统</w:t>
            </w:r>
          </w:p>
          <w:p>
            <w:pPr>
              <w:widowControl w:val="0"/>
              <w:overflowPunct w:val="0"/>
              <w:autoSpaceDE w:val="0"/>
              <w:autoSpaceDN w:val="0"/>
              <w:adjustRightInd w:val="0"/>
              <w:snapToGrid w:val="0"/>
              <w:spacing w:line="33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提取</w:t>
            </w:r>
          </w:p>
        </w:tc>
        <w:tc>
          <w:tcPr>
            <w:tcW w:w="2252"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30" w:lineRule="exact"/>
              <w:jc w:val="both"/>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集采耗材使用占比=中标耗材用量/同种耗材用量</w:t>
            </w:r>
          </w:p>
        </w:tc>
        <w:tc>
          <w:tcPr>
            <w:tcW w:w="1091"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3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纳入DRG/DIP的全部医疗机构</w:t>
            </w:r>
          </w:p>
        </w:tc>
      </w:tr>
      <w:tr>
        <w:tblPrEx>
          <w:tblCellMar>
            <w:top w:w="0" w:type="dxa"/>
            <w:left w:w="108" w:type="dxa"/>
            <w:bottom w:w="0" w:type="dxa"/>
            <w:right w:w="108" w:type="dxa"/>
          </w:tblCellMar>
        </w:tblPrEx>
        <w:trPr>
          <w:trHeight w:val="567" w:hRule="atLeast"/>
          <w:jc w:val="right"/>
        </w:trPr>
        <w:tc>
          <w:tcPr>
            <w:tcW w:w="970" w:type="dxa"/>
            <w:vMerge w:val="continue"/>
            <w:tcBorders>
              <w:left w:val="single" w:color="auto" w:sz="4" w:space="0"/>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00" w:lineRule="exact"/>
              <w:rPr>
                <w:rFonts w:ascii="仿宋_GB2312" w:hAnsi="Times New Roman" w:eastAsia="仿宋_GB2312"/>
                <w:color w:val="auto"/>
                <w:sz w:val="24"/>
                <w:szCs w:val="24"/>
                <w:shd w:val="clear" w:color="auto" w:fill="auto"/>
              </w:rPr>
            </w:pPr>
          </w:p>
        </w:tc>
        <w:tc>
          <w:tcPr>
            <w:tcW w:w="1033"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3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集中采购中选耗材完成比例</w:t>
            </w:r>
          </w:p>
        </w:tc>
        <w:tc>
          <w:tcPr>
            <w:tcW w:w="2017"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30" w:lineRule="exact"/>
              <w:jc w:val="both"/>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完成的中选耗材带量购销协议用量的品种数</w:t>
            </w:r>
          </w:p>
        </w:tc>
        <w:tc>
          <w:tcPr>
            <w:tcW w:w="63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3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30</w:t>
            </w:r>
          </w:p>
        </w:tc>
        <w:tc>
          <w:tcPr>
            <w:tcW w:w="3886"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30" w:lineRule="exact"/>
              <w:jc w:val="both"/>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约定量完成比例100%的得30分；100%～80%之间的，每降低1个百分点减1分；80%以下的不得分。</w:t>
            </w:r>
          </w:p>
        </w:tc>
        <w:tc>
          <w:tcPr>
            <w:tcW w:w="607"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3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定量</w:t>
            </w:r>
          </w:p>
        </w:tc>
        <w:tc>
          <w:tcPr>
            <w:tcW w:w="826"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3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系统</w:t>
            </w:r>
          </w:p>
          <w:p>
            <w:pPr>
              <w:widowControl w:val="0"/>
              <w:overflowPunct w:val="0"/>
              <w:autoSpaceDE w:val="0"/>
              <w:autoSpaceDN w:val="0"/>
              <w:adjustRightInd w:val="0"/>
              <w:snapToGrid w:val="0"/>
              <w:spacing w:line="33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提取</w:t>
            </w:r>
          </w:p>
        </w:tc>
        <w:tc>
          <w:tcPr>
            <w:tcW w:w="2252"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30" w:lineRule="exact"/>
              <w:jc w:val="both"/>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集中采购中选耗材完成</w:t>
            </w:r>
            <w:r>
              <w:rPr>
                <w:rFonts w:hint="eastAsia" w:ascii="仿宋_GB2312" w:hAnsi="Times New Roman" w:eastAsia="仿宋_GB2312"/>
                <w:bCs/>
                <w:color w:val="auto"/>
                <w:sz w:val="24"/>
                <w:szCs w:val="24"/>
                <w:shd w:val="clear" w:color="auto" w:fill="auto"/>
              </w:rPr>
              <w:t>比例=</w:t>
            </w:r>
            <w:r>
              <w:rPr>
                <w:rFonts w:hint="eastAsia" w:ascii="仿宋_GB2312" w:hAnsi="Times New Roman" w:eastAsia="仿宋_GB2312"/>
                <w:color w:val="auto"/>
                <w:sz w:val="24"/>
                <w:szCs w:val="24"/>
                <w:shd w:val="clear" w:color="auto" w:fill="auto"/>
              </w:rPr>
              <w:t>中选耗材采购完成品种数/中选耗材品种总数</w:t>
            </w:r>
          </w:p>
        </w:tc>
        <w:tc>
          <w:tcPr>
            <w:tcW w:w="1091"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3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纳入DRG/DIP的全部医疗机构</w:t>
            </w:r>
          </w:p>
        </w:tc>
      </w:tr>
      <w:tr>
        <w:tblPrEx>
          <w:tblCellMar>
            <w:top w:w="0" w:type="dxa"/>
            <w:left w:w="108" w:type="dxa"/>
            <w:bottom w:w="0" w:type="dxa"/>
            <w:right w:w="108" w:type="dxa"/>
          </w:tblCellMar>
        </w:tblPrEx>
        <w:trPr>
          <w:trHeight w:val="567" w:hRule="atLeast"/>
          <w:jc w:val="right"/>
        </w:trPr>
        <w:tc>
          <w:tcPr>
            <w:tcW w:w="970" w:type="dxa"/>
            <w:vMerge w:val="restart"/>
            <w:tcBorders>
              <w:top w:val="nil"/>
              <w:left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4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医疗服务效率（520）</w:t>
            </w:r>
          </w:p>
        </w:tc>
        <w:tc>
          <w:tcPr>
            <w:tcW w:w="1033"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0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检验检查费用占比</w:t>
            </w:r>
          </w:p>
        </w:tc>
        <w:tc>
          <w:tcPr>
            <w:tcW w:w="2017"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00" w:lineRule="exact"/>
              <w:jc w:val="both"/>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年度医疗机构检验检查费用占总费用比例</w:t>
            </w:r>
          </w:p>
        </w:tc>
        <w:tc>
          <w:tcPr>
            <w:tcW w:w="63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0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30</w:t>
            </w:r>
          </w:p>
        </w:tc>
        <w:tc>
          <w:tcPr>
            <w:tcW w:w="3886"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00" w:lineRule="exact"/>
              <w:jc w:val="both"/>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年度医疗机构检验检查费用占比与上年同比，持平的得15分，下降的得30分。</w:t>
            </w:r>
          </w:p>
        </w:tc>
        <w:tc>
          <w:tcPr>
            <w:tcW w:w="607"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0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定量</w:t>
            </w:r>
          </w:p>
        </w:tc>
        <w:tc>
          <w:tcPr>
            <w:tcW w:w="826"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0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系统</w:t>
            </w:r>
          </w:p>
          <w:p>
            <w:pPr>
              <w:widowControl w:val="0"/>
              <w:overflowPunct w:val="0"/>
              <w:autoSpaceDE w:val="0"/>
              <w:autoSpaceDN w:val="0"/>
              <w:adjustRightInd w:val="0"/>
              <w:snapToGrid w:val="0"/>
              <w:spacing w:line="30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提取</w:t>
            </w:r>
          </w:p>
        </w:tc>
        <w:tc>
          <w:tcPr>
            <w:tcW w:w="2252"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00" w:lineRule="exact"/>
              <w:jc w:val="both"/>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住院医疗检验检查费用占比=住院检验检查费用/住院总费用</w:t>
            </w:r>
          </w:p>
        </w:tc>
        <w:tc>
          <w:tcPr>
            <w:tcW w:w="1091"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0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纳入DRG/DIP的全部医疗机构</w:t>
            </w:r>
          </w:p>
        </w:tc>
      </w:tr>
      <w:tr>
        <w:tblPrEx>
          <w:tblCellMar>
            <w:top w:w="0" w:type="dxa"/>
            <w:left w:w="108" w:type="dxa"/>
            <w:bottom w:w="0" w:type="dxa"/>
            <w:right w:w="108" w:type="dxa"/>
          </w:tblCellMar>
        </w:tblPrEx>
        <w:trPr>
          <w:trHeight w:val="567" w:hRule="atLeast"/>
          <w:jc w:val="right"/>
        </w:trPr>
        <w:tc>
          <w:tcPr>
            <w:tcW w:w="970" w:type="dxa"/>
            <w:vMerge w:val="continue"/>
            <w:tcBorders>
              <w:left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00" w:lineRule="exact"/>
              <w:rPr>
                <w:rFonts w:ascii="仿宋_GB2312" w:hAnsi="Times New Roman" w:eastAsia="仿宋_GB2312"/>
                <w:color w:val="auto"/>
                <w:sz w:val="24"/>
                <w:szCs w:val="24"/>
                <w:shd w:val="clear" w:color="auto" w:fill="auto"/>
              </w:rPr>
            </w:pPr>
          </w:p>
        </w:tc>
        <w:tc>
          <w:tcPr>
            <w:tcW w:w="1033"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0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谈判药品配备种类占比</w:t>
            </w:r>
          </w:p>
        </w:tc>
        <w:tc>
          <w:tcPr>
            <w:tcW w:w="2017"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00" w:lineRule="exact"/>
              <w:jc w:val="both"/>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年度医疗机构谈判药品配备种类占比</w:t>
            </w:r>
          </w:p>
        </w:tc>
        <w:tc>
          <w:tcPr>
            <w:tcW w:w="63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0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30</w:t>
            </w:r>
          </w:p>
        </w:tc>
        <w:tc>
          <w:tcPr>
            <w:tcW w:w="3886"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00" w:lineRule="exact"/>
              <w:jc w:val="both"/>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年度医疗机构谈判药品配备种类与上年同比，持平的得15分，增加的得30分。</w:t>
            </w:r>
          </w:p>
        </w:tc>
        <w:tc>
          <w:tcPr>
            <w:tcW w:w="607"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0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定量</w:t>
            </w:r>
          </w:p>
        </w:tc>
        <w:tc>
          <w:tcPr>
            <w:tcW w:w="826"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0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医院</w:t>
            </w:r>
          </w:p>
          <w:p>
            <w:pPr>
              <w:widowControl w:val="0"/>
              <w:overflowPunct w:val="0"/>
              <w:autoSpaceDE w:val="0"/>
              <w:autoSpaceDN w:val="0"/>
              <w:adjustRightInd w:val="0"/>
              <w:snapToGrid w:val="0"/>
              <w:spacing w:line="30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填报</w:t>
            </w:r>
          </w:p>
        </w:tc>
        <w:tc>
          <w:tcPr>
            <w:tcW w:w="2252"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00" w:lineRule="exact"/>
              <w:jc w:val="both"/>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谈判药品配备种类占比=年度医疗机构谈判药品配备种类/年度谈判药品种类</w:t>
            </w:r>
          </w:p>
        </w:tc>
        <w:tc>
          <w:tcPr>
            <w:tcW w:w="1091"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0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纳入DRG/DIP的二级及以上医疗机构</w:t>
            </w:r>
          </w:p>
        </w:tc>
      </w:tr>
      <w:tr>
        <w:tblPrEx>
          <w:tblCellMar>
            <w:top w:w="0" w:type="dxa"/>
            <w:left w:w="108" w:type="dxa"/>
            <w:bottom w:w="0" w:type="dxa"/>
            <w:right w:w="108" w:type="dxa"/>
          </w:tblCellMar>
        </w:tblPrEx>
        <w:trPr>
          <w:trHeight w:val="567" w:hRule="atLeast"/>
          <w:jc w:val="right"/>
        </w:trPr>
        <w:tc>
          <w:tcPr>
            <w:tcW w:w="970" w:type="dxa"/>
            <w:vMerge w:val="continue"/>
            <w:tcBorders>
              <w:left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00" w:lineRule="exact"/>
              <w:rPr>
                <w:rFonts w:ascii="仿宋_GB2312" w:hAnsi="Times New Roman" w:eastAsia="仿宋_GB2312"/>
                <w:color w:val="auto"/>
                <w:sz w:val="24"/>
                <w:szCs w:val="24"/>
                <w:shd w:val="clear" w:color="auto" w:fill="auto"/>
              </w:rPr>
            </w:pPr>
          </w:p>
        </w:tc>
        <w:tc>
          <w:tcPr>
            <w:tcW w:w="1033"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0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医疗服务收入占比*</w:t>
            </w:r>
          </w:p>
        </w:tc>
        <w:tc>
          <w:tcPr>
            <w:tcW w:w="2017"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00" w:lineRule="exact"/>
              <w:jc w:val="both"/>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年度住院医疗服务收入（不包含药品、耗材、检查检验收入）占医疗收入的比例。</w:t>
            </w:r>
          </w:p>
        </w:tc>
        <w:tc>
          <w:tcPr>
            <w:tcW w:w="63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0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30</w:t>
            </w:r>
          </w:p>
        </w:tc>
        <w:tc>
          <w:tcPr>
            <w:tcW w:w="3886"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00" w:lineRule="exact"/>
              <w:jc w:val="both"/>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年度医疗机构医疗服务收入占比与上年同比，持平的得15分，增幅的得30分。</w:t>
            </w:r>
          </w:p>
        </w:tc>
        <w:tc>
          <w:tcPr>
            <w:tcW w:w="607"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0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定量</w:t>
            </w:r>
          </w:p>
        </w:tc>
        <w:tc>
          <w:tcPr>
            <w:tcW w:w="826"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0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系统</w:t>
            </w:r>
          </w:p>
          <w:p>
            <w:pPr>
              <w:widowControl w:val="0"/>
              <w:overflowPunct w:val="0"/>
              <w:autoSpaceDE w:val="0"/>
              <w:autoSpaceDN w:val="0"/>
              <w:adjustRightInd w:val="0"/>
              <w:snapToGrid w:val="0"/>
              <w:spacing w:line="30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提取</w:t>
            </w:r>
          </w:p>
        </w:tc>
        <w:tc>
          <w:tcPr>
            <w:tcW w:w="2252"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00" w:lineRule="exact"/>
              <w:jc w:val="both"/>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住院医疗服务收入占比=住院医疗服务收入/住院医疗收入</w:t>
            </w:r>
          </w:p>
        </w:tc>
        <w:tc>
          <w:tcPr>
            <w:tcW w:w="1091"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0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纳入DRG/DIP的全部医疗机构</w:t>
            </w:r>
          </w:p>
        </w:tc>
      </w:tr>
      <w:tr>
        <w:tblPrEx>
          <w:tblCellMar>
            <w:top w:w="0" w:type="dxa"/>
            <w:left w:w="108" w:type="dxa"/>
            <w:bottom w:w="0" w:type="dxa"/>
            <w:right w:w="108" w:type="dxa"/>
          </w:tblCellMar>
        </w:tblPrEx>
        <w:trPr>
          <w:trHeight w:val="567" w:hRule="atLeast"/>
          <w:jc w:val="right"/>
        </w:trPr>
        <w:tc>
          <w:tcPr>
            <w:tcW w:w="970" w:type="dxa"/>
            <w:vMerge w:val="continue"/>
            <w:tcBorders>
              <w:left w:val="single" w:color="auto" w:sz="4" w:space="0"/>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00" w:lineRule="exact"/>
              <w:rPr>
                <w:rFonts w:ascii="仿宋_GB2312" w:hAnsi="Times New Roman" w:eastAsia="仿宋_GB2312"/>
                <w:color w:val="auto"/>
                <w:sz w:val="24"/>
                <w:szCs w:val="24"/>
                <w:shd w:val="clear" w:color="auto" w:fill="auto"/>
              </w:rPr>
            </w:pPr>
          </w:p>
        </w:tc>
        <w:tc>
          <w:tcPr>
            <w:tcW w:w="1033"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0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剔除有关项后的医疗收入增幅*</w:t>
            </w:r>
          </w:p>
        </w:tc>
        <w:tc>
          <w:tcPr>
            <w:tcW w:w="2017"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00" w:lineRule="exact"/>
              <w:jc w:val="both"/>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年度医疗收入与上一年同比增加的收入与上一年医疗收入的比值</w:t>
            </w:r>
          </w:p>
        </w:tc>
        <w:tc>
          <w:tcPr>
            <w:tcW w:w="63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0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30</w:t>
            </w:r>
          </w:p>
        </w:tc>
        <w:tc>
          <w:tcPr>
            <w:tcW w:w="3886"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spacing w:line="300" w:lineRule="exact"/>
              <w:jc w:val="both"/>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年度医疗机构剔除有关项后的医疗收入增幅与上年同比，持平的得15分，下降的得30分。</w:t>
            </w:r>
          </w:p>
        </w:tc>
        <w:tc>
          <w:tcPr>
            <w:tcW w:w="607"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0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定量</w:t>
            </w:r>
          </w:p>
        </w:tc>
        <w:tc>
          <w:tcPr>
            <w:tcW w:w="826"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0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系统</w:t>
            </w:r>
          </w:p>
          <w:p>
            <w:pPr>
              <w:widowControl w:val="0"/>
              <w:overflowPunct w:val="0"/>
              <w:autoSpaceDE w:val="0"/>
              <w:autoSpaceDN w:val="0"/>
              <w:adjustRightInd w:val="0"/>
              <w:snapToGrid w:val="0"/>
              <w:spacing w:line="30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提取</w:t>
            </w:r>
          </w:p>
        </w:tc>
        <w:tc>
          <w:tcPr>
            <w:tcW w:w="2252"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00" w:lineRule="exact"/>
              <w:jc w:val="both"/>
              <w:rPr>
                <w:rFonts w:ascii="仿宋_GB2312" w:hAnsi="Times New Roman" w:eastAsia="仿宋_GB2312"/>
                <w:color w:val="auto"/>
                <w:sz w:val="24"/>
                <w:szCs w:val="24"/>
                <w:shd w:val="clear" w:color="auto" w:fill="auto"/>
              </w:rPr>
            </w:pPr>
            <w:r>
              <w:rPr>
                <w:rFonts w:hint="eastAsia" w:ascii="仿宋_GB2312" w:hAnsi="Times New Roman" w:eastAsia="仿宋_GB2312"/>
                <w:bCs/>
                <w:color w:val="auto"/>
                <w:sz w:val="24"/>
                <w:szCs w:val="24"/>
                <w:shd w:val="clear" w:color="auto" w:fill="auto"/>
              </w:rPr>
              <w:t>剔除有关项后的医疗收入增幅=</w:t>
            </w:r>
            <w:r>
              <w:rPr>
                <w:rFonts w:hint="eastAsia" w:ascii="仿宋_GB2312" w:hAnsi="Times New Roman" w:eastAsia="仿宋_GB2312"/>
                <w:color w:val="auto"/>
                <w:sz w:val="24"/>
                <w:szCs w:val="24"/>
                <w:shd w:val="clear" w:color="auto" w:fill="auto"/>
              </w:rPr>
              <w:t>（本年度剔除有关项后的医疗收入-上一年度剔除有关项后的医疗收入）/上一年度剔除有关项后的医疗收入</w:t>
            </w:r>
          </w:p>
        </w:tc>
        <w:tc>
          <w:tcPr>
            <w:tcW w:w="1091"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val="0"/>
              <w:overflowPunct w:val="0"/>
              <w:autoSpaceDE w:val="0"/>
              <w:autoSpaceDN w:val="0"/>
              <w:adjustRightInd w:val="0"/>
              <w:snapToGrid w:val="0"/>
              <w:spacing w:line="300" w:lineRule="exact"/>
              <w:rPr>
                <w:rFonts w:ascii="仿宋_GB2312" w:hAnsi="Times New Roman" w:eastAsia="仿宋_GB2312"/>
                <w:color w:val="auto"/>
                <w:sz w:val="24"/>
                <w:szCs w:val="24"/>
                <w:shd w:val="clear" w:color="auto" w:fill="auto"/>
              </w:rPr>
            </w:pPr>
            <w:r>
              <w:rPr>
                <w:rFonts w:hint="eastAsia" w:ascii="仿宋_GB2312" w:hAnsi="Times New Roman" w:eastAsia="仿宋_GB2312"/>
                <w:color w:val="auto"/>
                <w:sz w:val="24"/>
                <w:szCs w:val="24"/>
                <w:shd w:val="clear" w:color="auto" w:fill="auto"/>
              </w:rPr>
              <w:t>纳入DRG/DIP的二级及以上医疗机构</w:t>
            </w:r>
          </w:p>
        </w:tc>
      </w:tr>
    </w:tbl>
    <w:p>
      <w:pPr>
        <w:spacing w:line="240" w:lineRule="auto"/>
        <w:jc w:val="left"/>
        <w:rPr>
          <w:rFonts w:ascii="黑体" w:hAnsi="黑体" w:eastAsia="黑体"/>
          <w:color w:val="auto"/>
          <w:sz w:val="32"/>
          <w:szCs w:val="32"/>
          <w:lang w:bidi="ar"/>
        </w:rPr>
      </w:pPr>
    </w:p>
    <w:p>
      <w:pPr>
        <w:spacing w:line="240" w:lineRule="auto"/>
        <w:jc w:val="left"/>
        <w:rPr>
          <w:rFonts w:ascii="黑体" w:hAnsi="黑体" w:eastAsia="黑体"/>
          <w:color w:val="auto"/>
          <w:sz w:val="32"/>
          <w:szCs w:val="32"/>
          <w:lang w:bidi="ar"/>
        </w:rPr>
        <w:sectPr>
          <w:footerReference r:id="rId5" w:type="default"/>
          <w:pgSz w:w="16838" w:h="11906" w:orient="landscape"/>
          <w:pgMar w:top="1588" w:right="1701" w:bottom="1588" w:left="1701" w:header="851" w:footer="992" w:gutter="0"/>
          <w:pgNumType w:fmt="numberInDash"/>
          <w:cols w:space="425" w:num="1"/>
          <w:docGrid w:type="linesAndChars" w:linePitch="312" w:charSpace="0"/>
        </w:sectPr>
      </w:pPr>
      <w:bookmarkStart w:id="0" w:name="_GoBack"/>
      <w:bookmarkEnd w:id="0"/>
    </w:p>
    <w:p>
      <w:pPr>
        <w:spacing w:line="20" w:lineRule="exact"/>
        <w:jc w:val="both"/>
        <w:rPr>
          <w:color w:val="auto"/>
          <w:lang w:bidi="ar"/>
        </w:rPr>
      </w:pPr>
    </w:p>
    <w:sectPr>
      <w:pgSz w:w="11906" w:h="16838"/>
      <w:pgMar w:top="1701" w:right="1588" w:bottom="1701" w:left="1588"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14EF23A-2960-41C3-BC0E-DD81CE70CA0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0FC0F9E3-77DE-4B0C-87A4-8F4A4A0A950B}"/>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posOffset>2456180</wp:posOffset>
              </wp:positionH>
              <wp:positionV relativeFrom="paragraph">
                <wp:posOffset>0</wp:posOffset>
              </wp:positionV>
              <wp:extent cx="37020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7020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93.4pt;margin-top:0pt;height:144pt;width:29.15pt;mso-position-horizontal-relative:margin;z-index:251659264;mso-width-relative:page;mso-height-relative:page;" filled="f" stroked="f" coordsize="21600,21600" o:gfxdata="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2leo/1wAAAAgBAAAPAAAAAAAAAAEAIAAAACIAAABkcnMvZG93bnJldi54bWxQ&#10;SwECFAAUAAAACACHTuJA2jnRxDECAABWBAAADgAAAAAAAAABACAAAAAmAQAAZHJzL2Uyb0RvYy54&#10;bWxQSwUGAAAAAAYABgBZAQAAyQUAAAAA&#10;">
              <v:fill on="f" focussize="0,0"/>
              <v:stroke on="f" weight="0.5pt"/>
              <v:imagedata o:title=""/>
              <o:lock v:ext="edit" aspectratio="f"/>
              <v:textbox inset="0mm,0mm,0mm,0mm" style="mso-fit-shape-to-text:t;">
                <w:txbxContent>
                  <w:p>
                    <w:pPr>
                      <w:pStyle w:val="5"/>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jNTE5ZjE4ZGM0OGEzZjU5ODYyOWEwMWFiZjM0ZGIifQ=="/>
  </w:docVars>
  <w:rsids>
    <w:rsidRoot w:val="CFB4A1FC"/>
    <w:rsid w:val="001131E9"/>
    <w:rsid w:val="001D552A"/>
    <w:rsid w:val="002B1CBC"/>
    <w:rsid w:val="00317B11"/>
    <w:rsid w:val="003849AE"/>
    <w:rsid w:val="004E574C"/>
    <w:rsid w:val="00532532"/>
    <w:rsid w:val="00556589"/>
    <w:rsid w:val="00572C74"/>
    <w:rsid w:val="0061443A"/>
    <w:rsid w:val="006167B2"/>
    <w:rsid w:val="006727EC"/>
    <w:rsid w:val="0068044C"/>
    <w:rsid w:val="00690BC1"/>
    <w:rsid w:val="006E6810"/>
    <w:rsid w:val="006F1FB5"/>
    <w:rsid w:val="007819B2"/>
    <w:rsid w:val="007A68F2"/>
    <w:rsid w:val="00817B22"/>
    <w:rsid w:val="00844D98"/>
    <w:rsid w:val="008E4C88"/>
    <w:rsid w:val="00970C8C"/>
    <w:rsid w:val="00A8371F"/>
    <w:rsid w:val="00C8382C"/>
    <w:rsid w:val="00C94391"/>
    <w:rsid w:val="00EE4BE3"/>
    <w:rsid w:val="00F37CF1"/>
    <w:rsid w:val="00F51D92"/>
    <w:rsid w:val="02BA5D3C"/>
    <w:rsid w:val="03011BBD"/>
    <w:rsid w:val="04CD3FBC"/>
    <w:rsid w:val="07283BBC"/>
    <w:rsid w:val="082347B0"/>
    <w:rsid w:val="08897181"/>
    <w:rsid w:val="09E518F1"/>
    <w:rsid w:val="0A40121D"/>
    <w:rsid w:val="0A5922DF"/>
    <w:rsid w:val="0B7C6285"/>
    <w:rsid w:val="0B7E024F"/>
    <w:rsid w:val="0BFBA55E"/>
    <w:rsid w:val="0D002EE5"/>
    <w:rsid w:val="0D576FA9"/>
    <w:rsid w:val="0E9F69D3"/>
    <w:rsid w:val="0ED028A7"/>
    <w:rsid w:val="0F10646A"/>
    <w:rsid w:val="0FDC38AF"/>
    <w:rsid w:val="11A402E3"/>
    <w:rsid w:val="13165211"/>
    <w:rsid w:val="1384279B"/>
    <w:rsid w:val="13BD38DE"/>
    <w:rsid w:val="144B713C"/>
    <w:rsid w:val="14CE3B89"/>
    <w:rsid w:val="14EB4517"/>
    <w:rsid w:val="151A016E"/>
    <w:rsid w:val="151D2886"/>
    <w:rsid w:val="16745497"/>
    <w:rsid w:val="16F220B5"/>
    <w:rsid w:val="17017F86"/>
    <w:rsid w:val="17255A22"/>
    <w:rsid w:val="19DD8300"/>
    <w:rsid w:val="19FA7B06"/>
    <w:rsid w:val="1CFA525B"/>
    <w:rsid w:val="1D951428"/>
    <w:rsid w:val="1FAB0A8F"/>
    <w:rsid w:val="1FCF277E"/>
    <w:rsid w:val="1FDA1374"/>
    <w:rsid w:val="201B19CB"/>
    <w:rsid w:val="212B00D9"/>
    <w:rsid w:val="2580651A"/>
    <w:rsid w:val="278B1ED4"/>
    <w:rsid w:val="27AFA340"/>
    <w:rsid w:val="2899640B"/>
    <w:rsid w:val="29C55F3E"/>
    <w:rsid w:val="2A533672"/>
    <w:rsid w:val="2ACD67F9"/>
    <w:rsid w:val="2CE850D0"/>
    <w:rsid w:val="2D611200"/>
    <w:rsid w:val="2F195A15"/>
    <w:rsid w:val="2FB599B4"/>
    <w:rsid w:val="30B22269"/>
    <w:rsid w:val="30B71989"/>
    <w:rsid w:val="31A41298"/>
    <w:rsid w:val="34FE3CED"/>
    <w:rsid w:val="3680281D"/>
    <w:rsid w:val="375F329A"/>
    <w:rsid w:val="37A318CD"/>
    <w:rsid w:val="37FF5CFE"/>
    <w:rsid w:val="390037A2"/>
    <w:rsid w:val="3A073743"/>
    <w:rsid w:val="3AF14DEE"/>
    <w:rsid w:val="3BFCB196"/>
    <w:rsid w:val="3CF510E8"/>
    <w:rsid w:val="3FBF1A48"/>
    <w:rsid w:val="3FFA2D1F"/>
    <w:rsid w:val="439873F8"/>
    <w:rsid w:val="456E3CF0"/>
    <w:rsid w:val="47CA48BE"/>
    <w:rsid w:val="48435459"/>
    <w:rsid w:val="492B486B"/>
    <w:rsid w:val="4A396B13"/>
    <w:rsid w:val="4B7F6CB4"/>
    <w:rsid w:val="4CE10B16"/>
    <w:rsid w:val="50404DD7"/>
    <w:rsid w:val="505B3C87"/>
    <w:rsid w:val="51576032"/>
    <w:rsid w:val="51F83758"/>
    <w:rsid w:val="53073C53"/>
    <w:rsid w:val="54B25E40"/>
    <w:rsid w:val="556C1142"/>
    <w:rsid w:val="55B0753C"/>
    <w:rsid w:val="55F85AD5"/>
    <w:rsid w:val="562766AF"/>
    <w:rsid w:val="565D3B8A"/>
    <w:rsid w:val="581406F3"/>
    <w:rsid w:val="59777658"/>
    <w:rsid w:val="598E0CE5"/>
    <w:rsid w:val="59BE5287"/>
    <w:rsid w:val="5A1D0200"/>
    <w:rsid w:val="5A3F00FB"/>
    <w:rsid w:val="5AB43BFE"/>
    <w:rsid w:val="5B1769FD"/>
    <w:rsid w:val="5B1E1DFF"/>
    <w:rsid w:val="5BDE8B97"/>
    <w:rsid w:val="5DF179D9"/>
    <w:rsid w:val="5DFDF025"/>
    <w:rsid w:val="5EB4AE56"/>
    <w:rsid w:val="5EDFA413"/>
    <w:rsid w:val="5F7F240D"/>
    <w:rsid w:val="5FA7EA9E"/>
    <w:rsid w:val="5FEFC714"/>
    <w:rsid w:val="5FFB3923"/>
    <w:rsid w:val="5FFFEB38"/>
    <w:rsid w:val="602A71D2"/>
    <w:rsid w:val="612B1454"/>
    <w:rsid w:val="615362B5"/>
    <w:rsid w:val="621517BC"/>
    <w:rsid w:val="634142E1"/>
    <w:rsid w:val="63870498"/>
    <w:rsid w:val="63BD7CEE"/>
    <w:rsid w:val="65331F2C"/>
    <w:rsid w:val="65570BC6"/>
    <w:rsid w:val="659B01B4"/>
    <w:rsid w:val="66641A48"/>
    <w:rsid w:val="670A5668"/>
    <w:rsid w:val="67FF6983"/>
    <w:rsid w:val="68295FC1"/>
    <w:rsid w:val="68792AA5"/>
    <w:rsid w:val="69564DAD"/>
    <w:rsid w:val="6B32518D"/>
    <w:rsid w:val="6BBD539F"/>
    <w:rsid w:val="6C6F8DE2"/>
    <w:rsid w:val="6C891725"/>
    <w:rsid w:val="6CCB366E"/>
    <w:rsid w:val="6D3E64A1"/>
    <w:rsid w:val="6D3E6ACC"/>
    <w:rsid w:val="6DDF8F8A"/>
    <w:rsid w:val="6E396833"/>
    <w:rsid w:val="6E7A7584"/>
    <w:rsid w:val="6EA43A86"/>
    <w:rsid w:val="6F8EF9A4"/>
    <w:rsid w:val="6FED2098"/>
    <w:rsid w:val="71944BBF"/>
    <w:rsid w:val="71D7300C"/>
    <w:rsid w:val="748527D2"/>
    <w:rsid w:val="749BB335"/>
    <w:rsid w:val="750000AA"/>
    <w:rsid w:val="75662603"/>
    <w:rsid w:val="75BE5602"/>
    <w:rsid w:val="75BFF4CB"/>
    <w:rsid w:val="75CE7BD7"/>
    <w:rsid w:val="75EF3CD5"/>
    <w:rsid w:val="76665502"/>
    <w:rsid w:val="77DF2031"/>
    <w:rsid w:val="77E76594"/>
    <w:rsid w:val="77F82283"/>
    <w:rsid w:val="77FFA71F"/>
    <w:rsid w:val="78FF4673"/>
    <w:rsid w:val="79B80F53"/>
    <w:rsid w:val="7A57AA52"/>
    <w:rsid w:val="7A772BBC"/>
    <w:rsid w:val="7AE77D42"/>
    <w:rsid w:val="7AFF699E"/>
    <w:rsid w:val="7B007056"/>
    <w:rsid w:val="7B3F7B7E"/>
    <w:rsid w:val="7BB704F0"/>
    <w:rsid w:val="7BB70C66"/>
    <w:rsid w:val="7BF7B116"/>
    <w:rsid w:val="7C7A6994"/>
    <w:rsid w:val="7CFFB8FE"/>
    <w:rsid w:val="7D5D1A0D"/>
    <w:rsid w:val="7D7FCA0A"/>
    <w:rsid w:val="7DEFBB0C"/>
    <w:rsid w:val="7DFF1D3B"/>
    <w:rsid w:val="7E935C59"/>
    <w:rsid w:val="7EDCF474"/>
    <w:rsid w:val="7EFF0277"/>
    <w:rsid w:val="7F6B961F"/>
    <w:rsid w:val="7F7B2B68"/>
    <w:rsid w:val="7F7F99AA"/>
    <w:rsid w:val="7FB52F50"/>
    <w:rsid w:val="7FCFF01B"/>
    <w:rsid w:val="7FDFAAE8"/>
    <w:rsid w:val="94D5B4CE"/>
    <w:rsid w:val="9C3CC9FB"/>
    <w:rsid w:val="9F7726C3"/>
    <w:rsid w:val="9FEF33F3"/>
    <w:rsid w:val="B4C34E5D"/>
    <w:rsid w:val="B54F8F28"/>
    <w:rsid w:val="B5BEECE5"/>
    <w:rsid w:val="BB49BEDB"/>
    <w:rsid w:val="BBAF9E18"/>
    <w:rsid w:val="BDFF2C1E"/>
    <w:rsid w:val="BE2F759C"/>
    <w:rsid w:val="BF6963A2"/>
    <w:rsid w:val="BF734A5E"/>
    <w:rsid w:val="BF7E190D"/>
    <w:rsid w:val="BFFEECED"/>
    <w:rsid w:val="C7AF5517"/>
    <w:rsid w:val="CE1FE6E9"/>
    <w:rsid w:val="CED32CFE"/>
    <w:rsid w:val="CEEF4C88"/>
    <w:rsid w:val="CFB4A1FC"/>
    <w:rsid w:val="D6DF84D2"/>
    <w:rsid w:val="DB6DBA73"/>
    <w:rsid w:val="DBBDD894"/>
    <w:rsid w:val="DBD7D920"/>
    <w:rsid w:val="DED4E4C2"/>
    <w:rsid w:val="DF560D84"/>
    <w:rsid w:val="DF65B6D1"/>
    <w:rsid w:val="DFCFD091"/>
    <w:rsid w:val="DFD7D1FC"/>
    <w:rsid w:val="DFFB7493"/>
    <w:rsid w:val="E5F3AC45"/>
    <w:rsid w:val="EB2B6C74"/>
    <w:rsid w:val="EBA7E097"/>
    <w:rsid w:val="ECFD9D47"/>
    <w:rsid w:val="ED7EF56D"/>
    <w:rsid w:val="EDEEE313"/>
    <w:rsid w:val="EEBDA841"/>
    <w:rsid w:val="EEE2D578"/>
    <w:rsid w:val="EF77DA14"/>
    <w:rsid w:val="EFDBA11C"/>
    <w:rsid w:val="EFF2B6D5"/>
    <w:rsid w:val="EFFFC691"/>
    <w:rsid w:val="F2CB9E09"/>
    <w:rsid w:val="F53D9DCB"/>
    <w:rsid w:val="F57F5E0C"/>
    <w:rsid w:val="F6ED0056"/>
    <w:rsid w:val="F7564428"/>
    <w:rsid w:val="F77384FB"/>
    <w:rsid w:val="F77BE7E2"/>
    <w:rsid w:val="F7D7BFF6"/>
    <w:rsid w:val="F7F31DC4"/>
    <w:rsid w:val="F9FF6FC6"/>
    <w:rsid w:val="FA773B15"/>
    <w:rsid w:val="FABFB29B"/>
    <w:rsid w:val="FBEFEAC4"/>
    <w:rsid w:val="FBFFB162"/>
    <w:rsid w:val="FCE6583D"/>
    <w:rsid w:val="FCFF45CC"/>
    <w:rsid w:val="FD9F340D"/>
    <w:rsid w:val="FDFFFA00"/>
    <w:rsid w:val="FE3C4974"/>
    <w:rsid w:val="FE7EF095"/>
    <w:rsid w:val="FEAF2033"/>
    <w:rsid w:val="FEE73B7E"/>
    <w:rsid w:val="FEF2E675"/>
    <w:rsid w:val="FF6E9D76"/>
    <w:rsid w:val="FF8C13C8"/>
    <w:rsid w:val="FFEE809B"/>
    <w:rsid w:val="FFFF156D"/>
    <w:rsid w:val="FFFFC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line="560" w:lineRule="exact"/>
      <w:jc w:val="center"/>
    </w:pPr>
    <w:rPr>
      <w:rFonts w:ascii="方正小标宋简体" w:hAnsi="方正小标宋简体" w:eastAsia="方正小标宋简体" w:cs="Times New Roman"/>
      <w:color w:val="333333"/>
      <w:sz w:val="44"/>
      <w:szCs w:val="44"/>
      <w:shd w:val="clear" w:color="auto" w:fill="FFFFFF"/>
      <w:lang w:val="en-US" w:eastAsia="zh-CN" w:bidi="ar-SA"/>
    </w:rPr>
  </w:style>
  <w:style w:type="paragraph" w:styleId="3">
    <w:name w:val="heading 1"/>
    <w:basedOn w:val="1"/>
    <w:next w:val="1"/>
    <w:autoRedefine/>
    <w:qFormat/>
    <w:uiPriority w:val="0"/>
    <w:pPr>
      <w:spacing w:beforeAutospacing="1" w:afterAutospacing="1"/>
      <w:jc w:val="left"/>
      <w:outlineLvl w:val="0"/>
    </w:pPr>
    <w:rPr>
      <w:rFonts w:hint="eastAsia" w:ascii="宋体" w:hAnsi="宋体" w:eastAsia="宋体"/>
      <w:b/>
      <w:bCs/>
      <w:kern w:val="44"/>
      <w:sz w:val="48"/>
      <w:szCs w:val="48"/>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table of authorities"/>
    <w:basedOn w:val="1"/>
    <w:next w:val="1"/>
    <w:autoRedefine/>
    <w:qFormat/>
    <w:uiPriority w:val="0"/>
    <w:pPr>
      <w:ind w:left="420" w:leftChars="200"/>
    </w:pPr>
  </w:style>
  <w:style w:type="paragraph" w:styleId="4">
    <w:name w:val="Date"/>
    <w:basedOn w:val="1"/>
    <w:next w:val="1"/>
    <w:link w:val="11"/>
    <w:autoRedefine/>
    <w:qFormat/>
    <w:uiPriority w:val="0"/>
    <w:pPr>
      <w:ind w:left="100" w:leftChars="2500"/>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7">
    <w:name w:val="Normal (Web)"/>
    <w:basedOn w:val="1"/>
    <w:autoRedefine/>
    <w:qFormat/>
    <w:uiPriority w:val="0"/>
    <w:pPr>
      <w:spacing w:beforeAutospacing="1" w:afterAutospacing="1"/>
      <w:jc w:val="left"/>
    </w:pPr>
    <w:rPr>
      <w:sz w:val="24"/>
    </w:rPr>
  </w:style>
  <w:style w:type="table" w:customStyle="1" w:styleId="10">
    <w:name w:val="Table Normal"/>
    <w:autoRedefine/>
    <w:semiHidden/>
    <w:unhideWhenUsed/>
    <w:qFormat/>
    <w:uiPriority w:val="0"/>
    <w:tblPr>
      <w:tblCellMar>
        <w:top w:w="0" w:type="dxa"/>
        <w:left w:w="0" w:type="dxa"/>
        <w:bottom w:w="0" w:type="dxa"/>
        <w:right w:w="0" w:type="dxa"/>
      </w:tblCellMar>
    </w:tblPr>
  </w:style>
  <w:style w:type="character" w:customStyle="1" w:styleId="11">
    <w:name w:val="日期 字符"/>
    <w:basedOn w:val="9"/>
    <w:link w:val="4"/>
    <w:autoRedefine/>
    <w:qFormat/>
    <w:uiPriority w:val="0"/>
    <w:rPr>
      <w:rFonts w:ascii="方正小标宋简体" w:hAnsi="方正小标宋简体" w:eastAsia="方正小标宋简体"/>
      <w:color w:val="333333"/>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128E39-ADDF-4325-8882-98DC03BC0744}">
  <ds:schemaRefs/>
</ds:datastoreItem>
</file>

<file path=docProps/app.xml><?xml version="1.0" encoding="utf-8"?>
<Properties xmlns="http://schemas.openxmlformats.org/officeDocument/2006/extended-properties" xmlns:vt="http://schemas.openxmlformats.org/officeDocument/2006/docPropsVTypes">
  <Template>Normal.dotm</Template>
  <Company>DoubleOX</Company>
  <Pages>9</Pages>
  <Words>2028</Words>
  <Characters>11565</Characters>
  <Lines>96</Lines>
  <Paragraphs>27</Paragraphs>
  <TotalTime>62</TotalTime>
  <ScaleCrop>false</ScaleCrop>
  <LinksUpToDate>false</LinksUpToDate>
  <CharactersWithSpaces>13566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2023-07-05T07:46:00Z</dcterms:created>
  <dc:creator>樊娜</dc:creator>
  <cp:lastModifiedBy>Pek✈️✈️</cp:lastModifiedBy>
  <cp:lastPrinted>2024-05-16T08:52:00Z</cp:lastPrinted>
  <dcterms:modified xsi:type="dcterms:W3CDTF">2024-05-20T08:27:58Z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CAFF61433DE04CB68DC595F41FD84979_13</vt:lpwstr>
  </property>
</Properties>
</file>