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03.100.01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10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pPr>
        <w:pStyle w:val="50"/>
        <w:framePr w:w="9639" w:h="886" w:hRule="exact" w:hSpace="181" w:vSpace="181" w:wrap="around" w:hAnchor="page" w:x="1305" w:y="2269"/>
        <w:rPr>
          <w:rFonts w:ascii="黑体" w:hAnsi="黑体" w:eastAsia="黑体"/>
          <w:b w:val="0"/>
          <w:bCs w:val="0"/>
          <w:w w:val="100"/>
          <w:sz w:val="72"/>
          <w:szCs w:val="72"/>
        </w:rPr>
      </w:pPr>
      <w:r>
        <w:rPr>
          <w:rFonts w:ascii="黑体" w:eastAsia="黑体"/>
          <w:b w:val="0"/>
          <w:w w:val="100"/>
          <w:sz w:val="72"/>
          <w:szCs w:val="72"/>
        </w:rPr>
        <w:fldChar w:fldCharType="begin">
          <w:ffData>
            <w:name w:val="c2"/>
            <w:enabled/>
            <w:calcOnExit w:val="0"/>
            <w:textInput/>
          </w:ffData>
        </w:fldChar>
      </w:r>
      <w:bookmarkStart w:id="4" w:name="c2"/>
      <w:r>
        <w:rPr>
          <w:rFonts w:ascii="黑体" w:eastAsia="黑体"/>
          <w:b w:val="0"/>
          <w:w w:val="100"/>
          <w:sz w:val="72"/>
          <w:szCs w:val="72"/>
        </w:rPr>
        <w:instrText xml:space="preserve"> FORMTEXT </w:instrText>
      </w:r>
      <w:r>
        <w:rPr>
          <w:rFonts w:ascii="黑体" w:eastAsia="黑体"/>
          <w:b w:val="0"/>
          <w:w w:val="100"/>
          <w:sz w:val="72"/>
          <w:szCs w:val="72"/>
        </w:rPr>
        <w:fldChar w:fldCharType="separate"/>
      </w:r>
      <w:r>
        <w:rPr>
          <w:rFonts w:hint="eastAsia" w:ascii="黑体" w:eastAsia="黑体"/>
          <w:b w:val="0"/>
          <w:w w:val="100"/>
          <w:sz w:val="72"/>
          <w:szCs w:val="72"/>
        </w:rPr>
        <w:t>安徽省</w:t>
      </w:r>
      <w:r>
        <w:rPr>
          <w:rFonts w:ascii="黑体" w:eastAsia="黑体"/>
          <w:b w:val="0"/>
          <w:w w:val="100"/>
          <w:sz w:val="72"/>
          <w:szCs w:val="72"/>
        </w:rPr>
        <w:fldChar w:fldCharType="end"/>
      </w:r>
      <w:bookmarkEnd w:id="4"/>
      <w:r>
        <w:rPr>
          <w:rFonts w:hint="eastAsia" w:ascii="黑体" w:hAnsi="黑体" w:eastAsia="黑体"/>
          <w:b w:val="0"/>
          <w:bCs w:val="0"/>
          <w:w w:val="100"/>
          <w:sz w:val="72"/>
          <w:szCs w:val="72"/>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餐饮服务单位节约管理指南</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hint="eastAsia" w:ascii="黑体" w:hAnsi="黑体" w:eastAsia="黑体"/>
          <w:szCs w:val="28"/>
        </w:rPr>
        <w:t>Guidelines for saving management of catering service units</w:t>
      </w: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bookmarkStart w:id="10" w:name="下拉1"/>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360"/>
      </w:pPr>
      <w:bookmarkStart w:id="20"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本文件由安徽省市场监督管理局提出并归口。</w:t>
      </w:r>
    </w:p>
    <w:p>
      <w:pPr>
        <w:pStyle w:val="56"/>
        <w:ind w:firstLine="420"/>
      </w:pPr>
      <w:r>
        <w:rPr>
          <w:rFonts w:hint="eastAsia"/>
        </w:rPr>
        <w:t>本文件起草单位：</w:t>
      </w:r>
    </w:p>
    <w:p>
      <w:pPr>
        <w:pStyle w:val="56"/>
        <w:ind w:firstLine="420"/>
      </w:pPr>
      <w:r>
        <w:rPr>
          <w:rFonts w:hint="eastAsia"/>
        </w:rPr>
        <w:t>本文件主要起草人：</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D51E40BA58E24FE8BCA7B93AA9340783"/>
        </w:placeholder>
      </w:sdtPr>
      <w:sdtContent>
        <w:p>
          <w:pPr>
            <w:pStyle w:val="177"/>
            <w:spacing w:before="3" w:beforeLines="1" w:after="686" w:afterLines="220"/>
          </w:pPr>
          <w:bookmarkStart w:id="22" w:name="NEW_STAND_NAME"/>
          <w:r>
            <w:rPr>
              <w:rFonts w:hint="eastAsia"/>
            </w:rPr>
            <w:t>餐饮服务单位节约管理指南</w:t>
          </w:r>
        </w:p>
      </w:sdtContent>
    </w:sdt>
    <w:bookmarkEnd w:id="22"/>
    <w:p>
      <w:pPr>
        <w:pStyle w:val="104"/>
        <w:spacing w:before="312" w:after="312"/>
      </w:pPr>
      <w:bookmarkStart w:id="23" w:name="_Toc17233325"/>
      <w:bookmarkStart w:id="24" w:name="_Toc26718930"/>
      <w:bookmarkStart w:id="25" w:name="_Toc17233333"/>
      <w:bookmarkStart w:id="26" w:name="_Toc24884211"/>
      <w:bookmarkStart w:id="27" w:name="_Toc26648465"/>
      <w:bookmarkStart w:id="28" w:name="_Toc26986530"/>
      <w:bookmarkStart w:id="29" w:name="_Toc26986771"/>
      <w:bookmarkStart w:id="30" w:name="_Toc97191423"/>
      <w:bookmarkStart w:id="31" w:name="_Toc24884218"/>
      <w:r>
        <w:rPr>
          <w:rFonts w:hint="eastAsia"/>
        </w:rPr>
        <w:t>范围</w:t>
      </w:r>
      <w:bookmarkEnd w:id="23"/>
      <w:bookmarkEnd w:id="24"/>
      <w:bookmarkEnd w:id="25"/>
      <w:bookmarkEnd w:id="26"/>
      <w:bookmarkEnd w:id="27"/>
      <w:bookmarkEnd w:id="28"/>
      <w:bookmarkEnd w:id="29"/>
      <w:bookmarkEnd w:id="30"/>
      <w:bookmarkEnd w:id="31"/>
    </w:p>
    <w:p>
      <w:pPr>
        <w:pStyle w:val="56"/>
        <w:ind w:firstLine="420"/>
      </w:pPr>
      <w:bookmarkStart w:id="32" w:name="_Toc17233334"/>
      <w:bookmarkStart w:id="33" w:name="_Toc24884219"/>
      <w:bookmarkStart w:id="34" w:name="_Toc17233326"/>
      <w:bookmarkStart w:id="35" w:name="_Toc24884212"/>
      <w:bookmarkStart w:id="36" w:name="_Toc26648466"/>
      <w:bookmarkStart w:id="37" w:name="BookMark5"/>
      <w:r>
        <w:rPr>
          <w:rFonts w:hint="eastAsia"/>
        </w:rPr>
        <w:t>本文件规定了餐饮服务单位餐饮节约管理的制度建设与实施、餐饮服务、员工培训、监督、评价与改进。</w:t>
      </w:r>
    </w:p>
    <w:p>
      <w:pPr>
        <w:pStyle w:val="56"/>
        <w:ind w:firstLine="420"/>
      </w:pPr>
      <w:r>
        <w:rPr>
          <w:rFonts w:hint="eastAsia"/>
        </w:rPr>
        <w:t>本文件适用于餐饮服务单位餐饮节约管理。</w:t>
      </w:r>
    </w:p>
    <w:p>
      <w:pPr>
        <w:pStyle w:val="104"/>
        <w:spacing w:before="312" w:after="312"/>
      </w:pPr>
      <w:bookmarkStart w:id="38" w:name="_Toc26718931"/>
      <w:bookmarkStart w:id="39" w:name="_Toc97192965"/>
      <w:bookmarkStart w:id="40" w:name="_Toc26986772"/>
      <w:bookmarkStart w:id="41" w:name="_Toc26986531"/>
      <w:r>
        <w:rPr>
          <w:rFonts w:hint="eastAsia"/>
        </w:rPr>
        <w:t>规范性引用文件</w:t>
      </w:r>
      <w:bookmarkEnd w:id="32"/>
      <w:bookmarkEnd w:id="33"/>
      <w:bookmarkEnd w:id="34"/>
      <w:bookmarkEnd w:id="35"/>
      <w:bookmarkEnd w:id="36"/>
      <w:bookmarkEnd w:id="38"/>
      <w:bookmarkEnd w:id="39"/>
      <w:bookmarkEnd w:id="40"/>
      <w:bookmarkEnd w:id="41"/>
    </w:p>
    <w:sdt>
      <w:sdtPr>
        <w:rPr>
          <w:rFonts w:hint="eastAsia"/>
        </w:rPr>
        <w:id w:val="715848253"/>
        <w:placeholder>
          <w:docPart w:val="{e000f7fb-9593-4cd1-9ea1-de32a6530ae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18006.1  塑料一次性餐饮具通用技术要求</w:t>
      </w:r>
    </w:p>
    <w:p>
      <w:pPr>
        <w:pStyle w:val="56"/>
        <w:ind w:firstLine="420"/>
      </w:pPr>
      <w:r>
        <w:rPr>
          <w:rFonts w:hint="eastAsia"/>
        </w:rPr>
        <w:t>GB/T 39002  餐饮分餐制服务指南</w:t>
      </w:r>
    </w:p>
    <w:p>
      <w:pPr>
        <w:pStyle w:val="56"/>
        <w:ind w:firstLine="420"/>
      </w:pPr>
      <w:r>
        <w:rPr>
          <w:rFonts w:hint="eastAsia"/>
        </w:rPr>
        <w:t>GB/T 40041  外卖餐品信息描述规范</w:t>
      </w:r>
    </w:p>
    <w:p>
      <w:pPr>
        <w:pStyle w:val="56"/>
        <w:ind w:firstLine="420"/>
      </w:pPr>
      <w:r>
        <w:rPr>
          <w:rFonts w:hint="eastAsia"/>
        </w:rPr>
        <w:t>SB/T 11070  餐饮服务企业打包服务管理要求</w:t>
      </w:r>
    </w:p>
    <w:p>
      <w:pPr>
        <w:pStyle w:val="56"/>
        <w:ind w:firstLine="420"/>
      </w:pPr>
      <w:r>
        <w:rPr>
          <w:rFonts w:hint="eastAsia"/>
        </w:rPr>
        <w:t>SB/T 11166-2022  社会餐饮服务单位节约管理规范</w:t>
      </w:r>
    </w:p>
    <w:p>
      <w:pPr>
        <w:pStyle w:val="56"/>
        <w:ind w:firstLine="420"/>
        <w:rPr>
          <w:rFonts w:hAnsi="宋体"/>
        </w:rPr>
      </w:pPr>
      <w:bookmarkStart w:id="42" w:name="_Toc97192966"/>
      <w:r>
        <w:rPr>
          <w:rFonts w:hint="eastAsia" w:hAnsi="宋体"/>
        </w:rPr>
        <w:t>《餐饮服务食品安全操作规范》（国家市场监督管理总局公告</w:t>
      </w:r>
      <w:r>
        <w:rPr>
          <w:rFonts w:hint="eastAsia"/>
        </w:rPr>
        <w:t xml:space="preserve"> 2018</w:t>
      </w:r>
      <w:r>
        <w:rPr>
          <w:rFonts w:hint="eastAsia" w:hAnsi="宋体"/>
        </w:rPr>
        <w:t>年 第</w:t>
      </w:r>
      <w:r>
        <w:rPr>
          <w:rFonts w:hint="eastAsia"/>
        </w:rPr>
        <w:t>12</w:t>
      </w:r>
      <w:r>
        <w:rPr>
          <w:rFonts w:hint="eastAsia" w:hAnsi="宋体"/>
        </w:rPr>
        <w:t>号）</w:t>
      </w:r>
    </w:p>
    <w:p>
      <w:pPr>
        <w:pStyle w:val="104"/>
        <w:spacing w:before="312" w:after="312"/>
      </w:pPr>
      <w:r>
        <w:rPr>
          <w:rFonts w:hint="eastAsia"/>
        </w:rPr>
        <w:t>术语和定义</w:t>
      </w:r>
      <w:bookmarkEnd w:id="42"/>
    </w:p>
    <w:sdt>
      <w:sdtPr>
        <w:id w:val="-1909835108"/>
        <w:placeholder>
          <w:docPart w:val="{29f218f5-4057-4544-8b0c-6b7d2caf5b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餐饮服务单位 </w:t>
      </w:r>
      <w:r>
        <w:rPr>
          <w:rFonts w:hint="eastAsia" w:ascii="黑体" w:hAnsi="黑体" w:eastAsia="黑体"/>
          <w:lang w:val="en-US" w:eastAsia="zh-CN"/>
        </w:rPr>
        <w:t>c</w:t>
      </w:r>
      <w:r>
        <w:rPr>
          <w:rFonts w:hint="eastAsia" w:ascii="黑体" w:hAnsi="黑体" w:eastAsia="黑体"/>
        </w:rPr>
        <w:t>atering service unit</w:t>
      </w:r>
      <w:r>
        <w:rPr>
          <w:rFonts w:hint="eastAsia" w:ascii="黑体" w:hAnsi="黑体" w:eastAsia="黑体"/>
          <w:lang w:val="en-US" w:eastAsia="zh-CN"/>
        </w:rPr>
        <w:t>s</w:t>
      </w:r>
    </w:p>
    <w:p>
      <w:pPr>
        <w:pStyle w:val="56"/>
        <w:ind w:firstLine="420"/>
      </w:pPr>
      <w:r>
        <w:rPr>
          <w:rFonts w:hint="eastAsia"/>
        </w:rPr>
        <w:t>通过即时加工制作、商业销售和服务性劳动等，向消费者提供食品或食品和消费场所的单位，包括社会餐饮、食堂和集体用餐配送单位。</w:t>
      </w:r>
    </w:p>
    <w:p>
      <w:pPr>
        <w:pStyle w:val="56"/>
        <w:ind w:firstLine="420"/>
      </w:pPr>
      <w:r>
        <w:rPr>
          <w:rFonts w:hint="eastAsia"/>
        </w:rPr>
        <w:t>[来源：SB/T 11166-2022，3.1]</w:t>
      </w:r>
    </w:p>
    <w:p>
      <w:pPr>
        <w:pStyle w:val="104"/>
        <w:spacing w:before="312" w:after="312"/>
      </w:pPr>
      <w:r>
        <w:rPr>
          <w:rFonts w:hint="eastAsia"/>
        </w:rPr>
        <w:t>制度建设与实施</w:t>
      </w:r>
    </w:p>
    <w:p>
      <w:pPr>
        <w:pStyle w:val="105"/>
        <w:spacing w:before="156" w:after="156"/>
      </w:pPr>
      <w:r>
        <w:rPr>
          <w:rFonts w:hint="eastAsia"/>
        </w:rPr>
        <w:t>建立管理制度</w:t>
      </w:r>
    </w:p>
    <w:p>
      <w:pPr>
        <w:pStyle w:val="56"/>
        <w:ind w:firstLine="420"/>
      </w:pPr>
      <w:r>
        <w:rPr>
          <w:rFonts w:hint="eastAsia"/>
        </w:rPr>
        <w:t>建立健全餐饮节约管理制度，包括但不限于以下内容：</w:t>
      </w:r>
    </w:p>
    <w:p>
      <w:pPr>
        <w:pStyle w:val="56"/>
        <w:ind w:firstLine="420"/>
      </w:pPr>
      <w:r>
        <w:rPr>
          <w:rFonts w:hint="eastAsia"/>
        </w:rPr>
        <w:t>a）原料节约管理制度；</w:t>
      </w:r>
    </w:p>
    <w:p>
      <w:pPr>
        <w:pStyle w:val="56"/>
        <w:ind w:firstLine="420"/>
      </w:pPr>
      <w:r>
        <w:rPr>
          <w:rFonts w:hint="eastAsia"/>
        </w:rPr>
        <w:t>b）加工过程节约管理制度；</w:t>
      </w:r>
    </w:p>
    <w:p>
      <w:pPr>
        <w:pStyle w:val="56"/>
        <w:ind w:firstLine="420"/>
      </w:pPr>
      <w:r>
        <w:rPr>
          <w:rFonts w:hint="eastAsia"/>
        </w:rPr>
        <w:t>c）用餐过程节约管理制度；</w:t>
      </w:r>
    </w:p>
    <w:p>
      <w:pPr>
        <w:pStyle w:val="56"/>
        <w:ind w:firstLine="420"/>
      </w:pPr>
      <w:r>
        <w:rPr>
          <w:rFonts w:hint="eastAsia"/>
        </w:rPr>
        <w:t>d）仓储节约管理制度；</w:t>
      </w:r>
    </w:p>
    <w:p>
      <w:pPr>
        <w:pStyle w:val="56"/>
        <w:ind w:firstLine="420"/>
      </w:pPr>
      <w:r>
        <w:rPr>
          <w:rFonts w:hint="eastAsia"/>
        </w:rPr>
        <w:t>e）餐饮节约惩罚管理制度；</w:t>
      </w:r>
    </w:p>
    <w:p>
      <w:pPr>
        <w:pStyle w:val="56"/>
        <w:ind w:firstLine="420"/>
      </w:pPr>
      <w:r>
        <w:rPr>
          <w:rFonts w:hint="eastAsia"/>
        </w:rPr>
        <w:t>f）餐饮节约培训管理制度；</w:t>
      </w:r>
    </w:p>
    <w:p>
      <w:pPr>
        <w:pStyle w:val="56"/>
        <w:ind w:firstLine="420"/>
      </w:pPr>
      <w:r>
        <w:rPr>
          <w:rFonts w:hint="eastAsia"/>
        </w:rPr>
        <w:t>g）监督考核管理制度等。</w:t>
      </w:r>
    </w:p>
    <w:p>
      <w:pPr>
        <w:pStyle w:val="105"/>
        <w:spacing w:before="156" w:after="156"/>
      </w:pPr>
      <w:r>
        <w:rPr>
          <w:rFonts w:hint="eastAsia"/>
        </w:rPr>
        <w:t>监督实施</w:t>
      </w:r>
    </w:p>
    <w:p>
      <w:pPr>
        <w:pStyle w:val="165"/>
      </w:pPr>
      <w:r>
        <w:rPr>
          <w:rFonts w:hint="eastAsia"/>
        </w:rPr>
        <w:t>安排专人负责，定期监督餐饮节约管理制度的实施情况。</w:t>
      </w:r>
    </w:p>
    <w:p>
      <w:pPr>
        <w:pStyle w:val="165"/>
      </w:pPr>
      <w:r>
        <w:rPr>
          <w:rFonts w:hint="eastAsia"/>
        </w:rPr>
        <w:t>把餐饮节约纳入岗位考核中。</w:t>
      </w:r>
    </w:p>
    <w:p>
      <w:pPr>
        <w:pStyle w:val="165"/>
      </w:pPr>
      <w:r>
        <w:rPr>
          <w:rFonts w:hint="eastAsia"/>
        </w:rPr>
        <w:t>做到店堂有宣传、桌上有标识、点餐有提示、剩菜有打包。</w:t>
      </w:r>
    </w:p>
    <w:p>
      <w:pPr>
        <w:pStyle w:val="104"/>
        <w:spacing w:before="312" w:after="312"/>
      </w:pPr>
      <w:r>
        <w:rPr>
          <w:rFonts w:hint="eastAsia"/>
        </w:rPr>
        <w:t>餐饮服务</w:t>
      </w:r>
    </w:p>
    <w:p>
      <w:pPr>
        <w:pStyle w:val="105"/>
        <w:spacing w:before="156" w:after="156"/>
      </w:pPr>
      <w:r>
        <w:rPr>
          <w:rFonts w:hint="eastAsia"/>
        </w:rPr>
        <w:t>菜品设计</w:t>
      </w:r>
    </w:p>
    <w:p>
      <w:pPr>
        <w:pStyle w:val="56"/>
        <w:ind w:firstLine="420"/>
      </w:pPr>
      <w:r>
        <w:rPr>
          <w:rFonts w:hint="eastAsia"/>
        </w:rPr>
        <w:t>餐饮服务单位要将制止餐饮浪费理念纳入用餐菜单设计中，按照用餐人数合理配置菜品、主食，供消费者选择。</w:t>
      </w:r>
    </w:p>
    <w:p>
      <w:pPr>
        <w:pStyle w:val="105"/>
        <w:spacing w:before="156" w:after="156"/>
        <w:rPr>
          <w:rFonts w:ascii="Times New Roman"/>
        </w:rPr>
      </w:pPr>
      <w:r>
        <w:rPr>
          <w:rFonts w:hint="eastAsia"/>
        </w:rPr>
        <w:t>原料采购</w:t>
      </w:r>
      <w:r>
        <w:rPr>
          <w:rFonts w:hint="eastAsia" w:ascii="Times New Roman"/>
        </w:rPr>
        <w:t>、运输、验收与贮存</w:t>
      </w:r>
    </w:p>
    <w:p>
      <w:pPr>
        <w:pStyle w:val="65"/>
        <w:spacing w:before="156" w:after="156"/>
      </w:pPr>
      <w:r>
        <w:rPr>
          <w:rFonts w:hint="eastAsia"/>
        </w:rPr>
        <w:t>原料采购</w:t>
      </w:r>
    </w:p>
    <w:p>
      <w:pPr>
        <w:pStyle w:val="164"/>
      </w:pPr>
      <w:r>
        <w:rPr>
          <w:rFonts w:hint="eastAsia"/>
        </w:rPr>
        <w:t>根据</w:t>
      </w:r>
      <w:r>
        <w:rPr>
          <w:rFonts w:hint="eastAsia"/>
          <w:lang w:eastAsia="zh-CN"/>
        </w:rPr>
        <w:t>餐饮服务单位</w:t>
      </w:r>
      <w:r>
        <w:rPr>
          <w:rFonts w:hint="eastAsia"/>
        </w:rPr>
        <w:t>需求制定采购计划，通过订单生产等方式，引导上游生产单位合理安排生产。易腐食材按需适量采购。</w:t>
      </w:r>
    </w:p>
    <w:p>
      <w:pPr>
        <w:pStyle w:val="164"/>
      </w:pPr>
      <w:r>
        <w:rPr>
          <w:rFonts w:hint="eastAsia"/>
        </w:rPr>
        <w:t>建立销量预估及库房智能化管控系统，确定库存数量，</w:t>
      </w:r>
      <w:r>
        <w:rPr>
          <w:rFonts w:hint="eastAsia"/>
          <w:lang w:eastAsia="zh-CN"/>
        </w:rPr>
        <w:t>控制</w:t>
      </w:r>
      <w:r>
        <w:rPr>
          <w:rFonts w:hint="eastAsia"/>
        </w:rPr>
        <w:t>进货数量。</w:t>
      </w:r>
    </w:p>
    <w:p>
      <w:pPr>
        <w:pStyle w:val="164"/>
      </w:pPr>
      <w:r>
        <w:rPr>
          <w:rFonts w:hint="eastAsia"/>
        </w:rPr>
        <w:t>蔬菜、生鲜食品等食材应实行“少采勤采”“即采即用”。</w:t>
      </w:r>
    </w:p>
    <w:p>
      <w:pPr>
        <w:pStyle w:val="164"/>
      </w:pPr>
      <w:r>
        <w:rPr>
          <w:rFonts w:hint="eastAsia"/>
        </w:rPr>
        <w:t>根据采购计划对食材进行验收，做好进货台账登记，确保数量准确、质量合格、品种正确、价格合理。</w:t>
      </w:r>
    </w:p>
    <w:p>
      <w:pPr>
        <w:pStyle w:val="65"/>
        <w:spacing w:before="156" w:after="156"/>
      </w:pPr>
      <w:r>
        <w:rPr>
          <w:rFonts w:hint="eastAsia"/>
        </w:rPr>
        <w:t>运输</w:t>
      </w:r>
    </w:p>
    <w:p>
      <w:pPr>
        <w:pStyle w:val="164"/>
      </w:pPr>
      <w:r>
        <w:rPr>
          <w:rFonts w:hint="eastAsia"/>
        </w:rPr>
        <w:t>根据食品特点选择适宜的运输工具，必要时应配备保温、冷藏、冷冻、保鲜、保湿等设施。</w:t>
      </w:r>
    </w:p>
    <w:p>
      <w:pPr>
        <w:pStyle w:val="164"/>
      </w:pPr>
      <w:r>
        <w:rPr>
          <w:rFonts w:hint="eastAsia"/>
        </w:rPr>
        <w:t>运输前，应对运输工具和盛装食品的容器进行清洁，必要时还应进行消毒，防止食品受到污染。</w:t>
      </w:r>
    </w:p>
    <w:p>
      <w:pPr>
        <w:pStyle w:val="164"/>
      </w:pPr>
      <w:r>
        <w:rPr>
          <w:rFonts w:hint="eastAsia"/>
        </w:rPr>
        <w:t>运输中，应防止食品包装破损，避免受到日光直射、雨淋和剧烈撞击等。运输过程应符合保证食品安全所需的温度、湿度等特殊要求。</w:t>
      </w:r>
    </w:p>
    <w:p>
      <w:pPr>
        <w:pStyle w:val="65"/>
        <w:spacing w:before="156" w:after="156"/>
      </w:pPr>
      <w:r>
        <w:rPr>
          <w:rFonts w:hint="eastAsia"/>
        </w:rPr>
        <w:t>验收</w:t>
      </w:r>
    </w:p>
    <w:p>
      <w:pPr>
        <w:pStyle w:val="164"/>
      </w:pPr>
      <w:r>
        <w:t>应按规定查验并留存供货者企业资质</w:t>
      </w:r>
      <w:r>
        <w:rPr>
          <w:rFonts w:hint="eastAsia"/>
        </w:rPr>
        <w:t>和</w:t>
      </w:r>
      <w:r>
        <w:t>产品合格证明文件。</w:t>
      </w:r>
    </w:p>
    <w:p>
      <w:pPr>
        <w:pStyle w:val="164"/>
      </w:pPr>
      <w:r>
        <w:t>食品原料必须经过以下验收后方可使用</w:t>
      </w:r>
      <w:r>
        <w:rPr>
          <w:rFonts w:hint="eastAsia"/>
        </w:rPr>
        <w:t>：</w:t>
      </w:r>
    </w:p>
    <w:p>
      <w:pPr>
        <w:pStyle w:val="56"/>
        <w:ind w:firstLine="420"/>
      </w:pPr>
      <w:r>
        <w:rPr>
          <w:rFonts w:hint="eastAsia"/>
        </w:rPr>
        <w:t>a）</w:t>
      </w:r>
      <w:r>
        <w:t>具有正常的感官性状，无腐败、变质、污染等现象</w:t>
      </w:r>
      <w:r>
        <w:rPr>
          <w:rFonts w:hint="eastAsia"/>
        </w:rPr>
        <w:t>；</w:t>
      </w:r>
    </w:p>
    <w:p>
      <w:pPr>
        <w:pStyle w:val="56"/>
        <w:ind w:firstLine="420"/>
      </w:pPr>
      <w:r>
        <w:rPr>
          <w:rFonts w:hint="eastAsia"/>
        </w:rPr>
        <w:t>b）</w:t>
      </w:r>
      <w:r>
        <w:t>预包装食品应包装完整、清洁、无破损</w:t>
      </w:r>
      <w:r>
        <w:rPr>
          <w:rFonts w:hint="eastAsia"/>
        </w:rPr>
        <w:t>，</w:t>
      </w:r>
      <w:r>
        <w:t>内容物与产品标识</w:t>
      </w:r>
      <w:r>
        <w:rPr>
          <w:rFonts w:hint="eastAsia"/>
        </w:rPr>
        <w:t>一</w:t>
      </w:r>
      <w:r>
        <w:t>致</w:t>
      </w:r>
      <w:r>
        <w:rPr>
          <w:rFonts w:hint="eastAsia"/>
        </w:rPr>
        <w:t>；</w:t>
      </w:r>
    </w:p>
    <w:p>
      <w:pPr>
        <w:pStyle w:val="56"/>
        <w:ind w:firstLine="420"/>
      </w:pPr>
      <w:r>
        <w:rPr>
          <w:rFonts w:hint="eastAsia"/>
        </w:rPr>
        <w:t>c）</w:t>
      </w:r>
      <w:r>
        <w:t>标签标识完整、清晰</w:t>
      </w:r>
      <w:r>
        <w:rPr>
          <w:rFonts w:hint="eastAsia"/>
        </w:rPr>
        <w:t>，</w:t>
      </w:r>
      <w:r>
        <w:t>载明的事项应符合食品安全标准和要求</w:t>
      </w:r>
      <w:r>
        <w:rPr>
          <w:rFonts w:hint="eastAsia"/>
        </w:rPr>
        <w:t>；</w:t>
      </w:r>
    </w:p>
    <w:p>
      <w:pPr>
        <w:pStyle w:val="56"/>
        <w:ind w:firstLine="420"/>
      </w:pPr>
      <w:r>
        <w:rPr>
          <w:rFonts w:hint="eastAsia"/>
        </w:rPr>
        <w:t>d）</w:t>
      </w:r>
      <w:r>
        <w:t>食品在保质期内</w:t>
      </w:r>
      <w:r>
        <w:rPr>
          <w:rFonts w:hint="eastAsia"/>
        </w:rPr>
        <w:t>；</w:t>
      </w:r>
    </w:p>
    <w:p>
      <w:pPr>
        <w:pStyle w:val="56"/>
        <w:ind w:firstLine="420"/>
      </w:pPr>
      <w:r>
        <w:rPr>
          <w:rFonts w:hint="eastAsia"/>
        </w:rPr>
        <w:t>e）</w:t>
      </w:r>
      <w:r>
        <w:t>食品温度符合食品安全要求。</w:t>
      </w:r>
    </w:p>
    <w:p>
      <w:pPr>
        <w:pStyle w:val="164"/>
      </w:pPr>
      <w:r>
        <w:t>应尽可能缩短冷冻</w:t>
      </w:r>
      <w:r>
        <w:rPr>
          <w:rFonts w:hint="eastAsia"/>
        </w:rPr>
        <w:t>（</w:t>
      </w:r>
      <w:r>
        <w:t>藏</w:t>
      </w:r>
      <w:r>
        <w:rPr>
          <w:rFonts w:hint="eastAsia"/>
        </w:rPr>
        <w:t>）</w:t>
      </w:r>
      <w:r>
        <w:t>食品的验收时间</w:t>
      </w:r>
      <w:r>
        <w:rPr>
          <w:rFonts w:hint="eastAsia"/>
        </w:rPr>
        <w:t>，</w:t>
      </w:r>
      <w:r>
        <w:t>减少其温度变化。</w:t>
      </w:r>
    </w:p>
    <w:p>
      <w:pPr>
        <w:pStyle w:val="65"/>
        <w:spacing w:before="156" w:after="156"/>
      </w:pPr>
      <w:r>
        <w:rPr>
          <w:rFonts w:hint="eastAsia"/>
        </w:rPr>
        <w:t>贮存</w:t>
      </w:r>
    </w:p>
    <w:p>
      <w:pPr>
        <w:pStyle w:val="164"/>
      </w:pPr>
      <w:r>
        <w:rPr>
          <w:rFonts w:hint="eastAsia"/>
        </w:rPr>
        <w:t>建立必备的冷藏、冷冻、分类分区和虫害控制等贮存设施设备。</w:t>
      </w:r>
    </w:p>
    <w:p>
      <w:pPr>
        <w:pStyle w:val="164"/>
      </w:pPr>
      <w:r>
        <w:rPr>
          <w:rFonts w:hint="eastAsia"/>
        </w:rPr>
        <w:t>原料储存区宜张贴明显的区分标识，防止交叉污染，有具体的控制措施。</w:t>
      </w:r>
    </w:p>
    <w:p>
      <w:pPr>
        <w:pStyle w:val="164"/>
      </w:pPr>
      <w:r>
        <w:rPr>
          <w:rFonts w:hint="eastAsia"/>
        </w:rPr>
        <w:t>库房管理工作流程宜遵循先进、先出、先用的原则。</w:t>
      </w:r>
    </w:p>
    <w:p>
      <w:pPr>
        <w:pStyle w:val="164"/>
      </w:pPr>
      <w:r>
        <w:rPr>
          <w:rFonts w:hint="eastAsia"/>
        </w:rPr>
        <w:t>鼓励使用新技术，优化存储空间和储藏时间，定期巡查库存，杜绝因长期储藏造成食品过期，而引发的浪费，确保食材在保质期内使用。</w:t>
      </w:r>
    </w:p>
    <w:p>
      <w:pPr>
        <w:pStyle w:val="105"/>
        <w:spacing w:before="156" w:after="156"/>
      </w:pPr>
      <w:r>
        <w:rPr>
          <w:rFonts w:hint="eastAsia"/>
        </w:rPr>
        <w:t xml:space="preserve">加工烹饪 </w:t>
      </w:r>
    </w:p>
    <w:p>
      <w:pPr>
        <w:pStyle w:val="65"/>
        <w:spacing w:before="156" w:after="156"/>
      </w:pPr>
      <w:r>
        <w:rPr>
          <w:rFonts w:hint="eastAsia"/>
        </w:rPr>
        <w:t>粗加工</w:t>
      </w:r>
    </w:p>
    <w:p>
      <w:pPr>
        <w:pStyle w:val="164"/>
      </w:pPr>
      <w:r>
        <w:rPr>
          <w:rFonts w:hint="eastAsia"/>
        </w:rPr>
        <w:t>食材清洗切除过程中，减少丢弃、浪费、洒落。宜做到：</w:t>
      </w:r>
    </w:p>
    <w:p>
      <w:pPr>
        <w:pStyle w:val="56"/>
        <w:ind w:firstLine="420"/>
      </w:pPr>
      <w:r>
        <w:rPr>
          <w:rFonts w:hint="eastAsia"/>
        </w:rPr>
        <w:t>a）蔬菜类：根部理齐后齐根切，切根不切梗；</w:t>
      </w:r>
    </w:p>
    <w:p>
      <w:pPr>
        <w:pStyle w:val="56"/>
        <w:ind w:firstLine="420"/>
      </w:pPr>
      <w:r>
        <w:rPr>
          <w:rFonts w:hint="eastAsia"/>
        </w:rPr>
        <w:t>b）叶菜类：剥烂叶、黄叶、老叶，不剥好叶；</w:t>
      </w:r>
    </w:p>
    <w:p>
      <w:pPr>
        <w:pStyle w:val="56"/>
        <w:ind w:firstLine="420"/>
      </w:pPr>
      <w:r>
        <w:rPr>
          <w:rFonts w:hint="eastAsia"/>
        </w:rPr>
        <w:t>c）根茎类：尽量去皮不去肉，切去根须、腐烂部位；</w:t>
      </w:r>
    </w:p>
    <w:p>
      <w:pPr>
        <w:pStyle w:val="56"/>
        <w:ind w:firstLine="420"/>
      </w:pPr>
      <w:r>
        <w:rPr>
          <w:rFonts w:hint="eastAsia"/>
        </w:rPr>
        <w:t>d）鲜豆类：摘除豆荚上的筋络，剥去豆尖杂质；</w:t>
      </w:r>
    </w:p>
    <w:p>
      <w:pPr>
        <w:pStyle w:val="56"/>
        <w:ind w:firstLine="420"/>
      </w:pPr>
      <w:r>
        <w:rPr>
          <w:rFonts w:hint="eastAsia"/>
        </w:rPr>
        <w:t>e）食用菌类：剪去老根，摘除杂质；</w:t>
      </w:r>
    </w:p>
    <w:p>
      <w:pPr>
        <w:pStyle w:val="56"/>
        <w:ind w:firstLine="420"/>
      </w:pPr>
      <w:r>
        <w:rPr>
          <w:rFonts w:hint="eastAsia"/>
        </w:rPr>
        <w:t>f）海鲜、河鲜、肉类、禽类：去除废弃部位，保留可用部位。</w:t>
      </w:r>
    </w:p>
    <w:p>
      <w:pPr>
        <w:pStyle w:val="164"/>
      </w:pPr>
      <w:r>
        <w:rPr>
          <w:rFonts w:hint="eastAsia"/>
        </w:rPr>
        <w:t xml:space="preserve">食材处理环节用水不宜采用长流水、大水量等操作方式。 </w:t>
      </w:r>
    </w:p>
    <w:p>
      <w:pPr>
        <w:pStyle w:val="164"/>
      </w:pPr>
      <w:r>
        <w:rPr>
          <w:rFonts w:hint="eastAsia"/>
        </w:rPr>
        <w:t>使用冷藏解冻方式解冻食品。冷水解冻时，不宜采用水龙头冲洗方式，必须冲洗时，应注意控制出水量。</w:t>
      </w:r>
    </w:p>
    <w:p>
      <w:pPr>
        <w:pStyle w:val="164"/>
      </w:pPr>
      <w:r>
        <w:rPr>
          <w:rFonts w:hint="eastAsia"/>
        </w:rPr>
        <w:t xml:space="preserve">通过预估销量的方式，合理安排预处理食材的数量和频次（如解冻食材），遵循少量多次的原则。 </w:t>
      </w:r>
    </w:p>
    <w:p>
      <w:pPr>
        <w:pStyle w:val="164"/>
      </w:pPr>
      <w:r>
        <w:rPr>
          <w:rFonts w:hint="eastAsia"/>
        </w:rPr>
        <w:t>连锁餐饮企业宜采用中央厨房半成品统一配送，减少门店加工环节，降低产品损益。</w:t>
      </w:r>
    </w:p>
    <w:p>
      <w:pPr>
        <w:pStyle w:val="164"/>
      </w:pPr>
      <w:r>
        <w:rPr>
          <w:rFonts w:hint="eastAsia"/>
        </w:rPr>
        <w:t>优化切配工具和流程，减少粗加工过程</w:t>
      </w:r>
      <w:r>
        <w:rPr>
          <w:rFonts w:hint="eastAsia"/>
          <w:lang w:eastAsia="zh-CN"/>
        </w:rPr>
        <w:t>中</w:t>
      </w:r>
      <w:r>
        <w:rPr>
          <w:rFonts w:hint="eastAsia"/>
        </w:rPr>
        <w:t>食材浪费。</w:t>
      </w:r>
    </w:p>
    <w:p>
      <w:pPr>
        <w:pStyle w:val="164"/>
      </w:pPr>
      <w:r>
        <w:rPr>
          <w:rFonts w:hint="eastAsia"/>
        </w:rPr>
        <w:t>做好食材粗加工厨余垃圾统计，计算每日食材总重量、厨余垃圾重量、损耗比例。</w:t>
      </w:r>
    </w:p>
    <w:p>
      <w:pPr>
        <w:pStyle w:val="65"/>
        <w:spacing w:before="156" w:after="156"/>
      </w:pPr>
      <w:r>
        <w:rPr>
          <w:rFonts w:hint="eastAsia"/>
        </w:rPr>
        <w:t>烹饪</w:t>
      </w:r>
    </w:p>
    <w:p>
      <w:pPr>
        <w:pStyle w:val="164"/>
      </w:pPr>
      <w:r>
        <w:rPr>
          <w:rFonts w:hint="eastAsia"/>
        </w:rPr>
        <w:t>充分利用食材，提高食材利用率，推广一料多菜、一菜多味，对蔬菜根、茎、叶等边角余料进行充分利用，可加工制作为风味小菜、面食混搭风味主食等主副食品种。</w:t>
      </w:r>
    </w:p>
    <w:p>
      <w:pPr>
        <w:pStyle w:val="164"/>
      </w:pPr>
      <w:r>
        <w:rPr>
          <w:rFonts w:hint="eastAsia"/>
        </w:rPr>
        <w:t>合理加工制作，遵守生产加工环节的《餐饮服务食品安全操作规范》及工作流程，避免因加工、烹饪环节操作不当而导致食品安全和浪费问题。</w:t>
      </w:r>
    </w:p>
    <w:p>
      <w:pPr>
        <w:pStyle w:val="164"/>
      </w:pPr>
      <w:r>
        <w:rPr>
          <w:rFonts w:hint="eastAsia"/>
        </w:rPr>
        <w:t>坚持低油、低脂、低糖、低盐的健康饮食。</w:t>
      </w:r>
    </w:p>
    <w:p>
      <w:pPr>
        <w:pStyle w:val="105"/>
        <w:spacing w:before="156" w:after="156"/>
      </w:pPr>
      <w:r>
        <w:rPr>
          <w:rFonts w:hint="eastAsia"/>
        </w:rPr>
        <w:t xml:space="preserve">点餐 </w:t>
      </w:r>
    </w:p>
    <w:p>
      <w:pPr>
        <w:pStyle w:val="165"/>
      </w:pPr>
      <w:r>
        <w:rPr>
          <w:rFonts w:hint="eastAsia"/>
        </w:rPr>
        <w:t>餐饮服务单位的预订员、服务员在接待宾客订餐过程中，应详细介绍本单位菜品特色和菜品规格，了解就餐人数和需求，引导消费者适量、适度点菜。</w:t>
      </w:r>
    </w:p>
    <w:p>
      <w:pPr>
        <w:pStyle w:val="165"/>
      </w:pPr>
      <w:r>
        <w:rPr>
          <w:rFonts w:hint="eastAsia"/>
        </w:rPr>
        <w:t>设置明档点菜的餐饮服务单位，消费者可以根据自身需求进行点餐，不得诱导、误导消费者超量点餐。</w:t>
      </w:r>
    </w:p>
    <w:p>
      <w:pPr>
        <w:pStyle w:val="165"/>
      </w:pPr>
      <w:r>
        <w:rPr>
          <w:rFonts w:hint="eastAsia"/>
        </w:rPr>
        <w:t>餐饮服务单位应提示消费者理性消费，引导消费者形成从追求菜品数量到讲究菜品</w:t>
      </w:r>
      <w:r>
        <w:rPr>
          <w:rFonts w:hint="eastAsia"/>
          <w:lang w:eastAsia="zh-CN"/>
        </w:rPr>
        <w:t>质量</w:t>
      </w:r>
      <w:r>
        <w:rPr>
          <w:rFonts w:hint="eastAsia"/>
        </w:rPr>
        <w:t>、吃饱吃好理念的转变。</w:t>
      </w:r>
    </w:p>
    <w:p>
      <w:pPr>
        <w:pStyle w:val="165"/>
      </w:pPr>
      <w:r>
        <w:rPr>
          <w:rFonts w:hint="eastAsia"/>
        </w:rPr>
        <w:t>团体用餐，签订团体用餐协议，双方在协议中承诺不铺张浪费，文明、节俭举办宴席等内容。</w:t>
      </w:r>
    </w:p>
    <w:p>
      <w:pPr>
        <w:pStyle w:val="165"/>
      </w:pPr>
      <w:r>
        <w:rPr>
          <w:rFonts w:hint="eastAsia"/>
        </w:rPr>
        <w:t>餐饮服务单位的外卖平台应依据GB/T 40041的要求，通过平台大数据和智能算法，精准匹配消费者需求，引导消费者精准点餐，主动提示消费者适量点餐，减少浪费，主餐应分规格供消费者选择。</w:t>
      </w:r>
    </w:p>
    <w:p>
      <w:pPr>
        <w:pStyle w:val="105"/>
        <w:spacing w:before="156" w:after="156"/>
      </w:pPr>
      <w:r>
        <w:rPr>
          <w:rFonts w:hint="eastAsia"/>
        </w:rPr>
        <w:t>用餐</w:t>
      </w:r>
    </w:p>
    <w:p>
      <w:pPr>
        <w:pStyle w:val="165"/>
      </w:pPr>
      <w:r>
        <w:rPr>
          <w:rFonts w:hint="eastAsia"/>
        </w:rPr>
        <w:t>餐饮服务单位应提供绿色环保可循环利用的餐具。应配置公勺公筷，并提醒宾客正确使用公勺公筷和加强餐中服务。</w:t>
      </w:r>
    </w:p>
    <w:p>
      <w:pPr>
        <w:pStyle w:val="165"/>
      </w:pPr>
      <w:r>
        <w:rPr>
          <w:rFonts w:hint="eastAsia"/>
        </w:rPr>
        <w:t>宜提示消费者按需取用餐纸，节约用纸。</w:t>
      </w:r>
    </w:p>
    <w:p>
      <w:pPr>
        <w:pStyle w:val="165"/>
      </w:pPr>
      <w:r>
        <w:rPr>
          <w:rFonts w:hint="eastAsia"/>
        </w:rPr>
        <w:t>提供自助餐服务时，应主动提醒消费者勤拿少取，宜在显著位置设置提示或主动告知消费者自助餐浪费的处理规定和措施。</w:t>
      </w:r>
    </w:p>
    <w:p>
      <w:pPr>
        <w:pStyle w:val="165"/>
      </w:pPr>
      <w:r>
        <w:rPr>
          <w:rFonts w:hint="eastAsia"/>
        </w:rPr>
        <w:t>宜在大型宴会时，合理控制上菜频率，及时撤下空盘，提高消费者食用舒适度</w:t>
      </w:r>
      <w:r>
        <w:rPr>
          <w:rFonts w:hint="eastAsia"/>
          <w:lang w:eastAsia="zh-CN"/>
        </w:rPr>
        <w:t>，</w:t>
      </w:r>
      <w:r>
        <w:rPr>
          <w:rFonts w:hint="eastAsia"/>
        </w:rPr>
        <w:t>同时减少浪费。</w:t>
      </w:r>
    </w:p>
    <w:p>
      <w:pPr>
        <w:pStyle w:val="165"/>
      </w:pPr>
      <w:r>
        <w:rPr>
          <w:rFonts w:hint="eastAsia"/>
        </w:rPr>
        <w:t>宜提供分餐服务，可按照GB/T 39002</w:t>
      </w:r>
      <w:r>
        <w:rPr>
          <w:rFonts w:hint="eastAsia"/>
          <w:lang w:eastAsia="zh-CN"/>
        </w:rPr>
        <w:t>的规定执行</w:t>
      </w:r>
      <w:r>
        <w:rPr>
          <w:rFonts w:hint="eastAsia"/>
        </w:rPr>
        <w:t>。</w:t>
      </w:r>
    </w:p>
    <w:p>
      <w:pPr>
        <w:pStyle w:val="105"/>
        <w:spacing w:before="156" w:after="156"/>
      </w:pPr>
      <w:r>
        <w:rPr>
          <w:rFonts w:hint="eastAsia"/>
        </w:rPr>
        <w:t>打包</w:t>
      </w:r>
    </w:p>
    <w:p>
      <w:pPr>
        <w:pStyle w:val="165"/>
      </w:pPr>
      <w:r>
        <w:rPr>
          <w:rFonts w:hint="eastAsia"/>
        </w:rPr>
        <w:t>餐饮服务单位提供打包服务，打包服务管理可按照SB/T 11070</w:t>
      </w:r>
      <w:r>
        <w:rPr>
          <w:rFonts w:hint="eastAsia"/>
          <w:lang w:eastAsia="zh-CN"/>
        </w:rPr>
        <w:t>的规定执行</w:t>
      </w:r>
      <w:r>
        <w:rPr>
          <w:rFonts w:hint="eastAsia"/>
        </w:rPr>
        <w:t>。</w:t>
      </w:r>
    </w:p>
    <w:p>
      <w:pPr>
        <w:pStyle w:val="165"/>
      </w:pPr>
      <w:r>
        <w:rPr>
          <w:rFonts w:hint="eastAsia"/>
        </w:rPr>
        <w:t>餐饮服务单位应配备绿色环保的打包餐（饮）具，避免过度使用打包餐（饮）具。打包餐盒应符合GB/T 18006.1的规定。</w:t>
      </w:r>
    </w:p>
    <w:p>
      <w:pPr>
        <w:pStyle w:val="165"/>
      </w:pPr>
      <w:r>
        <w:rPr>
          <w:rFonts w:hint="eastAsia"/>
        </w:rPr>
        <w:t>服务人员提醒消费者对餐后剩余饭菜打包带回，按照干湿分离、冷热分离、生疏分离的原则对剩余食品进行打包，不影响再次使用的，宜合并打包，打包服务时应使用公勺公筷。</w:t>
      </w:r>
    </w:p>
    <w:p>
      <w:pPr>
        <w:pStyle w:val="165"/>
      </w:pPr>
      <w:r>
        <w:rPr>
          <w:rFonts w:hint="eastAsia"/>
        </w:rPr>
        <w:t>打包后宜提示消费者，打包食品的储存条件和食用要求。</w:t>
      </w:r>
    </w:p>
    <w:p>
      <w:pPr>
        <w:pStyle w:val="104"/>
        <w:spacing w:before="312" w:after="312"/>
      </w:pPr>
      <w:r>
        <w:rPr>
          <w:rFonts w:hint="eastAsia"/>
        </w:rPr>
        <w:t>员工培训</w:t>
      </w:r>
    </w:p>
    <w:p>
      <w:pPr>
        <w:pStyle w:val="162"/>
      </w:pPr>
      <w:r>
        <w:rPr>
          <w:rFonts w:hint="eastAsia"/>
        </w:rPr>
        <w:t>餐饮服务单位应对从业人员开展每年至少一次的餐饮节约培训。当餐饮节约相关法规和管理制度更新时，应及时开展培训。</w:t>
      </w:r>
    </w:p>
    <w:p>
      <w:pPr>
        <w:pStyle w:val="162"/>
      </w:pPr>
      <w:r>
        <w:rPr>
          <w:rFonts w:hint="eastAsia"/>
        </w:rPr>
        <w:t>培训内容应包括餐饮节约法规相关要求、相关岗位餐饮节约知识与技能、出现食品浪费时的处理要求。</w:t>
      </w:r>
    </w:p>
    <w:p>
      <w:pPr>
        <w:pStyle w:val="162"/>
      </w:pPr>
      <w:r>
        <w:rPr>
          <w:rFonts w:hint="eastAsia"/>
        </w:rPr>
        <w:t>培训宜采用专题讲座、实际操作、直播授课等方式。</w:t>
      </w:r>
    </w:p>
    <w:p>
      <w:pPr>
        <w:pStyle w:val="162"/>
      </w:pPr>
      <w:r>
        <w:rPr>
          <w:rFonts w:hint="eastAsia"/>
        </w:rPr>
        <w:t>餐饮服务单位应记录培训的完整信息，并保存记录。</w:t>
      </w:r>
    </w:p>
    <w:p>
      <w:pPr>
        <w:pStyle w:val="104"/>
        <w:spacing w:before="312" w:after="312"/>
      </w:pPr>
      <w:r>
        <w:rPr>
          <w:rFonts w:hint="eastAsia"/>
        </w:rPr>
        <w:t>监督、评价与改进</w:t>
      </w:r>
    </w:p>
    <w:p>
      <w:pPr>
        <w:pStyle w:val="105"/>
        <w:spacing w:before="156" w:after="156"/>
      </w:pPr>
      <w:r>
        <w:rPr>
          <w:rFonts w:hint="eastAsia"/>
        </w:rPr>
        <w:t>监督</w:t>
      </w:r>
    </w:p>
    <w:p>
      <w:pPr>
        <w:pStyle w:val="56"/>
        <w:ind w:firstLine="420"/>
      </w:pPr>
      <w:r>
        <w:rPr>
          <w:rFonts w:hint="eastAsia"/>
        </w:rPr>
        <w:t>应建立完善的监督检查机制，自觉接受监管部门监督，可采取内部监督检查、第三方监督检查等多种监督检查形式，定期或不定期对餐饮服务单位的节约</w:t>
      </w:r>
      <w:r>
        <w:rPr>
          <w:rFonts w:hint="eastAsia"/>
          <w:lang w:eastAsia="zh-CN"/>
        </w:rPr>
        <w:t>管理</w:t>
      </w:r>
      <w:r>
        <w:rPr>
          <w:rFonts w:hint="eastAsia"/>
        </w:rPr>
        <w:t>情况进行监督检查。</w:t>
      </w:r>
    </w:p>
    <w:p>
      <w:pPr>
        <w:pStyle w:val="105"/>
        <w:spacing w:before="156" w:after="156"/>
      </w:pPr>
      <w:r>
        <w:rPr>
          <w:rFonts w:hint="eastAsia"/>
        </w:rPr>
        <w:t>评价与改进</w:t>
      </w:r>
    </w:p>
    <w:p>
      <w:pPr>
        <w:pStyle w:val="165"/>
      </w:pPr>
      <w:r>
        <w:rPr>
          <w:rFonts w:hint="eastAsia"/>
        </w:rPr>
        <w:t>餐饮服务单位应每年/季度/月对其节约</w:t>
      </w:r>
      <w:r>
        <w:rPr>
          <w:rFonts w:hint="eastAsia"/>
          <w:lang w:eastAsia="zh-CN"/>
        </w:rPr>
        <w:t>管理</w:t>
      </w:r>
      <w:r>
        <w:rPr>
          <w:rFonts w:hint="eastAsia"/>
        </w:rPr>
        <w:t>情况进行汇总和综合评价。</w:t>
      </w:r>
    </w:p>
    <w:p>
      <w:pPr>
        <w:pStyle w:val="165"/>
      </w:pPr>
      <w:r>
        <w:rPr>
          <w:rFonts w:hint="eastAsia"/>
        </w:rPr>
        <w:t>在显著位置设立公众意见箱、留言本，公开监督电话，每年应定期开展不少于一次的群众满意度测评活动。</w:t>
      </w:r>
    </w:p>
    <w:p>
      <w:pPr>
        <w:pStyle w:val="165"/>
      </w:pPr>
      <w:r>
        <w:rPr>
          <w:rFonts w:hint="eastAsia"/>
        </w:rPr>
        <w:t>可自行或委托相关机构进行群众满意度调查，调查表发放量应≥100份，回收率应≥80%。</w:t>
      </w:r>
    </w:p>
    <w:p>
      <w:pPr>
        <w:pStyle w:val="165"/>
      </w:pPr>
      <w:r>
        <w:rPr>
          <w:rFonts w:hint="eastAsia"/>
        </w:rPr>
        <w:t>餐饮服务单位应对监督检查、评价过程中发现的问题，及时调查核实、制定纠正措施、落实整改和公正处理。</w:t>
      </w:r>
    </w:p>
    <w:p>
      <w:pPr>
        <w:pStyle w:val="165"/>
      </w:pPr>
      <w:r>
        <w:rPr>
          <w:rFonts w:hint="eastAsia"/>
        </w:rPr>
        <w:t>应建立投诉处理机制，对接到投诉事件及时核实，并反馈至餐饮服务单位相关部门进行落实、整改。</w:t>
      </w:r>
    </w:p>
    <w:p>
      <w:pPr>
        <w:pStyle w:val="165"/>
      </w:pPr>
      <w:r>
        <w:rPr>
          <w:rFonts w:hint="eastAsia"/>
        </w:rPr>
        <w:t>如实记录监督检查、公众意见或投诉事项及内容，及时处理和反馈，持续改进。</w:t>
      </w:r>
    </w:p>
    <w:p>
      <w:pPr>
        <w:pStyle w:val="165"/>
        <w:numPr>
          <w:ilvl w:val="3"/>
          <w:numId w:val="0"/>
        </w:numPr>
      </w:pPr>
    </w:p>
    <w:bookmarkEnd w:id="37"/>
    <w:p>
      <w:pPr>
        <w:pStyle w:val="165"/>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bookmarkStart w:id="44" w:name="BookMark6"/>
    </w:p>
    <w:p>
      <w:pPr>
        <w:pStyle w:val="63"/>
        <w:spacing w:after="156"/>
      </w:pPr>
      <w:r>
        <w:rPr>
          <w:rFonts w:hint="eastAsia"/>
          <w:spacing w:val="105"/>
        </w:rPr>
        <w:t>参考文</w:t>
      </w:r>
      <w:r>
        <w:rPr>
          <w:rFonts w:hint="eastAsia"/>
        </w:rPr>
        <w:t>献</w:t>
      </w:r>
    </w:p>
    <w:p>
      <w:pPr>
        <w:pStyle w:val="56"/>
        <w:numPr>
          <w:ilvl w:val="0"/>
          <w:numId w:val="32"/>
        </w:numPr>
        <w:ind w:firstLine="420"/>
        <w:rPr>
          <w:rFonts w:hAnsi="宋体"/>
        </w:rPr>
      </w:pPr>
      <w:r>
        <w:rPr>
          <w:rFonts w:hint="eastAsia" w:hAnsi="宋体"/>
        </w:rPr>
        <w:t>GB 31654 食品安全国家标准 餐饮服务通用卫生规范</w:t>
      </w:r>
    </w:p>
    <w:p>
      <w:pPr>
        <w:pStyle w:val="56"/>
        <w:numPr>
          <w:ilvl w:val="0"/>
          <w:numId w:val="32"/>
        </w:numPr>
        <w:ind w:firstLine="420"/>
        <w:rPr>
          <w:rFonts w:hAnsi="宋体"/>
        </w:rPr>
      </w:pPr>
      <w:r>
        <w:rPr>
          <w:rFonts w:hint="eastAsia" w:hAnsi="宋体"/>
        </w:rPr>
        <w:t>GB/T 40042 绿色餐饮经营与管理</w:t>
      </w:r>
    </w:p>
    <w:p>
      <w:pPr>
        <w:pStyle w:val="56"/>
        <w:numPr>
          <w:ilvl w:val="0"/>
          <w:numId w:val="32"/>
        </w:numPr>
        <w:ind w:firstLine="420"/>
      </w:pPr>
      <w:r>
        <w:rPr>
          <w:rFonts w:hint="eastAsia" w:hAnsi="宋体"/>
        </w:rPr>
        <w:t>GB/T 42966 餐饮业反食品浪费管理通则</w:t>
      </w:r>
    </w:p>
    <w:p>
      <w:pPr>
        <w:pStyle w:val="56"/>
        <w:numPr>
          <w:ilvl w:val="0"/>
          <w:numId w:val="32"/>
        </w:numPr>
        <w:ind w:firstLine="420"/>
      </w:pPr>
      <w:r>
        <w:rPr>
          <w:rFonts w:hint="eastAsia" w:hAnsi="宋体"/>
        </w:rPr>
        <w:t>SB/T 10580 餐饮业现场管理规范</w:t>
      </w:r>
    </w:p>
    <w:p>
      <w:pPr>
        <w:pStyle w:val="56"/>
        <w:numPr>
          <w:ilvl w:val="0"/>
          <w:numId w:val="32"/>
        </w:numPr>
        <w:ind w:firstLine="420"/>
      </w:pPr>
      <w:r>
        <w:rPr>
          <w:rFonts w:hint="eastAsia" w:hAnsi="宋体"/>
        </w:rPr>
        <w:t>SB/T 11046 建设节约型餐饮企业规范</w:t>
      </w:r>
    </w:p>
    <w:p>
      <w:pPr>
        <w:pStyle w:val="56"/>
        <w:numPr>
          <w:ilvl w:val="0"/>
          <w:numId w:val="32"/>
        </w:numPr>
        <w:ind w:firstLine="420"/>
      </w:pPr>
      <w:r>
        <w:rPr>
          <w:rFonts w:hint="eastAsia" w:hAnsi="宋体"/>
        </w:rPr>
        <w:t>DB34/T 4419 节约餐饮经营管理规范</w:t>
      </w:r>
    </w:p>
    <w:p>
      <w:pPr>
        <w:pStyle w:val="56"/>
        <w:numPr>
          <w:ilvl w:val="0"/>
          <w:numId w:val="32"/>
        </w:numPr>
        <w:ind w:firstLine="420"/>
      </w:pPr>
      <w:r>
        <w:rPr>
          <w:rFonts w:hint="eastAsia" w:hAnsi="宋体"/>
          <w:lang w:eastAsia="zh-CN"/>
        </w:rPr>
        <w:t>《</w:t>
      </w:r>
      <w:r>
        <w:rPr>
          <w:rFonts w:hint="eastAsia" w:hAnsi="宋体"/>
        </w:rPr>
        <w:t>中华人民共和国食品安全法</w:t>
      </w:r>
      <w:r>
        <w:rPr>
          <w:rFonts w:hint="eastAsia" w:hAnsi="宋体"/>
          <w:lang w:eastAsia="zh-CN"/>
        </w:rPr>
        <w:t>》（</w:t>
      </w:r>
      <w:r>
        <w:rPr>
          <w:rFonts w:hint="eastAsia" w:hAnsi="宋体"/>
        </w:rPr>
        <w:t>全国人民代表大会常务委员</w:t>
      </w:r>
      <w:bookmarkStart w:id="46" w:name="_GoBack"/>
      <w:bookmarkEnd w:id="46"/>
      <w:r>
        <w:rPr>
          <w:rFonts w:hint="eastAsia" w:hAnsi="宋体"/>
        </w:rPr>
        <w:t>会</w:t>
      </w:r>
      <w:r>
        <w:rPr>
          <w:rFonts w:hint="eastAsia" w:hAnsi="宋体"/>
          <w:lang w:val="en-US" w:eastAsia="zh-CN"/>
        </w:rPr>
        <w:t xml:space="preserve"> </w:t>
      </w:r>
      <w:r>
        <w:rPr>
          <w:rFonts w:hint="eastAsia" w:hAnsi="宋体"/>
        </w:rPr>
        <w:t>2021年4月29日</w:t>
      </w:r>
      <w:r>
        <w:rPr>
          <w:rFonts w:hint="eastAsia" w:hAnsi="宋体"/>
          <w:lang w:eastAsia="zh-CN"/>
        </w:rPr>
        <w:t>）</w:t>
      </w:r>
    </w:p>
    <w:bookmarkEnd w:id="44"/>
    <w:p>
      <w:pPr>
        <w:pStyle w:val="56"/>
        <w:ind w:firstLine="0" w:firstLineChars="0"/>
        <w:jc w:val="center"/>
      </w:pPr>
      <w:bookmarkStart w:id="45"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1485900" cy="317500"/>
                    </a:xfrm>
                    <a:prstGeom prst="rect">
                      <a:avLst/>
                    </a:prstGeom>
                  </pic:spPr>
                </pic:pic>
              </a:graphicData>
            </a:graphic>
          </wp:inline>
        </w:drawing>
      </w:r>
      <w:bookmarkEnd w:id="21"/>
      <w:bookmarkEnd w:id="4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5410D4D"/>
    <w:multiLevelType w:val="multilevel"/>
    <w:tmpl w:val="75410D4D"/>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KPdpiFiU0B2V/qUyb3xBVdZycIw=" w:salt="CD1TsOpeatmGtLk1AXpPV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M2MxZDg0NTA0OGVhNWQ5NmEyMTcxNGEwOGM5ZTAifQ=="/>
  </w:docVars>
  <w:rsids>
    <w:rsidRoot w:val="00620C7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E67"/>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81A"/>
    <w:rsid w:val="001852C9"/>
    <w:rsid w:val="00190087"/>
    <w:rsid w:val="001913C4"/>
    <w:rsid w:val="0019348F"/>
    <w:rsid w:val="00193A07"/>
    <w:rsid w:val="00194C95"/>
    <w:rsid w:val="00195C34"/>
    <w:rsid w:val="00196EF5"/>
    <w:rsid w:val="001A1A53"/>
    <w:rsid w:val="001A234A"/>
    <w:rsid w:val="001A3E44"/>
    <w:rsid w:val="001A4CF3"/>
    <w:rsid w:val="001B06E8"/>
    <w:rsid w:val="001B71D0"/>
    <w:rsid w:val="001B71EE"/>
    <w:rsid w:val="001C04A8"/>
    <w:rsid w:val="001C2C03"/>
    <w:rsid w:val="001C3CEF"/>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D0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CD2"/>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280"/>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7CA1"/>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79B"/>
    <w:rsid w:val="00432DAA"/>
    <w:rsid w:val="00434305"/>
    <w:rsid w:val="00435DF7"/>
    <w:rsid w:val="0044083F"/>
    <w:rsid w:val="00441AE7"/>
    <w:rsid w:val="00445574"/>
    <w:rsid w:val="004467FB"/>
    <w:rsid w:val="00452D6B"/>
    <w:rsid w:val="004541B3"/>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2D0B"/>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3F42"/>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BF4"/>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BB2"/>
    <w:rsid w:val="006015CE"/>
    <w:rsid w:val="00604784"/>
    <w:rsid w:val="00606419"/>
    <w:rsid w:val="00607D29"/>
    <w:rsid w:val="00612952"/>
    <w:rsid w:val="00614CC1"/>
    <w:rsid w:val="00615A9D"/>
    <w:rsid w:val="00617387"/>
    <w:rsid w:val="006205D6"/>
    <w:rsid w:val="00620C7C"/>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2D4"/>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A8A"/>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77F"/>
    <w:rsid w:val="00A129D0"/>
    <w:rsid w:val="00A12C33"/>
    <w:rsid w:val="00A138BA"/>
    <w:rsid w:val="00A14C8E"/>
    <w:rsid w:val="00A153D9"/>
    <w:rsid w:val="00A15F09"/>
    <w:rsid w:val="00A169B6"/>
    <w:rsid w:val="00A2271D"/>
    <w:rsid w:val="00A237D5"/>
    <w:rsid w:val="00A24E02"/>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1DE"/>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272"/>
    <w:rsid w:val="00AE070A"/>
    <w:rsid w:val="00AE101C"/>
    <w:rsid w:val="00AE37E5"/>
    <w:rsid w:val="00AE5EB4"/>
    <w:rsid w:val="00AF0C18"/>
    <w:rsid w:val="00AF47C5"/>
    <w:rsid w:val="00AF5398"/>
    <w:rsid w:val="00B024E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5CCF"/>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CB8"/>
    <w:rsid w:val="00C55D03"/>
    <w:rsid w:val="00C601BC"/>
    <w:rsid w:val="00C6329F"/>
    <w:rsid w:val="00C63340"/>
    <w:rsid w:val="00C643F9"/>
    <w:rsid w:val="00C64E95"/>
    <w:rsid w:val="00C71372"/>
    <w:rsid w:val="00C72410"/>
    <w:rsid w:val="00C7287F"/>
    <w:rsid w:val="00C743ED"/>
    <w:rsid w:val="00C80982"/>
    <w:rsid w:val="00C80CB8"/>
    <w:rsid w:val="00C819F8"/>
    <w:rsid w:val="00C8248C"/>
    <w:rsid w:val="00C84E33"/>
    <w:rsid w:val="00C86D6F"/>
    <w:rsid w:val="00C905FC"/>
    <w:rsid w:val="00C92D03"/>
    <w:rsid w:val="00C9319C"/>
    <w:rsid w:val="00C93856"/>
    <w:rsid w:val="00C9435D"/>
    <w:rsid w:val="00C94DF2"/>
    <w:rsid w:val="00C96741"/>
    <w:rsid w:val="00CA2D1B"/>
    <w:rsid w:val="00CA375D"/>
    <w:rsid w:val="00CA662A"/>
    <w:rsid w:val="00CA7AFD"/>
    <w:rsid w:val="00CA7C3C"/>
    <w:rsid w:val="00CB0189"/>
    <w:rsid w:val="00CB0BA2"/>
    <w:rsid w:val="00CB1A42"/>
    <w:rsid w:val="00CB1B0C"/>
    <w:rsid w:val="00CB2C0B"/>
    <w:rsid w:val="00CB2CA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B2E"/>
    <w:rsid w:val="00D71F25"/>
    <w:rsid w:val="00D72A9C"/>
    <w:rsid w:val="00D77031"/>
    <w:rsid w:val="00D84941"/>
    <w:rsid w:val="00D84FA1"/>
    <w:rsid w:val="00D851F0"/>
    <w:rsid w:val="00D86DB7"/>
    <w:rsid w:val="00D926D0"/>
    <w:rsid w:val="00D93030"/>
    <w:rsid w:val="00D950E1"/>
    <w:rsid w:val="00D952A6"/>
    <w:rsid w:val="00D95CB4"/>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415"/>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B54"/>
    <w:rsid w:val="00EB74DB"/>
    <w:rsid w:val="00EC5359"/>
    <w:rsid w:val="00EC562A"/>
    <w:rsid w:val="00ED067A"/>
    <w:rsid w:val="00ED2B50"/>
    <w:rsid w:val="00EE0350"/>
    <w:rsid w:val="00EE0719"/>
    <w:rsid w:val="00EE0788"/>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1E0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428"/>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160126"/>
    <w:rsid w:val="07126147"/>
    <w:rsid w:val="082D55AC"/>
    <w:rsid w:val="08D61E31"/>
    <w:rsid w:val="0E506ABE"/>
    <w:rsid w:val="178D6ED4"/>
    <w:rsid w:val="192F6D69"/>
    <w:rsid w:val="1BC20F73"/>
    <w:rsid w:val="27990853"/>
    <w:rsid w:val="27A2451E"/>
    <w:rsid w:val="29253660"/>
    <w:rsid w:val="303A25B7"/>
    <w:rsid w:val="379A3C68"/>
    <w:rsid w:val="3C0F1725"/>
    <w:rsid w:val="3F301756"/>
    <w:rsid w:val="43726A5D"/>
    <w:rsid w:val="48FC2C34"/>
    <w:rsid w:val="4E07148E"/>
    <w:rsid w:val="50617968"/>
    <w:rsid w:val="519A049A"/>
    <w:rsid w:val="54EB4BF1"/>
    <w:rsid w:val="5F1059E9"/>
    <w:rsid w:val="620C6AD0"/>
    <w:rsid w:val="6D164DB6"/>
    <w:rsid w:val="6E285655"/>
    <w:rsid w:val="72D66826"/>
    <w:rsid w:val="77702943"/>
    <w:rsid w:val="7A1D3B99"/>
    <w:rsid w:val="7CB24380"/>
    <w:rsid w:val="7D724CDA"/>
    <w:rsid w:val="7E254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51E40BA58E24FE8BCA7B93AA9340783"/>
        <w:style w:val=""/>
        <w:category>
          <w:name w:val="常规"/>
          <w:gallery w:val="placeholder"/>
        </w:category>
        <w:types>
          <w:type w:val="bbPlcHdr"/>
        </w:types>
        <w:behaviors>
          <w:behavior w:val="content"/>
        </w:behaviors>
        <w:description w:val=""/>
        <w:guid w:val="{FA55047C-D79D-4815-A1BA-E3783B944FAD}"/>
      </w:docPartPr>
      <w:docPartBody>
        <w:p>
          <w:pPr>
            <w:pStyle w:val="5"/>
          </w:pPr>
          <w:r>
            <w:rPr>
              <w:rStyle w:val="4"/>
              <w:rFonts w:hint="eastAsia"/>
            </w:rPr>
            <w:t>单击或点击此处输入文字。</w:t>
          </w:r>
        </w:p>
      </w:docPartBody>
    </w:docPart>
    <w:docPart>
      <w:docPartPr>
        <w:name w:val="{e000f7fb-9593-4cd1-9ea1-de32a6530ae4}"/>
        <w:style w:val=""/>
        <w:category>
          <w:name w:val="常规"/>
          <w:gallery w:val="placeholder"/>
        </w:category>
        <w:types>
          <w:type w:val="bbPlcHdr"/>
        </w:types>
        <w:behaviors>
          <w:behavior w:val="content"/>
        </w:behaviors>
        <w:description w:val=""/>
        <w:guid w:val="{E000F7FB-9593-4CD1-9EA1-DE32A6530AE4}"/>
      </w:docPartPr>
      <w:docPartBody>
        <w:p>
          <w:pPr>
            <w:pStyle w:val="8"/>
          </w:pPr>
          <w:r>
            <w:rPr>
              <w:rStyle w:val="4"/>
              <w:rFonts w:hint="eastAsia"/>
            </w:rPr>
            <w:t>选择一项。</w:t>
          </w:r>
        </w:p>
      </w:docPartBody>
    </w:docPart>
    <w:docPart>
      <w:docPartPr>
        <w:name w:val="{29f218f5-4057-4544-8b0c-6b7d2caf5b64}"/>
        <w:style w:val=""/>
        <w:category>
          <w:name w:val="常规"/>
          <w:gallery w:val="placeholder"/>
        </w:category>
        <w:types>
          <w:type w:val="bbPlcHdr"/>
        </w:types>
        <w:behaviors>
          <w:behavior w:val="content"/>
        </w:behaviors>
        <w:description w:val=""/>
        <w:guid w:val="{29F218F5-4057-4544-8B0C-6B7D2CAF5B64}"/>
      </w:docPartPr>
      <w:docPartBody>
        <w:p>
          <w:pPr>
            <w:pStyle w:val="9"/>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27A"/>
    <w:rsid w:val="001A3ADE"/>
    <w:rsid w:val="001F547F"/>
    <w:rsid w:val="00261281"/>
    <w:rsid w:val="003A3C96"/>
    <w:rsid w:val="00582E8F"/>
    <w:rsid w:val="006F0032"/>
    <w:rsid w:val="00765E27"/>
    <w:rsid w:val="007B3A2A"/>
    <w:rsid w:val="00A00EDB"/>
    <w:rsid w:val="00AB7EC0"/>
    <w:rsid w:val="00B53756"/>
    <w:rsid w:val="00B5427A"/>
    <w:rsid w:val="00CE4CFC"/>
    <w:rsid w:val="00D40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D51E40BA58E24FE8BCA7B93AA934078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30DBBAFAD5746CF93823D35B3338AA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81E22A8EFED41BAAB364369528E5F9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233EF2A4AA7B4A4BA5E2A4A6D1B2F2C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8175751D79804D07B44D562C60007C1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BB0E2-8654-45F4-8D65-A61D38797829}">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3406</Words>
  <Characters>3646</Characters>
  <Lines>29</Lines>
  <Paragraphs>8</Paragraphs>
  <TotalTime>1</TotalTime>
  <ScaleCrop>false</ScaleCrop>
  <LinksUpToDate>false</LinksUpToDate>
  <CharactersWithSpaces>3718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2023-08-08T06:59:00Z</dcterms:created>
  <dc:creator>微软用户</dc:creator>
  <dc:description>&lt;config cover="true" show_menu="true" version="1.0.0" doctype="SDKXY"&gt;_x000d_
&lt;/config&gt;</dc:description>
  <cp:lastModifiedBy>。。。。</cp:lastModifiedBy>
  <cp:lastPrinted>2024-04-02T06:39:23Z</cp:lastPrinted>
  <dcterms:modified xsi:type="dcterms:W3CDTF">2024-04-02T08:22:43Z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3E942BBB5B0C4D1EB55C657D2C15BF9D_12</vt:lpwstr>
  </property>
</Properties>
</file>