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03.100</w:t>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00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学校食堂</w:t>
      </w:r>
      <w:r>
        <w:rPr>
          <w:rFonts w:hint="eastAsia"/>
        </w:rPr>
        <w:t>有害生物防治管理规范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School canteen pest control management code</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46" w:name="_GoBack"/>
      <w:bookmarkEnd w:id="46"/>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468"/>
      </w:pPr>
      <w:bookmarkStart w:id="21" w:name="BookMark2"/>
      <w:r>
        <w:rPr>
          <w:spacing w:val="320"/>
        </w:rPr>
        <w:t>前</w:t>
      </w:r>
      <w:r>
        <w:t>言</w:t>
      </w:r>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本文件由安徽省市场监督管理局提出并归口。</w:t>
      </w:r>
    </w:p>
    <w:p>
      <w:pPr>
        <w:pStyle w:val="56"/>
        <w:ind w:firstLine="420"/>
      </w:pPr>
      <w:r>
        <w:rPr>
          <w:rFonts w:hint="eastAsia"/>
        </w:rPr>
        <w:t>本文件起草单位：。</w:t>
      </w:r>
    </w:p>
    <w:p>
      <w:pPr>
        <w:pStyle w:val="56"/>
        <w:ind w:firstLine="420"/>
      </w:pPr>
      <w:r>
        <w:rPr>
          <w:rFonts w:hint="eastAsia"/>
        </w:rPr>
        <w:t>本文件主要起草人：</w:t>
      </w:r>
    </w:p>
    <w:p>
      <w:pPr>
        <w:pStyle w:val="56"/>
        <w:ind w:firstLine="420"/>
      </w:pP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2F911CE196774707855A78E0512A3DD6"/>
        </w:placeholder>
      </w:sdtPr>
      <w:sdtContent>
        <w:p>
          <w:pPr>
            <w:pStyle w:val="177"/>
            <w:spacing w:before="3" w:beforeLines="1" w:after="686" w:afterLines="220"/>
          </w:pPr>
          <w:bookmarkStart w:id="23" w:name="NEW_STAND_NAME"/>
          <w:r>
            <w:rPr>
              <w:rFonts w:hint="eastAsia"/>
            </w:rPr>
            <w:t>学校食堂有害生物防治管理规范</w:t>
          </w:r>
        </w:p>
      </w:sdtContent>
    </w:sdt>
    <w:bookmarkEnd w:id="23"/>
    <w:p>
      <w:pPr>
        <w:pStyle w:val="104"/>
        <w:spacing w:before="312" w:after="312"/>
      </w:pPr>
      <w:bookmarkStart w:id="24" w:name="_Toc26648465"/>
      <w:bookmarkStart w:id="25" w:name="_Toc24884218"/>
      <w:bookmarkStart w:id="26" w:name="_Toc97191423"/>
      <w:bookmarkStart w:id="27" w:name="_Toc26718930"/>
      <w:bookmarkStart w:id="28" w:name="_Toc17233333"/>
      <w:bookmarkStart w:id="29" w:name="_Toc17233325"/>
      <w:bookmarkStart w:id="30" w:name="_Toc26986530"/>
      <w:bookmarkStart w:id="31" w:name="_Toc24884211"/>
      <w:bookmarkStart w:id="32" w:name="_Toc26986771"/>
      <w:r>
        <w:rPr>
          <w:rFonts w:hint="eastAsia"/>
        </w:rPr>
        <w:t>范围</w:t>
      </w:r>
      <w:bookmarkEnd w:id="24"/>
      <w:bookmarkEnd w:id="25"/>
      <w:bookmarkEnd w:id="26"/>
      <w:bookmarkEnd w:id="27"/>
      <w:bookmarkEnd w:id="28"/>
      <w:bookmarkEnd w:id="29"/>
      <w:bookmarkEnd w:id="30"/>
      <w:bookmarkEnd w:id="31"/>
      <w:bookmarkEnd w:id="32"/>
    </w:p>
    <w:p>
      <w:pPr>
        <w:pStyle w:val="56"/>
        <w:ind w:firstLine="420"/>
      </w:pPr>
      <w:bookmarkStart w:id="33" w:name="_Toc17233326"/>
      <w:bookmarkStart w:id="34" w:name="_Toc26648466"/>
      <w:bookmarkStart w:id="35" w:name="_Toc24884212"/>
      <w:bookmarkStart w:id="36" w:name="_Toc24884219"/>
      <w:bookmarkStart w:id="37" w:name="_Toc17233334"/>
      <w:r>
        <w:rPr>
          <w:rFonts w:hint="eastAsia"/>
        </w:rPr>
        <w:t>本文件规定了学校食堂有害生物的防治管理原则与职责、有害生物防治、防治管理控制、防治效果检查与评估。</w:t>
      </w:r>
    </w:p>
    <w:p>
      <w:pPr>
        <w:pStyle w:val="56"/>
        <w:ind w:firstLine="420"/>
      </w:pPr>
      <w:r>
        <w:rPr>
          <w:rFonts w:hint="eastAsia"/>
        </w:rPr>
        <w:t>本文件适用于学校食堂有害生物防治管理的工作指导。</w:t>
      </w:r>
    </w:p>
    <w:p>
      <w:pPr>
        <w:pStyle w:val="104"/>
        <w:spacing w:before="312" w:after="312"/>
      </w:pPr>
      <w:bookmarkStart w:id="38" w:name="_Toc97191424"/>
      <w:bookmarkStart w:id="39" w:name="_Toc26986531"/>
      <w:bookmarkStart w:id="40" w:name="_Toc26718931"/>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3603E08B58DD43019BFCDCFC8C205BE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GB/T 23795  病媒生物密度监测方法 蜚蠊</w:t>
      </w:r>
    </w:p>
    <w:p>
      <w:pPr>
        <w:pStyle w:val="56"/>
        <w:ind w:firstLine="420"/>
      </w:pPr>
      <w:r>
        <w:rPr>
          <w:rFonts w:hint="eastAsia"/>
        </w:rPr>
        <w:t>GB/T 23796  病媒生物密度监测方法 蝇类</w:t>
      </w:r>
    </w:p>
    <w:p>
      <w:pPr>
        <w:pStyle w:val="56"/>
        <w:ind w:firstLine="420"/>
      </w:pPr>
      <w:r>
        <w:rPr>
          <w:rFonts w:hint="eastAsia"/>
        </w:rPr>
        <w:t>GB/T 23798  病媒生物密度监测方法 鼠类</w:t>
      </w:r>
    </w:p>
    <w:p>
      <w:pPr>
        <w:pStyle w:val="56"/>
        <w:ind w:firstLine="420"/>
      </w:pPr>
      <w:r>
        <w:rPr>
          <w:rFonts w:hint="eastAsia"/>
        </w:rPr>
        <w:t>GB/T 27770  病媒生物密度控制水平 鼠类</w:t>
      </w:r>
    </w:p>
    <w:p>
      <w:pPr>
        <w:pStyle w:val="56"/>
        <w:ind w:firstLine="420"/>
      </w:pPr>
      <w:r>
        <w:rPr>
          <w:rFonts w:hint="eastAsia"/>
        </w:rPr>
        <w:t>GB/T 27772  病媒生物密度控制水平 蝇类</w:t>
      </w:r>
    </w:p>
    <w:p>
      <w:pPr>
        <w:pStyle w:val="56"/>
        <w:ind w:firstLine="420"/>
        <w:rPr>
          <w:rFonts w:hint="eastAsia"/>
        </w:rPr>
      </w:pPr>
      <w:r>
        <w:rPr>
          <w:rFonts w:hint="eastAsia"/>
        </w:rPr>
        <w:t>GB/T 27773  病媒生物密度控制水平 蜚蠊</w:t>
      </w:r>
    </w:p>
    <w:p>
      <w:pPr>
        <w:pStyle w:val="56"/>
        <w:ind w:firstLine="420"/>
        <w:rPr>
          <w:rFonts w:hint="eastAsia"/>
        </w:rPr>
      </w:pPr>
      <w:r>
        <w:rPr>
          <w:rFonts w:hint="eastAsia"/>
        </w:rPr>
        <w:t>病媒生物预防控制管理规定</w:t>
      </w:r>
    </w:p>
    <w:p>
      <w:pPr>
        <w:pStyle w:val="56"/>
        <w:ind w:firstLine="420"/>
        <w:rPr>
          <w:rFonts w:hint="eastAsia"/>
        </w:rPr>
      </w:pPr>
      <w:r>
        <w:rPr>
          <w:rFonts w:hint="eastAsia"/>
        </w:rPr>
        <w:t>集中用餐单位食堂防鼠八项措施</w:t>
      </w:r>
    </w:p>
    <w:p>
      <w:pPr>
        <w:pStyle w:val="104"/>
        <w:spacing w:before="312" w:after="312"/>
      </w:pPr>
      <w:bookmarkStart w:id="42" w:name="_Toc97191425"/>
      <w:r>
        <w:rPr>
          <w:rFonts w:hint="eastAsia"/>
          <w:szCs w:val="21"/>
        </w:rPr>
        <w:t>术语和定义</w:t>
      </w:r>
      <w:bookmarkEnd w:id="42"/>
    </w:p>
    <w:sdt>
      <w:sdtPr>
        <w:id w:val="-1909835108"/>
        <w:placeholder>
          <w:docPart w:val="EA1F5E074E7245C78543047FED55A29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3" w:name="_Toc26986532"/>
          <w:bookmarkEnd w:id="43"/>
          <w:r>
            <w:t>下列术语和定义适用于本文件。</w:t>
          </w:r>
        </w:p>
      </w:sdtContent>
    </w:sdt>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有害生物</w:t>
      </w:r>
      <w:r>
        <w:rPr>
          <w:rFonts w:hint="eastAsia" w:ascii="黑体" w:hAnsi="黑体" w:eastAsia="黑体"/>
          <w:lang w:val="en-US" w:eastAsia="zh-CN"/>
        </w:rPr>
        <w:t xml:space="preserve"> Harmful organisms</w:t>
      </w:r>
    </w:p>
    <w:p>
      <w:pPr>
        <w:pStyle w:val="56"/>
        <w:ind w:firstLine="420"/>
      </w:pPr>
      <w:r>
        <w:rPr>
          <w:rFonts w:hint="eastAsia"/>
        </w:rPr>
        <w:t>在一定条件下，对食品加工、生产经营过程中可能产生食品安全污染的生物，如鼠类、蟑螂、飞虫等。</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有害生物防治服务商</w:t>
      </w:r>
      <w:r>
        <w:rPr>
          <w:rFonts w:hint="eastAsia" w:ascii="黑体" w:hAnsi="黑体" w:eastAsia="黑体"/>
          <w:lang w:val="en-US" w:eastAsia="zh-CN"/>
        </w:rPr>
        <w:t xml:space="preserve"> Pest control service provider</w:t>
      </w:r>
    </w:p>
    <w:p>
      <w:pPr>
        <w:pStyle w:val="56"/>
        <w:ind w:firstLine="420"/>
      </w:pPr>
      <w:r>
        <w:rPr>
          <w:rFonts w:hint="eastAsia"/>
        </w:rPr>
        <w:t>经注册并取得有关资质，其员工持有有害生物防治员职业技能资格证和健康证明的专业单位或机构，以下简称“服务商”。</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鼠类痕迹</w:t>
      </w:r>
      <w:r>
        <w:rPr>
          <w:rFonts w:hint="eastAsia" w:ascii="黑体" w:hAnsi="黑体" w:eastAsia="黑体"/>
          <w:lang w:val="en-US" w:eastAsia="zh-CN"/>
        </w:rPr>
        <w:t xml:space="preserve"> Mouse marks</w:t>
      </w:r>
    </w:p>
    <w:p>
      <w:pPr>
        <w:pStyle w:val="56"/>
        <w:ind w:firstLine="420"/>
      </w:pPr>
      <w:r>
        <w:rPr>
          <w:rFonts w:hint="eastAsia"/>
        </w:rPr>
        <w:t>活鼠、鼠尸、鼠爪印、鼠粪、鼠咬痕、鼠道、鼠洞等鼠类活动留下的痕迹，以下简称“鼠迹”。</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蟑螂痕迹</w:t>
      </w:r>
      <w:r>
        <w:rPr>
          <w:rFonts w:hint="eastAsia" w:ascii="黑体" w:hAnsi="黑体" w:eastAsia="黑体"/>
          <w:lang w:val="en-US" w:eastAsia="zh-CN"/>
        </w:rPr>
        <w:t xml:space="preserve"> Cockroach traces</w:t>
      </w:r>
    </w:p>
    <w:p>
      <w:pPr>
        <w:pStyle w:val="56"/>
        <w:ind w:firstLine="420"/>
      </w:pPr>
      <w:r>
        <w:rPr>
          <w:rFonts w:hint="eastAsia"/>
        </w:rPr>
        <w:t>蟑螂成若虫、尸体、残体、卵鞘等，以下简称“蟑迹”。</w:t>
      </w:r>
    </w:p>
    <w:p>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飞虫</w:t>
      </w:r>
      <w:r>
        <w:rPr>
          <w:rFonts w:hint="eastAsia" w:ascii="黑体" w:hAnsi="黑体" w:eastAsia="黑体"/>
          <w:lang w:val="en-US" w:eastAsia="zh-CN"/>
        </w:rPr>
        <w:t xml:space="preserve"> Flying insects</w:t>
      </w:r>
    </w:p>
    <w:p>
      <w:pPr>
        <w:pStyle w:val="56"/>
        <w:ind w:firstLine="420"/>
      </w:pPr>
      <w:r>
        <w:rPr>
          <w:rFonts w:hint="eastAsia"/>
        </w:rPr>
        <w:t>主要指蝇类，包括苍蝇、蛾蠓、蚤蝇、果蝇等孽生在有机质中的昆虫。</w:t>
      </w:r>
    </w:p>
    <w:p>
      <w:pPr>
        <w:pStyle w:val="104"/>
        <w:spacing w:before="312" w:after="312"/>
      </w:pPr>
      <w:r>
        <w:rPr>
          <w:rFonts w:hint="eastAsia"/>
        </w:rPr>
        <w:t>防治管理原则与职责</w:t>
      </w:r>
    </w:p>
    <w:p>
      <w:pPr>
        <w:pStyle w:val="105"/>
        <w:spacing w:before="156" w:after="156"/>
      </w:pPr>
      <w:r>
        <w:rPr>
          <w:rFonts w:hint="eastAsia"/>
        </w:rPr>
        <w:t>防治管理原则</w:t>
      </w:r>
    </w:p>
    <w:p>
      <w:pPr>
        <w:pStyle w:val="105"/>
        <w:numPr>
          <w:ilvl w:val="2"/>
          <w:numId w:val="0"/>
        </w:numPr>
        <w:spacing w:before="156" w:after="156"/>
        <w:ind w:firstLine="420" w:firstLineChars="200"/>
        <w:rPr>
          <w:color w:val="auto"/>
          <w:highlight w:val="none"/>
        </w:rPr>
      </w:pPr>
      <w:r>
        <w:rPr>
          <w:rFonts w:hint="eastAsia" w:ascii="宋体" w:eastAsia="宋体"/>
        </w:rPr>
        <w:t>应结合环境特点和行业要求，以食品、人员、环境安全为前</w:t>
      </w:r>
      <w:r>
        <w:rPr>
          <w:rFonts w:hint="eastAsia" w:ascii="宋体" w:eastAsia="宋体"/>
          <w:color w:val="auto"/>
          <w:highlight w:val="none"/>
        </w:rPr>
        <w:t>提，采取</w:t>
      </w:r>
      <w:r>
        <w:rPr>
          <w:rFonts w:hint="eastAsia" w:ascii="宋体" w:eastAsia="宋体"/>
          <w:color w:val="auto"/>
          <w:highlight w:val="none"/>
          <w:lang w:eastAsia="zh-CN"/>
        </w:rPr>
        <w:t>“</w:t>
      </w:r>
      <w:r>
        <w:rPr>
          <w:rFonts w:hint="eastAsia" w:ascii="宋体" w:eastAsia="宋体"/>
          <w:color w:val="auto"/>
          <w:highlight w:val="none"/>
        </w:rPr>
        <w:t>预防为主、全程监控、学校落实</w:t>
      </w:r>
      <w:r>
        <w:rPr>
          <w:rFonts w:hint="eastAsia" w:ascii="宋体" w:eastAsia="宋体"/>
          <w:color w:val="auto"/>
          <w:highlight w:val="none"/>
          <w:lang w:eastAsia="zh-CN"/>
        </w:rPr>
        <w:t>”</w:t>
      </w:r>
      <w:r>
        <w:rPr>
          <w:rFonts w:hint="eastAsia" w:ascii="宋体" w:eastAsia="宋体"/>
          <w:color w:val="auto"/>
          <w:highlight w:val="none"/>
        </w:rPr>
        <w:t>的原则，优先选用物理防治，必要时限制性使用化学防治，有效控制有害生物危害。</w:t>
      </w:r>
    </w:p>
    <w:p>
      <w:pPr>
        <w:pStyle w:val="105"/>
        <w:spacing w:before="156" w:after="156"/>
        <w:rPr>
          <w:color w:val="auto"/>
          <w:highlight w:val="none"/>
        </w:rPr>
      </w:pPr>
      <w:r>
        <w:rPr>
          <w:rFonts w:hint="eastAsia"/>
          <w:color w:val="auto"/>
          <w:highlight w:val="none"/>
        </w:rPr>
        <w:t>学校食堂的职责</w:t>
      </w:r>
    </w:p>
    <w:p>
      <w:pPr>
        <w:pStyle w:val="105"/>
        <w:numPr>
          <w:ilvl w:val="2"/>
          <w:numId w:val="0"/>
        </w:numPr>
        <w:spacing w:before="156" w:after="156"/>
        <w:ind w:firstLine="420" w:firstLineChars="200"/>
        <w:rPr>
          <w:rFonts w:ascii="宋体" w:eastAsia="宋体"/>
          <w:color w:val="auto"/>
          <w:highlight w:val="none"/>
        </w:rPr>
      </w:pPr>
      <w:r>
        <w:rPr>
          <w:rFonts w:hint="eastAsia" w:ascii="宋体" w:eastAsia="宋体"/>
          <w:color w:val="auto"/>
          <w:highlight w:val="none"/>
        </w:rPr>
        <w:t>学校食堂应按照《病媒生物预防控制管理规定》对其加工经营场所有害生物预防控制承担主体责任，其中鼠类防治应按照《集中用餐单位食堂防鼠八项措施》进行防控。应建立健全有害生物风险管理控制工作制度，配备经专业培训的有害生物预防控制人员，自行或者委托有资质的服务商开展有害生物的预防控制，保障食品安全。需要委托服务商开展有害生物防治的，应当签订委托合同，明确双方的权利与义务。</w:t>
      </w:r>
    </w:p>
    <w:p>
      <w:pPr>
        <w:pStyle w:val="105"/>
        <w:spacing w:before="156" w:after="156"/>
        <w:rPr>
          <w:color w:val="auto"/>
          <w:highlight w:val="none"/>
        </w:rPr>
      </w:pPr>
      <w:r>
        <w:rPr>
          <w:rFonts w:hint="eastAsia"/>
          <w:color w:val="auto"/>
          <w:highlight w:val="none"/>
        </w:rPr>
        <w:t>服务商的职责</w:t>
      </w:r>
    </w:p>
    <w:p>
      <w:pPr>
        <w:pStyle w:val="105"/>
        <w:numPr>
          <w:ilvl w:val="2"/>
          <w:numId w:val="0"/>
        </w:numPr>
        <w:spacing w:before="156" w:after="156"/>
        <w:ind w:firstLine="420" w:firstLineChars="200"/>
        <w:rPr>
          <w:rFonts w:ascii="宋体" w:eastAsia="宋体"/>
          <w:color w:val="auto"/>
          <w:highlight w:val="none"/>
        </w:rPr>
      </w:pPr>
      <w:r>
        <w:rPr>
          <w:rFonts w:hint="eastAsia" w:ascii="宋体" w:eastAsia="宋体"/>
          <w:color w:val="auto"/>
          <w:highlight w:val="none"/>
        </w:rPr>
        <w:t>服务商为专业有害生物防治管理的执行方，依据委托合同，为学校食堂开展有害生物风险防治、沟通和管理，提供专业化的有害生物防</w:t>
      </w:r>
      <w:r>
        <w:rPr>
          <w:rFonts w:hint="eastAsia" w:ascii="宋体" w:eastAsia="宋体"/>
          <w:color w:val="auto"/>
          <w:highlight w:val="none"/>
          <w:lang w:eastAsia="zh-CN"/>
        </w:rPr>
        <w:t>治</w:t>
      </w:r>
      <w:r>
        <w:rPr>
          <w:rFonts w:hint="eastAsia" w:ascii="宋体" w:eastAsia="宋体"/>
          <w:color w:val="auto"/>
          <w:highlight w:val="none"/>
        </w:rPr>
        <w:t>服务。</w:t>
      </w:r>
    </w:p>
    <w:p>
      <w:pPr>
        <w:pStyle w:val="104"/>
        <w:spacing w:before="312" w:after="312"/>
        <w:rPr>
          <w:color w:val="auto"/>
          <w:highlight w:val="none"/>
        </w:rPr>
      </w:pPr>
      <w:r>
        <w:rPr>
          <w:rFonts w:hint="eastAsia"/>
          <w:color w:val="auto"/>
          <w:highlight w:val="none"/>
        </w:rPr>
        <w:t>有害生物防治</w:t>
      </w:r>
    </w:p>
    <w:p>
      <w:pPr>
        <w:pStyle w:val="105"/>
        <w:spacing w:before="156" w:after="156"/>
        <w:rPr>
          <w:color w:val="auto"/>
          <w:highlight w:val="none"/>
        </w:rPr>
      </w:pPr>
      <w:r>
        <w:rPr>
          <w:rFonts w:hint="eastAsia"/>
          <w:color w:val="auto"/>
          <w:highlight w:val="none"/>
        </w:rPr>
        <w:t>鼠类防治</w:t>
      </w:r>
    </w:p>
    <w:p>
      <w:pPr>
        <w:pStyle w:val="65"/>
        <w:spacing w:before="156" w:after="156"/>
        <w:rPr>
          <w:color w:val="auto"/>
          <w:highlight w:val="none"/>
        </w:rPr>
      </w:pPr>
      <w:r>
        <w:rPr>
          <w:rFonts w:hint="eastAsia"/>
          <w:color w:val="auto"/>
          <w:highlight w:val="none"/>
        </w:rPr>
        <w:t>环境防治</w:t>
      </w:r>
    </w:p>
    <w:p>
      <w:pPr>
        <w:pStyle w:val="56"/>
        <w:ind w:firstLine="420"/>
        <w:rPr>
          <w:color w:val="auto"/>
          <w:highlight w:val="none"/>
        </w:rPr>
      </w:pPr>
      <w:r>
        <w:rPr>
          <w:rFonts w:hint="eastAsia"/>
          <w:color w:val="auto"/>
          <w:highlight w:val="none"/>
        </w:rPr>
        <w:t>学校食堂加工经营场所内外部环境</w:t>
      </w:r>
      <w:r>
        <w:rPr>
          <w:rFonts w:hint="eastAsia"/>
          <w:color w:val="auto"/>
          <w:highlight w:val="none"/>
          <w:lang w:eastAsia="zh-CN"/>
        </w:rPr>
        <w:t>防治</w:t>
      </w:r>
      <w:r>
        <w:rPr>
          <w:rFonts w:hint="eastAsia"/>
          <w:color w:val="auto"/>
          <w:highlight w:val="none"/>
        </w:rPr>
        <w:t>鼠类入侵措施，应包括但不限于:</w:t>
      </w:r>
    </w:p>
    <w:p>
      <w:pPr>
        <w:pStyle w:val="132"/>
        <w:rPr>
          <w:color w:val="auto"/>
          <w:highlight w:val="none"/>
        </w:rPr>
      </w:pPr>
      <w:r>
        <w:rPr>
          <w:rFonts w:hint="eastAsia"/>
          <w:color w:val="auto"/>
          <w:highlight w:val="none"/>
        </w:rPr>
        <w:t>垃圾桶应加盖，桶内垃圾及时清理；</w:t>
      </w:r>
    </w:p>
    <w:p>
      <w:pPr>
        <w:pStyle w:val="132"/>
        <w:rPr>
          <w:color w:val="auto"/>
          <w:highlight w:val="none"/>
        </w:rPr>
      </w:pPr>
      <w:r>
        <w:rPr>
          <w:rFonts w:hint="eastAsia"/>
          <w:color w:val="auto"/>
          <w:highlight w:val="none"/>
        </w:rPr>
        <w:t>排水沟内不得积存污水。</w:t>
      </w:r>
    </w:p>
    <w:p>
      <w:pPr>
        <w:pStyle w:val="65"/>
        <w:spacing w:before="156" w:after="156"/>
        <w:rPr>
          <w:color w:val="auto"/>
          <w:highlight w:val="none"/>
        </w:rPr>
      </w:pPr>
      <w:r>
        <w:rPr>
          <w:rFonts w:hint="eastAsia"/>
          <w:color w:val="auto"/>
          <w:highlight w:val="none"/>
        </w:rPr>
        <w:t>结构防治</w:t>
      </w:r>
    </w:p>
    <w:p>
      <w:pPr>
        <w:pStyle w:val="56"/>
        <w:ind w:firstLine="420"/>
        <w:rPr>
          <w:color w:val="auto"/>
          <w:highlight w:val="none"/>
        </w:rPr>
      </w:pPr>
      <w:r>
        <w:rPr>
          <w:rFonts w:hint="eastAsia"/>
          <w:color w:val="auto"/>
          <w:highlight w:val="none"/>
        </w:rPr>
        <w:t>学校食堂加工经营场所</w:t>
      </w:r>
      <w:r>
        <w:rPr>
          <w:rFonts w:hint="eastAsia"/>
          <w:color w:val="auto"/>
          <w:highlight w:val="none"/>
          <w:lang w:eastAsia="zh-CN"/>
        </w:rPr>
        <w:t>和加工过程中防治</w:t>
      </w:r>
      <w:r>
        <w:rPr>
          <w:rFonts w:hint="eastAsia"/>
          <w:color w:val="auto"/>
          <w:highlight w:val="none"/>
        </w:rPr>
        <w:t>鼠类入侵措施，包括但不限于：</w:t>
      </w:r>
    </w:p>
    <w:p>
      <w:pPr>
        <w:pStyle w:val="132"/>
        <w:rPr>
          <w:color w:val="auto"/>
          <w:highlight w:val="none"/>
        </w:rPr>
      </w:pPr>
      <w:r>
        <w:rPr>
          <w:rFonts w:hint="eastAsia"/>
          <w:color w:val="auto"/>
          <w:highlight w:val="none"/>
        </w:rPr>
        <w:t>食品处理区与外界直接相通的门能自动关闭，人员、货物进出通道及原辅料仓库设有防鼠板等防鼠设施且完好，防鼠板与插槽、地面的缝隙小于6mm，防鼠板高度不低于60cm；</w:t>
      </w:r>
    </w:p>
    <w:p>
      <w:pPr>
        <w:pStyle w:val="132"/>
        <w:rPr>
          <w:color w:val="auto"/>
          <w:highlight w:val="none"/>
        </w:rPr>
      </w:pPr>
      <w:r>
        <w:rPr>
          <w:rFonts w:hint="eastAsia"/>
          <w:color w:val="auto"/>
          <w:highlight w:val="none"/>
        </w:rPr>
        <w:t>所有管、线穿越而产生的孔洞填充牢固，无缝隙；</w:t>
      </w:r>
    </w:p>
    <w:p>
      <w:pPr>
        <w:pStyle w:val="132"/>
        <w:rPr>
          <w:color w:val="auto"/>
          <w:highlight w:val="none"/>
        </w:rPr>
      </w:pPr>
      <w:r>
        <w:rPr>
          <w:rFonts w:hint="eastAsia"/>
          <w:color w:val="auto"/>
          <w:highlight w:val="none"/>
        </w:rPr>
        <w:t>排水管道出水口安装的篦子应使用金属材料制成，篦子缝隙间距或网眼小于10mm；</w:t>
      </w:r>
    </w:p>
    <w:p>
      <w:pPr>
        <w:pStyle w:val="132"/>
        <w:rPr>
          <w:color w:val="auto"/>
          <w:highlight w:val="none"/>
        </w:rPr>
      </w:pPr>
      <w:r>
        <w:rPr>
          <w:rFonts w:hint="eastAsia"/>
          <w:color w:val="auto"/>
          <w:highlight w:val="none"/>
        </w:rPr>
        <w:t>与外界直接相通的通风口、换气窗外，应加装不小于16目的筛网；</w:t>
      </w:r>
    </w:p>
    <w:p>
      <w:pPr>
        <w:pStyle w:val="132"/>
        <w:rPr>
          <w:color w:val="auto"/>
          <w:highlight w:val="none"/>
        </w:rPr>
      </w:pPr>
      <w:r>
        <w:rPr>
          <w:rFonts w:hint="eastAsia"/>
          <w:color w:val="auto"/>
          <w:highlight w:val="none"/>
        </w:rPr>
        <w:t>与外界直接相通可开启的窗闭合严密、无变形，并设置纱网；木质的门框底部应用金属材料包边，高度宜在30cm以上；</w:t>
      </w:r>
    </w:p>
    <w:p>
      <w:pPr>
        <w:pStyle w:val="132"/>
        <w:rPr>
          <w:color w:val="auto"/>
          <w:highlight w:val="none"/>
        </w:rPr>
      </w:pPr>
      <w:r>
        <w:rPr>
          <w:rFonts w:hint="eastAsia"/>
          <w:color w:val="auto"/>
          <w:highlight w:val="none"/>
        </w:rPr>
        <w:t>天花板涂覆或装修的材料应坚固、无裂缝、不易脱落，具备防止鼠类等有害生物掉落的条件和管理措施；天花板上方电缆桥架应有盖；</w:t>
      </w:r>
    </w:p>
    <w:p>
      <w:pPr>
        <w:pStyle w:val="132"/>
        <w:rPr>
          <w:color w:val="auto"/>
          <w:highlight w:val="none"/>
        </w:rPr>
      </w:pPr>
      <w:r>
        <w:rPr>
          <w:rFonts w:hint="eastAsia"/>
          <w:color w:val="auto"/>
          <w:highlight w:val="none"/>
        </w:rPr>
        <w:t>墙壁、地面无裂缝，无破损；</w:t>
      </w:r>
    </w:p>
    <w:p>
      <w:pPr>
        <w:pStyle w:val="132"/>
        <w:rPr>
          <w:color w:val="auto"/>
          <w:highlight w:val="none"/>
        </w:rPr>
      </w:pPr>
      <w:r>
        <w:rPr>
          <w:rFonts w:hint="eastAsia"/>
          <w:color w:val="auto"/>
          <w:highlight w:val="none"/>
        </w:rPr>
        <w:t>学校食堂加工经营场所内设置粘鼠板、捕鼠笼、机械式捕鼠器等装置，不得使用杀鼠剂；</w:t>
      </w:r>
    </w:p>
    <w:p>
      <w:pPr>
        <w:pStyle w:val="132"/>
        <w:rPr>
          <w:color w:val="auto"/>
          <w:highlight w:val="none"/>
        </w:rPr>
      </w:pPr>
      <w:r>
        <w:rPr>
          <w:rFonts w:hint="eastAsia"/>
          <w:color w:val="auto"/>
          <w:highlight w:val="none"/>
        </w:rPr>
        <w:t>食品自动设备密闭性应能有效防止老鼠等有害生物侵入；</w:t>
      </w:r>
    </w:p>
    <w:p>
      <w:pPr>
        <w:pStyle w:val="132"/>
        <w:rPr>
          <w:color w:val="auto"/>
          <w:highlight w:val="none"/>
        </w:rPr>
      </w:pPr>
      <w:r>
        <w:rPr>
          <w:rFonts w:hint="eastAsia"/>
          <w:color w:val="auto"/>
          <w:highlight w:val="none"/>
        </w:rPr>
        <w:t>加工制作前，查看各种容器是否加盖密闭，食品原料、半成品、成品容器中是否有老鼠侵入；场所内是否有鼠迹；</w:t>
      </w:r>
    </w:p>
    <w:p>
      <w:pPr>
        <w:pStyle w:val="132"/>
        <w:rPr>
          <w:color w:val="auto"/>
          <w:highlight w:val="none"/>
        </w:rPr>
      </w:pPr>
      <w:r>
        <w:rPr>
          <w:rFonts w:hint="eastAsia"/>
          <w:color w:val="auto"/>
          <w:highlight w:val="none"/>
        </w:rPr>
        <w:t>下班前，查看各种盛放食品及调味料的容器是否加盖密闭，餐厨废弃物和食物残渣是否清理干净等；</w:t>
      </w:r>
    </w:p>
    <w:p>
      <w:pPr>
        <w:pStyle w:val="132"/>
        <w:rPr>
          <w:color w:val="auto"/>
          <w:highlight w:val="none"/>
        </w:rPr>
      </w:pPr>
      <w:r>
        <w:rPr>
          <w:rFonts w:hint="eastAsia"/>
          <w:color w:val="auto"/>
          <w:highlight w:val="none"/>
        </w:rPr>
        <w:t>在初加工、切配、加工过程中原料及食品中是否有老鼠及</w:t>
      </w:r>
      <w:r>
        <w:rPr>
          <w:rFonts w:hint="eastAsia"/>
          <w:color w:val="auto"/>
          <w:highlight w:val="none"/>
          <w:lang w:eastAsia="zh-CN"/>
        </w:rPr>
        <w:t>其</w:t>
      </w:r>
      <w:r>
        <w:rPr>
          <w:rFonts w:hint="eastAsia"/>
          <w:color w:val="auto"/>
          <w:highlight w:val="none"/>
        </w:rPr>
        <w:t>粪便等异物；</w:t>
      </w:r>
    </w:p>
    <w:p>
      <w:pPr>
        <w:pStyle w:val="132"/>
        <w:rPr>
          <w:color w:val="auto"/>
          <w:highlight w:val="none"/>
        </w:rPr>
      </w:pPr>
      <w:r>
        <w:rPr>
          <w:rFonts w:hint="eastAsia"/>
          <w:color w:val="auto"/>
          <w:highlight w:val="none"/>
        </w:rPr>
        <w:t>在食品加工过程中是否发现老鼠出没情况；</w:t>
      </w:r>
    </w:p>
    <w:p>
      <w:pPr>
        <w:pStyle w:val="132"/>
        <w:rPr>
          <w:color w:val="auto"/>
          <w:highlight w:val="none"/>
        </w:rPr>
      </w:pPr>
      <w:r>
        <w:rPr>
          <w:rFonts w:hint="eastAsia"/>
          <w:color w:val="auto"/>
          <w:highlight w:val="none"/>
        </w:rPr>
        <w:t>开展一日两查，每日上班前、下班前，检查防鼠设施是否完好且处于正常状态；</w:t>
      </w:r>
    </w:p>
    <w:p>
      <w:pPr>
        <w:pStyle w:val="132"/>
        <w:rPr>
          <w:color w:val="auto"/>
          <w:highlight w:val="none"/>
        </w:rPr>
      </w:pPr>
      <w:r>
        <w:rPr>
          <w:rFonts w:hint="eastAsia"/>
          <w:color w:val="auto"/>
          <w:highlight w:val="none"/>
        </w:rPr>
        <w:t>防鼠日管控自查是否查出问题，日管控清单见附录A；</w:t>
      </w:r>
    </w:p>
    <w:p>
      <w:pPr>
        <w:pStyle w:val="132"/>
        <w:rPr>
          <w:color w:val="auto"/>
          <w:highlight w:val="none"/>
        </w:rPr>
      </w:pPr>
      <w:r>
        <w:rPr>
          <w:rFonts w:hint="eastAsia"/>
          <w:color w:val="auto"/>
          <w:highlight w:val="none"/>
        </w:rPr>
        <w:t>日管控查出防鼠问题后是否得到有效整改。</w:t>
      </w:r>
    </w:p>
    <w:p>
      <w:pPr>
        <w:pStyle w:val="65"/>
        <w:spacing w:before="156" w:after="156"/>
        <w:rPr>
          <w:color w:val="auto"/>
          <w:highlight w:val="none"/>
        </w:rPr>
      </w:pPr>
      <w:r>
        <w:rPr>
          <w:rFonts w:hint="eastAsia"/>
          <w:color w:val="auto"/>
          <w:highlight w:val="none"/>
        </w:rPr>
        <w:t>食品储存防治</w:t>
      </w:r>
    </w:p>
    <w:p>
      <w:pPr>
        <w:pStyle w:val="56"/>
        <w:ind w:firstLine="420"/>
        <w:rPr>
          <w:color w:val="auto"/>
          <w:highlight w:val="none"/>
        </w:rPr>
      </w:pPr>
      <w:r>
        <w:rPr>
          <w:rFonts w:hint="eastAsia"/>
          <w:color w:val="auto"/>
          <w:highlight w:val="none"/>
        </w:rPr>
        <w:t>食品储存</w:t>
      </w:r>
      <w:r>
        <w:rPr>
          <w:rFonts w:hint="eastAsia"/>
          <w:color w:val="auto"/>
          <w:highlight w:val="none"/>
          <w:lang w:eastAsia="zh-CN"/>
        </w:rPr>
        <w:t>防治</w:t>
      </w:r>
      <w:r>
        <w:rPr>
          <w:rFonts w:hint="eastAsia"/>
          <w:color w:val="auto"/>
          <w:highlight w:val="none"/>
        </w:rPr>
        <w:t>鼠类藏匿或入侵措施，包括但不限于:</w:t>
      </w:r>
    </w:p>
    <w:p>
      <w:pPr>
        <w:pStyle w:val="132"/>
        <w:rPr>
          <w:color w:val="auto"/>
          <w:highlight w:val="none"/>
        </w:rPr>
      </w:pPr>
      <w:r>
        <w:rPr>
          <w:rFonts w:hint="eastAsia"/>
          <w:color w:val="auto"/>
          <w:highlight w:val="none"/>
        </w:rPr>
        <w:t>库房内应设置足够数量的存放架，其结构及位置能使贮存的食品和物品离墙离地10cm以上，原辅料应该定期翻动；</w:t>
      </w:r>
    </w:p>
    <w:p>
      <w:pPr>
        <w:pStyle w:val="132"/>
        <w:rPr>
          <w:color w:val="auto"/>
          <w:highlight w:val="none"/>
        </w:rPr>
      </w:pPr>
      <w:r>
        <w:rPr>
          <w:rFonts w:hint="eastAsia"/>
          <w:color w:val="auto"/>
          <w:highlight w:val="none"/>
        </w:rPr>
        <w:t>食品库房、食品贮存或卫生死角等区域、运输工具、货物包装无有害生物活动迹象；</w:t>
      </w:r>
    </w:p>
    <w:p>
      <w:pPr>
        <w:pStyle w:val="132"/>
        <w:rPr>
          <w:color w:val="auto"/>
          <w:highlight w:val="none"/>
        </w:rPr>
      </w:pPr>
      <w:r>
        <w:rPr>
          <w:rFonts w:hint="eastAsia"/>
          <w:color w:val="auto"/>
          <w:highlight w:val="none"/>
        </w:rPr>
        <w:t>仓库内闲置物品或设备应定期清理；</w:t>
      </w:r>
    </w:p>
    <w:p>
      <w:pPr>
        <w:pStyle w:val="132"/>
        <w:rPr>
          <w:color w:val="auto"/>
          <w:highlight w:val="none"/>
        </w:rPr>
      </w:pPr>
      <w:r>
        <w:rPr>
          <w:rFonts w:hint="eastAsia"/>
          <w:color w:val="auto"/>
          <w:highlight w:val="none"/>
        </w:rPr>
        <w:t>所有工用具和器皿使用前应检查是否存在鼠粪、鼠毛等鼠迹；</w:t>
      </w:r>
    </w:p>
    <w:p>
      <w:pPr>
        <w:pStyle w:val="132"/>
        <w:rPr>
          <w:color w:val="auto"/>
          <w:highlight w:val="none"/>
        </w:rPr>
      </w:pPr>
      <w:r>
        <w:rPr>
          <w:rFonts w:hint="eastAsia"/>
          <w:color w:val="auto"/>
          <w:highlight w:val="none"/>
        </w:rPr>
        <w:t>过夜食品应放入冰箱或密封存放；</w:t>
      </w:r>
    </w:p>
    <w:p>
      <w:pPr>
        <w:pStyle w:val="132"/>
        <w:rPr>
          <w:color w:val="auto"/>
          <w:highlight w:val="none"/>
        </w:rPr>
      </w:pPr>
      <w:r>
        <w:rPr>
          <w:rFonts w:hint="eastAsia"/>
          <w:color w:val="auto"/>
          <w:highlight w:val="none"/>
        </w:rPr>
        <w:t>直接入口的散装食品应有防鼠的有效覆盖隔离设施，销售散装熟食应配备具有防鼠功能的设施。</w:t>
      </w:r>
    </w:p>
    <w:p>
      <w:pPr>
        <w:pStyle w:val="105"/>
        <w:spacing w:before="156" w:after="156"/>
        <w:rPr>
          <w:color w:val="auto"/>
          <w:highlight w:val="none"/>
        </w:rPr>
      </w:pPr>
      <w:r>
        <w:rPr>
          <w:rFonts w:hint="eastAsia"/>
          <w:color w:val="auto"/>
          <w:highlight w:val="none"/>
        </w:rPr>
        <w:t>蟑螂防治</w:t>
      </w:r>
    </w:p>
    <w:p>
      <w:pPr>
        <w:pStyle w:val="65"/>
        <w:spacing w:before="156" w:after="156"/>
        <w:rPr>
          <w:color w:val="auto"/>
          <w:highlight w:val="none"/>
        </w:rPr>
      </w:pPr>
      <w:r>
        <w:rPr>
          <w:rFonts w:hint="eastAsia"/>
          <w:color w:val="auto"/>
          <w:highlight w:val="none"/>
        </w:rPr>
        <w:t>环境防治</w:t>
      </w:r>
    </w:p>
    <w:p>
      <w:pPr>
        <w:pStyle w:val="56"/>
        <w:ind w:firstLine="420"/>
        <w:rPr>
          <w:color w:val="auto"/>
          <w:highlight w:val="none"/>
        </w:rPr>
      </w:pPr>
      <w:r>
        <w:rPr>
          <w:rFonts w:hint="eastAsia"/>
          <w:color w:val="auto"/>
          <w:highlight w:val="none"/>
        </w:rPr>
        <w:t>学校食堂加工经营场所内外部环境</w:t>
      </w:r>
      <w:r>
        <w:rPr>
          <w:rFonts w:hint="eastAsia"/>
          <w:color w:val="auto"/>
          <w:highlight w:val="none"/>
          <w:lang w:eastAsia="zh-CN"/>
        </w:rPr>
        <w:t>防治</w:t>
      </w:r>
      <w:r>
        <w:rPr>
          <w:rFonts w:hint="eastAsia"/>
          <w:color w:val="auto"/>
          <w:highlight w:val="none"/>
        </w:rPr>
        <w:t>蟑螂栖息措施，包括但不限于:</w:t>
      </w:r>
    </w:p>
    <w:p>
      <w:pPr>
        <w:pStyle w:val="132"/>
        <w:rPr>
          <w:color w:val="auto"/>
          <w:highlight w:val="none"/>
        </w:rPr>
      </w:pPr>
      <w:r>
        <w:rPr>
          <w:rFonts w:hint="eastAsia"/>
          <w:color w:val="auto"/>
          <w:highlight w:val="none"/>
        </w:rPr>
        <w:t>食堂周边</w:t>
      </w:r>
      <w:r>
        <w:rPr>
          <w:rFonts w:hint="eastAsia"/>
          <w:color w:val="auto"/>
          <w:highlight w:val="none"/>
          <w:lang w:eastAsia="zh-CN"/>
        </w:rPr>
        <w:t>不得</w:t>
      </w:r>
      <w:r>
        <w:rPr>
          <w:rFonts w:hint="eastAsia"/>
          <w:color w:val="auto"/>
          <w:highlight w:val="none"/>
        </w:rPr>
        <w:t>存在</w:t>
      </w:r>
      <w:r>
        <w:rPr>
          <w:rFonts w:hint="eastAsia" w:hAnsi="宋体"/>
          <w:color w:val="auto"/>
          <w:szCs w:val="24"/>
          <w:highlight w:val="none"/>
        </w:rPr>
        <w:t>开放式化粪池、隔油池等</w:t>
      </w:r>
      <w:r>
        <w:rPr>
          <w:rFonts w:hint="eastAsia"/>
          <w:color w:val="auto"/>
          <w:highlight w:val="none"/>
        </w:rPr>
        <w:t>；</w:t>
      </w:r>
    </w:p>
    <w:p>
      <w:pPr>
        <w:pStyle w:val="132"/>
        <w:rPr>
          <w:color w:val="auto"/>
          <w:highlight w:val="none"/>
        </w:rPr>
      </w:pPr>
      <w:r>
        <w:rPr>
          <w:rFonts w:hint="eastAsia" w:hAnsi="宋体"/>
          <w:color w:val="auto"/>
          <w:szCs w:val="24"/>
          <w:highlight w:val="none"/>
        </w:rPr>
        <w:t>室内厨房及公共区域</w:t>
      </w:r>
      <w:r>
        <w:rPr>
          <w:rFonts w:hint="eastAsia" w:hAnsi="宋体"/>
          <w:color w:val="auto"/>
          <w:szCs w:val="24"/>
          <w:highlight w:val="none"/>
          <w:lang w:eastAsia="zh-CN"/>
        </w:rPr>
        <w:t>不得</w:t>
      </w:r>
      <w:r>
        <w:rPr>
          <w:rFonts w:hint="eastAsia" w:hAnsi="宋体"/>
          <w:color w:val="auto"/>
          <w:szCs w:val="24"/>
          <w:highlight w:val="none"/>
        </w:rPr>
        <w:t>有食物残屑、油污；</w:t>
      </w:r>
    </w:p>
    <w:p>
      <w:pPr>
        <w:pStyle w:val="132"/>
        <w:rPr>
          <w:color w:val="auto"/>
          <w:highlight w:val="none"/>
        </w:rPr>
      </w:pPr>
      <w:r>
        <w:rPr>
          <w:rFonts w:hint="eastAsia"/>
          <w:color w:val="auto"/>
          <w:highlight w:val="none"/>
        </w:rPr>
        <w:t>垃圾桶应加盖，桶内垃圾及时清理；</w:t>
      </w:r>
    </w:p>
    <w:p>
      <w:pPr>
        <w:pStyle w:val="132"/>
        <w:rPr>
          <w:color w:val="auto"/>
          <w:highlight w:val="none"/>
        </w:rPr>
      </w:pPr>
      <w:r>
        <w:rPr>
          <w:rFonts w:hint="eastAsia" w:hAnsi="宋体"/>
          <w:color w:val="auto"/>
          <w:szCs w:val="24"/>
          <w:highlight w:val="none"/>
        </w:rPr>
        <w:t>货架、橱柜上物品堆放整齐；</w:t>
      </w:r>
    </w:p>
    <w:p>
      <w:pPr>
        <w:pStyle w:val="132"/>
        <w:rPr>
          <w:color w:val="auto"/>
          <w:highlight w:val="none"/>
        </w:rPr>
      </w:pPr>
      <w:r>
        <w:rPr>
          <w:rFonts w:hint="eastAsia" w:hAnsi="宋体"/>
          <w:color w:val="auto"/>
          <w:szCs w:val="24"/>
          <w:highlight w:val="none"/>
        </w:rPr>
        <w:t>地面，墙角不得有乱堆杂物。</w:t>
      </w:r>
    </w:p>
    <w:p>
      <w:pPr>
        <w:pStyle w:val="65"/>
        <w:spacing w:before="156" w:after="156"/>
        <w:rPr>
          <w:color w:val="auto"/>
          <w:highlight w:val="none"/>
        </w:rPr>
      </w:pPr>
      <w:r>
        <w:rPr>
          <w:rFonts w:hint="eastAsia"/>
          <w:color w:val="auto"/>
          <w:highlight w:val="none"/>
        </w:rPr>
        <w:t>结构防治</w:t>
      </w:r>
    </w:p>
    <w:p>
      <w:pPr>
        <w:pStyle w:val="56"/>
        <w:ind w:firstLine="420"/>
        <w:rPr>
          <w:color w:val="auto"/>
          <w:highlight w:val="none"/>
        </w:rPr>
      </w:pPr>
      <w:r>
        <w:rPr>
          <w:rFonts w:hint="eastAsia"/>
          <w:color w:val="auto"/>
          <w:highlight w:val="none"/>
        </w:rPr>
        <w:t>学校食堂加工经营场所建筑物</w:t>
      </w:r>
      <w:r>
        <w:rPr>
          <w:rFonts w:hint="eastAsia"/>
          <w:color w:val="auto"/>
          <w:highlight w:val="none"/>
          <w:lang w:eastAsia="zh-CN"/>
        </w:rPr>
        <w:t>防治</w:t>
      </w:r>
      <w:r>
        <w:rPr>
          <w:rFonts w:hint="eastAsia"/>
          <w:color w:val="auto"/>
          <w:highlight w:val="none"/>
        </w:rPr>
        <w:t>蟑螂栖息措施，包括但不限于:</w:t>
      </w:r>
    </w:p>
    <w:p>
      <w:pPr>
        <w:pStyle w:val="132"/>
        <w:rPr>
          <w:color w:val="auto"/>
          <w:highlight w:val="none"/>
        </w:rPr>
      </w:pPr>
      <w:r>
        <w:rPr>
          <w:rFonts w:hint="eastAsia" w:hAnsi="宋体"/>
          <w:color w:val="auto"/>
          <w:szCs w:val="24"/>
          <w:highlight w:val="none"/>
        </w:rPr>
        <w:t>地面、墙面、台面需平整</w:t>
      </w:r>
      <w:r>
        <w:rPr>
          <w:rFonts w:hint="eastAsia" w:hAnsi="宋体"/>
          <w:color w:val="auto"/>
          <w:szCs w:val="24"/>
          <w:highlight w:val="none"/>
          <w:lang w:eastAsia="zh-CN"/>
        </w:rPr>
        <w:t>，</w:t>
      </w:r>
      <w:r>
        <w:rPr>
          <w:rFonts w:hint="eastAsia" w:hAnsi="宋体"/>
          <w:color w:val="auto"/>
          <w:szCs w:val="24"/>
          <w:highlight w:val="none"/>
        </w:rPr>
        <w:t>不得有大于</w:t>
      </w:r>
      <w:r>
        <w:rPr>
          <w:rFonts w:ascii="ËÎÌå" w:hAnsi="ËÎÌå" w:eastAsia="ËÎÌå"/>
          <w:color w:val="auto"/>
          <w:szCs w:val="24"/>
          <w:highlight w:val="none"/>
        </w:rPr>
        <w:t>1.6mm</w:t>
      </w:r>
      <w:r>
        <w:rPr>
          <w:rFonts w:hint="eastAsia" w:hAnsi="宋体"/>
          <w:color w:val="auto"/>
          <w:szCs w:val="24"/>
          <w:highlight w:val="none"/>
        </w:rPr>
        <w:t>的裂缝、破损、积水积垢</w:t>
      </w:r>
      <w:r>
        <w:rPr>
          <w:rFonts w:hint="eastAsia"/>
          <w:color w:val="auto"/>
          <w:highlight w:val="none"/>
        </w:rPr>
        <w:t>；</w:t>
      </w:r>
    </w:p>
    <w:p>
      <w:pPr>
        <w:pStyle w:val="132"/>
        <w:rPr>
          <w:color w:val="auto"/>
          <w:highlight w:val="none"/>
        </w:rPr>
      </w:pPr>
      <w:r>
        <w:rPr>
          <w:rFonts w:hint="eastAsia" w:hAnsi="宋体"/>
          <w:color w:val="auto"/>
          <w:szCs w:val="24"/>
          <w:highlight w:val="none"/>
        </w:rPr>
        <w:t>门窗框不得存在缝洞或破损。</w:t>
      </w:r>
    </w:p>
    <w:p>
      <w:pPr>
        <w:pStyle w:val="65"/>
        <w:spacing w:before="156" w:after="156"/>
        <w:rPr>
          <w:color w:val="auto"/>
          <w:highlight w:val="none"/>
        </w:rPr>
      </w:pPr>
      <w:r>
        <w:rPr>
          <w:rFonts w:hint="eastAsia"/>
          <w:color w:val="auto"/>
          <w:highlight w:val="none"/>
        </w:rPr>
        <w:t>食品储存防治</w:t>
      </w:r>
    </w:p>
    <w:p>
      <w:pPr>
        <w:pStyle w:val="56"/>
        <w:ind w:firstLine="420"/>
        <w:rPr>
          <w:color w:val="auto"/>
          <w:highlight w:val="none"/>
        </w:rPr>
      </w:pPr>
      <w:r>
        <w:rPr>
          <w:rFonts w:hint="eastAsia"/>
          <w:color w:val="auto"/>
          <w:highlight w:val="none"/>
        </w:rPr>
        <w:t>食品储存</w:t>
      </w:r>
      <w:r>
        <w:rPr>
          <w:rFonts w:hint="eastAsia"/>
          <w:color w:val="auto"/>
          <w:highlight w:val="none"/>
          <w:lang w:eastAsia="zh-CN"/>
        </w:rPr>
        <w:t>防治</w:t>
      </w:r>
      <w:r>
        <w:rPr>
          <w:rFonts w:hint="eastAsia"/>
          <w:color w:val="auto"/>
          <w:highlight w:val="none"/>
        </w:rPr>
        <w:t>蟑螂栖息措施，包括但不限于:</w:t>
      </w:r>
    </w:p>
    <w:p>
      <w:pPr>
        <w:pStyle w:val="132"/>
        <w:rPr>
          <w:color w:val="auto"/>
          <w:highlight w:val="none"/>
        </w:rPr>
      </w:pPr>
      <w:r>
        <w:rPr>
          <w:rFonts w:hint="eastAsia" w:hAnsi="宋体"/>
          <w:color w:val="auto"/>
          <w:szCs w:val="24"/>
          <w:highlight w:val="none"/>
        </w:rPr>
        <w:t>原辅料应该定期翻动，仓库内闲置的物品或设备定期清理</w:t>
      </w:r>
      <w:r>
        <w:rPr>
          <w:rFonts w:hint="eastAsia"/>
          <w:color w:val="auto"/>
          <w:highlight w:val="none"/>
        </w:rPr>
        <w:t>；</w:t>
      </w:r>
    </w:p>
    <w:p>
      <w:pPr>
        <w:pStyle w:val="132"/>
        <w:rPr>
          <w:color w:val="auto"/>
          <w:highlight w:val="none"/>
        </w:rPr>
      </w:pPr>
      <w:r>
        <w:rPr>
          <w:rFonts w:hint="eastAsia" w:hAnsi="宋体"/>
          <w:color w:val="auto"/>
          <w:szCs w:val="24"/>
          <w:highlight w:val="none"/>
        </w:rPr>
        <w:t>过夜食品应放入冰箱或者密封储存；</w:t>
      </w:r>
    </w:p>
    <w:p>
      <w:pPr>
        <w:pStyle w:val="132"/>
        <w:rPr>
          <w:color w:val="auto"/>
          <w:highlight w:val="none"/>
        </w:rPr>
      </w:pPr>
      <w:r>
        <w:rPr>
          <w:rFonts w:hint="eastAsia" w:hAnsi="宋体"/>
          <w:color w:val="auto"/>
          <w:szCs w:val="24"/>
          <w:highlight w:val="none"/>
        </w:rPr>
        <w:t>物品入库时检查运输工具和物品包装不得有蟑迹，防止蟑螂被携带入侵。</w:t>
      </w:r>
    </w:p>
    <w:p>
      <w:pPr>
        <w:pStyle w:val="105"/>
        <w:spacing w:before="156" w:after="156"/>
        <w:rPr>
          <w:color w:val="auto"/>
          <w:highlight w:val="none"/>
        </w:rPr>
      </w:pPr>
      <w:r>
        <w:rPr>
          <w:rFonts w:hint="eastAsia"/>
          <w:color w:val="auto"/>
          <w:highlight w:val="none"/>
        </w:rPr>
        <w:t>飞虫防治</w:t>
      </w:r>
    </w:p>
    <w:p>
      <w:pPr>
        <w:pStyle w:val="65"/>
        <w:spacing w:before="156" w:after="156"/>
        <w:rPr>
          <w:color w:val="auto"/>
          <w:highlight w:val="none"/>
        </w:rPr>
      </w:pPr>
      <w:r>
        <w:rPr>
          <w:rFonts w:hint="eastAsia"/>
          <w:color w:val="auto"/>
          <w:highlight w:val="none"/>
        </w:rPr>
        <w:t>环境防治</w:t>
      </w:r>
    </w:p>
    <w:p>
      <w:pPr>
        <w:pStyle w:val="56"/>
        <w:ind w:firstLine="420"/>
        <w:rPr>
          <w:color w:val="auto"/>
          <w:highlight w:val="none"/>
        </w:rPr>
      </w:pPr>
      <w:r>
        <w:rPr>
          <w:rFonts w:hint="eastAsia"/>
          <w:color w:val="auto"/>
          <w:highlight w:val="none"/>
        </w:rPr>
        <w:t>学校食堂加工经营场所内外部环境</w:t>
      </w:r>
      <w:r>
        <w:rPr>
          <w:rFonts w:hint="eastAsia"/>
          <w:color w:val="auto"/>
          <w:highlight w:val="none"/>
          <w:lang w:eastAsia="zh-CN"/>
        </w:rPr>
        <w:t>防治</w:t>
      </w:r>
      <w:r>
        <w:rPr>
          <w:rFonts w:hint="eastAsia" w:hAnsi="宋体"/>
          <w:color w:val="auto"/>
          <w:szCs w:val="24"/>
          <w:highlight w:val="none"/>
        </w:rPr>
        <w:t>飞虫活动</w:t>
      </w:r>
      <w:r>
        <w:rPr>
          <w:rFonts w:hint="eastAsia"/>
          <w:color w:val="auto"/>
          <w:highlight w:val="none"/>
        </w:rPr>
        <w:t>措施，包括但不限于:</w:t>
      </w:r>
    </w:p>
    <w:p>
      <w:pPr>
        <w:pStyle w:val="132"/>
        <w:rPr>
          <w:rFonts w:hAnsi="宋体"/>
          <w:color w:val="auto"/>
          <w:szCs w:val="24"/>
          <w:highlight w:val="none"/>
        </w:rPr>
      </w:pPr>
      <w:r>
        <w:rPr>
          <w:rFonts w:hint="eastAsia" w:hAnsi="宋体"/>
          <w:color w:val="auto"/>
          <w:szCs w:val="24"/>
          <w:highlight w:val="none"/>
        </w:rPr>
        <w:t>室内下水道不得有污水及垃圾积存或堵塞，盖板反面不得有积垢；</w:t>
      </w:r>
    </w:p>
    <w:p>
      <w:pPr>
        <w:pStyle w:val="132"/>
        <w:rPr>
          <w:rFonts w:hAnsi="宋体"/>
          <w:color w:val="auto"/>
          <w:szCs w:val="24"/>
          <w:highlight w:val="none"/>
        </w:rPr>
      </w:pPr>
      <w:r>
        <w:rPr>
          <w:rFonts w:hint="eastAsia" w:hAnsi="宋体"/>
          <w:color w:val="auto"/>
          <w:szCs w:val="24"/>
          <w:highlight w:val="none"/>
        </w:rPr>
        <w:t>地面及墙角、设备、操作台死角需清洁到位，包装或破损的果蔬需密封或冷藏保存，不得有果蔬残渣及垃圾残存；</w:t>
      </w:r>
    </w:p>
    <w:p>
      <w:pPr>
        <w:pStyle w:val="132"/>
        <w:rPr>
          <w:color w:val="auto"/>
          <w:highlight w:val="none"/>
        </w:rPr>
      </w:pPr>
      <w:r>
        <w:rPr>
          <w:rFonts w:hint="eastAsia"/>
          <w:color w:val="auto"/>
          <w:highlight w:val="none"/>
        </w:rPr>
        <w:t>垃圾桶加盖，垃圾桶内部及底部清洁干净，不得有污垢及污水残留，厨余垃圾日产日清。</w:t>
      </w:r>
    </w:p>
    <w:p>
      <w:pPr>
        <w:pStyle w:val="65"/>
        <w:spacing w:before="156" w:after="156"/>
        <w:rPr>
          <w:color w:val="auto"/>
          <w:highlight w:val="none"/>
        </w:rPr>
      </w:pPr>
      <w:r>
        <w:rPr>
          <w:rFonts w:hint="eastAsia"/>
          <w:color w:val="auto"/>
          <w:highlight w:val="none"/>
        </w:rPr>
        <w:t>结构防治</w:t>
      </w:r>
    </w:p>
    <w:p>
      <w:pPr>
        <w:pStyle w:val="56"/>
        <w:ind w:firstLine="420"/>
        <w:rPr>
          <w:color w:val="auto"/>
          <w:highlight w:val="none"/>
        </w:rPr>
      </w:pPr>
      <w:r>
        <w:rPr>
          <w:rFonts w:hint="eastAsia"/>
          <w:color w:val="auto"/>
          <w:highlight w:val="none"/>
        </w:rPr>
        <w:t>学校食堂加工经营场所</w:t>
      </w:r>
      <w:r>
        <w:rPr>
          <w:rFonts w:hint="eastAsia" w:hAnsi="宋体"/>
          <w:color w:val="auto"/>
          <w:szCs w:val="24"/>
          <w:highlight w:val="none"/>
        </w:rPr>
        <w:t>建筑结构</w:t>
      </w:r>
      <w:r>
        <w:rPr>
          <w:rFonts w:hint="eastAsia"/>
          <w:color w:val="auto"/>
          <w:highlight w:val="none"/>
          <w:lang w:eastAsia="zh-CN"/>
        </w:rPr>
        <w:t>防治</w:t>
      </w:r>
      <w:r>
        <w:rPr>
          <w:rFonts w:hint="eastAsia" w:hAnsi="宋体"/>
          <w:color w:val="auto"/>
          <w:szCs w:val="24"/>
          <w:highlight w:val="none"/>
        </w:rPr>
        <w:t>飞虫孳生和入侵</w:t>
      </w:r>
      <w:r>
        <w:rPr>
          <w:rFonts w:hint="eastAsia"/>
          <w:color w:val="auto"/>
          <w:highlight w:val="none"/>
        </w:rPr>
        <w:t>措施，包括但不限于:</w:t>
      </w:r>
    </w:p>
    <w:p>
      <w:pPr>
        <w:pStyle w:val="132"/>
        <w:rPr>
          <w:color w:val="auto"/>
          <w:highlight w:val="none"/>
        </w:rPr>
      </w:pPr>
      <w:r>
        <w:rPr>
          <w:rFonts w:hint="eastAsia" w:hAnsi="宋体"/>
          <w:color w:val="auto"/>
          <w:szCs w:val="24"/>
          <w:highlight w:val="none"/>
        </w:rPr>
        <w:t>通户外的入口处安装风幕机、防虫幕帘等防</w:t>
      </w:r>
      <w:r>
        <w:rPr>
          <w:rFonts w:hint="eastAsia" w:hAnsi="宋体"/>
          <w:color w:val="auto"/>
          <w:szCs w:val="24"/>
          <w:highlight w:val="none"/>
          <w:lang w:eastAsia="zh-CN"/>
        </w:rPr>
        <w:t>虫</w:t>
      </w:r>
      <w:r>
        <w:rPr>
          <w:rFonts w:hint="eastAsia" w:hAnsi="宋体"/>
          <w:color w:val="auto"/>
          <w:szCs w:val="24"/>
          <w:highlight w:val="none"/>
        </w:rPr>
        <w:t>设备，风幕机风向和风速需符合要求；常开启的窗户安装纱窗</w:t>
      </w:r>
      <w:r>
        <w:rPr>
          <w:rFonts w:hint="eastAsia"/>
          <w:color w:val="auto"/>
          <w:highlight w:val="none"/>
        </w:rPr>
        <w:t>；</w:t>
      </w:r>
    </w:p>
    <w:p>
      <w:pPr>
        <w:pStyle w:val="132"/>
        <w:rPr>
          <w:color w:val="auto"/>
          <w:highlight w:val="none"/>
        </w:rPr>
      </w:pPr>
      <w:r>
        <w:rPr>
          <w:rFonts w:hint="eastAsia" w:hAnsi="宋体"/>
          <w:color w:val="auto"/>
          <w:szCs w:val="24"/>
          <w:highlight w:val="none"/>
        </w:rPr>
        <w:t>昆虫诱捕灯的安装数量、高度、位置需符合要求；</w:t>
      </w:r>
    </w:p>
    <w:p>
      <w:pPr>
        <w:pStyle w:val="132"/>
        <w:rPr>
          <w:color w:val="auto"/>
          <w:highlight w:val="none"/>
        </w:rPr>
      </w:pPr>
      <w:r>
        <w:rPr>
          <w:rFonts w:hint="eastAsia" w:hAnsi="宋体"/>
          <w:color w:val="auto"/>
          <w:szCs w:val="24"/>
          <w:highlight w:val="none"/>
        </w:rPr>
        <w:t>食品加工处理区域内地砖、面砖缺损内不得有虫害孳生；</w:t>
      </w:r>
    </w:p>
    <w:p>
      <w:pPr>
        <w:pStyle w:val="132"/>
        <w:rPr>
          <w:color w:val="auto"/>
          <w:highlight w:val="none"/>
        </w:rPr>
      </w:pPr>
      <w:r>
        <w:rPr>
          <w:rFonts w:hint="eastAsia" w:hAnsi="宋体"/>
          <w:color w:val="auto"/>
          <w:szCs w:val="24"/>
          <w:highlight w:val="none"/>
        </w:rPr>
        <w:t>建筑顶部或者墙壁不得有飞虫进入的通道。</w:t>
      </w:r>
    </w:p>
    <w:p>
      <w:pPr>
        <w:pStyle w:val="104"/>
        <w:spacing w:before="312" w:after="312"/>
        <w:rPr>
          <w:color w:val="auto"/>
          <w:highlight w:val="none"/>
        </w:rPr>
      </w:pPr>
      <w:r>
        <w:rPr>
          <w:rFonts w:hint="eastAsia"/>
          <w:color w:val="auto"/>
          <w:highlight w:val="none"/>
        </w:rPr>
        <w:t>防治管理控制</w:t>
      </w:r>
    </w:p>
    <w:p>
      <w:pPr>
        <w:pStyle w:val="105"/>
        <w:numPr>
          <w:ilvl w:val="2"/>
          <w:numId w:val="32"/>
        </w:numPr>
        <w:spacing w:before="156" w:after="156"/>
        <w:rPr>
          <w:color w:val="auto"/>
          <w:highlight w:val="none"/>
        </w:rPr>
      </w:pPr>
      <w:r>
        <w:rPr>
          <w:rFonts w:hint="eastAsia"/>
          <w:color w:val="auto"/>
          <w:highlight w:val="none"/>
        </w:rPr>
        <w:t>管控主体</w:t>
      </w:r>
    </w:p>
    <w:p>
      <w:pPr>
        <w:pStyle w:val="105"/>
        <w:numPr>
          <w:ilvl w:val="2"/>
          <w:numId w:val="0"/>
        </w:numPr>
        <w:spacing w:before="156" w:after="156"/>
        <w:ind w:firstLine="420" w:firstLineChars="200"/>
        <w:rPr>
          <w:rFonts w:hint="eastAsia" w:ascii="宋体" w:eastAsia="宋体"/>
          <w:color w:val="auto"/>
          <w:highlight w:val="none"/>
        </w:rPr>
      </w:pPr>
      <w:r>
        <w:rPr>
          <w:rFonts w:hint="eastAsia" w:ascii="宋体" w:eastAsia="宋体"/>
          <w:color w:val="auto"/>
          <w:highlight w:val="none"/>
        </w:rPr>
        <w:t>学校食堂应做好有害生物风险防制工作，委托服务商开展有害生物风险防制的，服务商应按照合同规定，开展有害生物风险防制工作。服务商开展有害生物防制后，应将发现的问题及改进建议记录在作业报告中并告知学校食堂。</w:t>
      </w:r>
    </w:p>
    <w:p>
      <w:pPr>
        <w:pStyle w:val="105"/>
        <w:numPr>
          <w:ilvl w:val="2"/>
          <w:numId w:val="32"/>
        </w:numPr>
        <w:spacing w:before="156" w:after="156"/>
        <w:rPr>
          <w:color w:val="auto"/>
          <w:highlight w:val="none"/>
        </w:rPr>
      </w:pPr>
      <w:r>
        <w:rPr>
          <w:rFonts w:hint="eastAsia"/>
          <w:color w:val="auto"/>
          <w:highlight w:val="none"/>
        </w:rPr>
        <w:t>智慧管理设施应用</w:t>
      </w:r>
    </w:p>
    <w:p>
      <w:pPr>
        <w:pStyle w:val="165"/>
        <w:rPr>
          <w:color w:val="auto"/>
          <w:highlight w:val="none"/>
        </w:rPr>
      </w:pPr>
      <w:r>
        <w:rPr>
          <w:rFonts w:hint="eastAsia"/>
          <w:color w:val="auto"/>
          <w:highlight w:val="none"/>
        </w:rPr>
        <w:t>充分发挥“互联网+明厨亮灶”可视化系统作用，运用AI智能抓拍等科技化手段，实时捕捉老鼠、蟑螂、飞虫等有害生物活动痕迹，一旦发现有害生物进入食品处理区，要及时查找原因，堵塞漏洞，消除隐患，并运用智慧抓拍系统，全时段对有害生物活动进行监测，抓拍有害生物活动照片，及时推送预警。</w:t>
      </w:r>
    </w:p>
    <w:p>
      <w:pPr>
        <w:pStyle w:val="165"/>
        <w:rPr>
          <w:color w:val="auto"/>
          <w:highlight w:val="none"/>
        </w:rPr>
      </w:pPr>
      <w:r>
        <w:rPr>
          <w:rFonts w:hint="eastAsia"/>
          <w:color w:val="auto"/>
          <w:highlight w:val="none"/>
        </w:rPr>
        <w:t>鼓励使用电子驱鼠器、驱蚊器等新型防治设施，有效防范老鼠、飞虫、蟑螂等有害生物进入食堂。</w:t>
      </w:r>
    </w:p>
    <w:p>
      <w:pPr>
        <w:pStyle w:val="165"/>
        <w:rPr>
          <w:color w:val="auto"/>
          <w:highlight w:val="none"/>
        </w:rPr>
      </w:pPr>
      <w:r>
        <w:rPr>
          <w:rFonts w:hint="eastAsia"/>
          <w:color w:val="auto"/>
          <w:highlight w:val="none"/>
        </w:rPr>
        <w:t>宜应用挡鼠板等其他阻挡设施移位监测传感器，监测设备应用情况。</w:t>
      </w:r>
    </w:p>
    <w:p>
      <w:pPr>
        <w:pStyle w:val="105"/>
        <w:numPr>
          <w:ilvl w:val="2"/>
          <w:numId w:val="32"/>
        </w:numPr>
        <w:spacing w:before="156" w:after="156"/>
        <w:rPr>
          <w:color w:val="auto"/>
          <w:highlight w:val="none"/>
        </w:rPr>
      </w:pPr>
      <w:r>
        <w:rPr>
          <w:rFonts w:hint="eastAsia"/>
          <w:color w:val="auto"/>
          <w:highlight w:val="none"/>
        </w:rPr>
        <w:t>鼠类管控</w:t>
      </w:r>
    </w:p>
    <w:p>
      <w:pPr>
        <w:pStyle w:val="165"/>
        <w:rPr>
          <w:color w:val="auto"/>
          <w:highlight w:val="none"/>
        </w:rPr>
      </w:pPr>
      <w:r>
        <w:rPr>
          <w:rFonts w:hint="eastAsia"/>
          <w:color w:val="auto"/>
          <w:highlight w:val="none"/>
        </w:rPr>
        <w:t>食堂内控制鼠类应首选粘鼠板，根据需要也可使用捕鼠笼和机械式捕鼠器等鼠类诱捕设施，食堂内不得使用杀鼠剂。</w:t>
      </w:r>
    </w:p>
    <w:p>
      <w:pPr>
        <w:pStyle w:val="165"/>
        <w:rPr>
          <w:color w:val="auto"/>
          <w:highlight w:val="none"/>
        </w:rPr>
      </w:pPr>
      <w:r>
        <w:rPr>
          <w:rFonts w:hint="eastAsia"/>
          <w:color w:val="auto"/>
          <w:highlight w:val="none"/>
        </w:rPr>
        <w:t>食堂外使用抗干预型鼠饵站的，鼠饵站和鼠饵必须固定安装，并设置警示标识和编号。</w:t>
      </w:r>
    </w:p>
    <w:p>
      <w:pPr>
        <w:pStyle w:val="165"/>
        <w:rPr>
          <w:color w:val="auto"/>
          <w:highlight w:val="none"/>
        </w:rPr>
      </w:pPr>
      <w:r>
        <w:rPr>
          <w:rFonts w:hint="eastAsia"/>
          <w:color w:val="auto"/>
          <w:highlight w:val="none"/>
        </w:rPr>
        <w:t>采用防制设施示意图形式，标示鼠类诱捕设施布放位置；重点检查曾经发生鼠迹位置；及时更换失效和捕获鼠类的粘鼠板，将捕获鼠类和鼠尸带离服务场所。</w:t>
      </w:r>
    </w:p>
    <w:p>
      <w:pPr>
        <w:pStyle w:val="105"/>
        <w:numPr>
          <w:ilvl w:val="2"/>
          <w:numId w:val="32"/>
        </w:numPr>
        <w:spacing w:before="156" w:after="156"/>
        <w:rPr>
          <w:color w:val="auto"/>
          <w:highlight w:val="none"/>
        </w:rPr>
      </w:pPr>
      <w:r>
        <w:rPr>
          <w:rFonts w:hint="eastAsia"/>
          <w:color w:val="auto"/>
          <w:highlight w:val="none"/>
        </w:rPr>
        <w:t>蟑螂管控</w:t>
      </w:r>
    </w:p>
    <w:p>
      <w:pPr>
        <w:pStyle w:val="165"/>
        <w:rPr>
          <w:color w:val="auto"/>
          <w:highlight w:val="none"/>
        </w:rPr>
      </w:pPr>
      <w:r>
        <w:rPr>
          <w:rFonts w:hint="eastAsia" w:hAnsi="宋体"/>
          <w:color w:val="auto"/>
          <w:szCs w:val="24"/>
          <w:highlight w:val="none"/>
        </w:rPr>
        <w:t>检查各区域的蟑迹，以及入侵途径和栖息环境</w:t>
      </w:r>
      <w:r>
        <w:rPr>
          <w:rFonts w:hint="eastAsia"/>
          <w:color w:val="auto"/>
          <w:highlight w:val="none"/>
        </w:rPr>
        <w:t>。</w:t>
      </w:r>
    </w:p>
    <w:p>
      <w:pPr>
        <w:pStyle w:val="165"/>
        <w:rPr>
          <w:color w:val="auto"/>
          <w:highlight w:val="none"/>
        </w:rPr>
      </w:pPr>
      <w:r>
        <w:rPr>
          <w:rFonts w:hint="eastAsia"/>
          <w:color w:val="auto"/>
          <w:highlight w:val="none"/>
        </w:rPr>
        <w:t>蟑螂控制以杀蟑胶饵为首选，遵循点多、量少、面广的原则，在发现有蟑迹的缝隙、孔洞和设备内部，针对性施用杀蟑胶饵；在定期检查施用杀蟑胶饵区域，根据需要及时添补和替换失效的杀蟑胶饵。</w:t>
      </w:r>
    </w:p>
    <w:p>
      <w:pPr>
        <w:pStyle w:val="165"/>
        <w:rPr>
          <w:color w:val="auto"/>
          <w:highlight w:val="none"/>
        </w:rPr>
      </w:pPr>
      <w:r>
        <w:rPr>
          <w:rFonts w:hint="eastAsia"/>
          <w:color w:val="auto"/>
          <w:highlight w:val="none"/>
        </w:rPr>
        <w:t>采用滞留喷洒等化学喷洒方法的，应在确保安全的非营业时间，经学校及学校食堂责任人同意并确认配合，做好现场设备设施的防护后实施。操作结束后，应彻底清洁整个食堂经营场所和设备设施，消除药物残留</w:t>
      </w:r>
      <w:r>
        <w:rPr>
          <w:rFonts w:hint="eastAsia"/>
          <w:color w:val="auto"/>
          <w:highlight w:val="none"/>
          <w:lang w:eastAsia="zh-CN"/>
        </w:rPr>
        <w:t>。</w:t>
      </w:r>
    </w:p>
    <w:p>
      <w:pPr>
        <w:pStyle w:val="165"/>
        <w:rPr>
          <w:color w:val="auto"/>
          <w:highlight w:val="none"/>
        </w:rPr>
      </w:pPr>
      <w:r>
        <w:rPr>
          <w:rFonts w:hint="eastAsia" w:hAnsi="宋体"/>
          <w:color w:val="auto"/>
          <w:szCs w:val="24"/>
          <w:highlight w:val="none"/>
        </w:rPr>
        <w:t>对易受蟑螂侵害的机器和设备，做彻底检查</w:t>
      </w:r>
      <w:r>
        <w:rPr>
          <w:rFonts w:hint="eastAsia" w:hAnsi="宋体"/>
          <w:color w:val="auto"/>
          <w:szCs w:val="24"/>
          <w:highlight w:val="none"/>
          <w:lang w:eastAsia="zh-CN"/>
        </w:rPr>
        <w:t>、</w:t>
      </w:r>
      <w:r>
        <w:rPr>
          <w:rFonts w:hint="eastAsia" w:hAnsi="宋体"/>
          <w:color w:val="auto"/>
          <w:szCs w:val="24"/>
          <w:highlight w:val="none"/>
        </w:rPr>
        <w:t>预防</w:t>
      </w:r>
      <w:r>
        <w:rPr>
          <w:rFonts w:hint="eastAsia" w:hAnsi="宋体"/>
          <w:color w:val="auto"/>
          <w:szCs w:val="24"/>
          <w:highlight w:val="none"/>
          <w:lang w:eastAsia="zh-CN"/>
        </w:rPr>
        <w:t>和</w:t>
      </w:r>
      <w:r>
        <w:rPr>
          <w:rFonts w:hint="eastAsia" w:hAnsi="宋体"/>
          <w:color w:val="auto"/>
          <w:szCs w:val="24"/>
          <w:highlight w:val="none"/>
        </w:rPr>
        <w:t>控制处理。</w:t>
      </w:r>
    </w:p>
    <w:p>
      <w:pPr>
        <w:pStyle w:val="105"/>
        <w:numPr>
          <w:ilvl w:val="2"/>
          <w:numId w:val="32"/>
        </w:numPr>
        <w:spacing w:before="156" w:after="156"/>
        <w:rPr>
          <w:color w:val="auto"/>
          <w:highlight w:val="none"/>
        </w:rPr>
      </w:pPr>
      <w:r>
        <w:rPr>
          <w:rFonts w:hint="eastAsia"/>
          <w:color w:val="auto"/>
          <w:highlight w:val="none"/>
        </w:rPr>
        <w:t>飞虫管控</w:t>
      </w:r>
    </w:p>
    <w:p>
      <w:pPr>
        <w:pStyle w:val="165"/>
        <w:rPr>
          <w:color w:val="auto"/>
          <w:highlight w:val="none"/>
        </w:rPr>
      </w:pPr>
      <w:r>
        <w:rPr>
          <w:rFonts w:hint="eastAsia"/>
          <w:color w:val="auto"/>
          <w:highlight w:val="none"/>
        </w:rPr>
        <w:t>诱捕灯下沿一般安装在距离地面1.8m-2.2m处，其灯光从室外不能直接看到。诱捕灯不得安装在食物或者食品操作台上面，餐饮区域应安装粘捕式诱捕灯；诱捕灯的粘纸以及紫外线灯管应定期更换，灯管</w:t>
      </w:r>
      <w:r>
        <w:rPr>
          <w:rFonts w:hint="eastAsia"/>
          <w:color w:val="auto"/>
          <w:highlight w:val="none"/>
          <w:lang w:eastAsia="zh-CN"/>
        </w:rPr>
        <w:t>宜</w:t>
      </w:r>
      <w:r>
        <w:rPr>
          <w:rFonts w:hint="eastAsia"/>
          <w:color w:val="auto"/>
          <w:highlight w:val="none"/>
        </w:rPr>
        <w:t>一年更换一次；诱捕灯的数量可根据需要和合同的约定放置。</w:t>
      </w:r>
    </w:p>
    <w:p>
      <w:pPr>
        <w:pStyle w:val="165"/>
        <w:rPr>
          <w:color w:val="auto"/>
          <w:highlight w:val="none"/>
        </w:rPr>
      </w:pPr>
      <w:r>
        <w:rPr>
          <w:rFonts w:hint="eastAsia"/>
          <w:color w:val="auto"/>
          <w:highlight w:val="none"/>
        </w:rPr>
        <w:t>使用风幕机的，推荐风幕机应大于或者等于门的宽度，出风口向外倾宜</w:t>
      </w:r>
      <w:r>
        <w:rPr>
          <w:color w:val="auto"/>
          <w:highlight w:val="none"/>
        </w:rPr>
        <w:t>30</w:t>
      </w:r>
      <w:r>
        <w:rPr>
          <w:rFonts w:hint="eastAsia"/>
          <w:color w:val="auto"/>
          <w:highlight w:val="none"/>
        </w:rPr>
        <w:t>°角，落地风速宜大于</w:t>
      </w:r>
      <w:r>
        <w:rPr>
          <w:color w:val="auto"/>
          <w:highlight w:val="none"/>
        </w:rPr>
        <w:t>4m/s</w:t>
      </w:r>
      <w:r>
        <w:rPr>
          <w:rFonts w:hint="eastAsia"/>
          <w:color w:val="auto"/>
          <w:highlight w:val="none"/>
        </w:rPr>
        <w:t>。</w:t>
      </w:r>
    </w:p>
    <w:p>
      <w:pPr>
        <w:pStyle w:val="165"/>
        <w:rPr>
          <w:color w:val="auto"/>
          <w:highlight w:val="none"/>
        </w:rPr>
      </w:pPr>
      <w:r>
        <w:rPr>
          <w:rFonts w:hint="eastAsia" w:hAnsi="宋体"/>
          <w:color w:val="auto"/>
          <w:szCs w:val="24"/>
          <w:highlight w:val="none"/>
        </w:rPr>
        <w:t>检查各区域的飞虫种类，判断飞虫入侵途径或者孳生地，并采取相应的控制措施。</w:t>
      </w:r>
    </w:p>
    <w:p>
      <w:pPr>
        <w:pStyle w:val="165"/>
        <w:rPr>
          <w:color w:val="auto"/>
          <w:highlight w:val="none"/>
        </w:rPr>
      </w:pPr>
      <w:r>
        <w:rPr>
          <w:rFonts w:hint="eastAsia"/>
          <w:color w:val="auto"/>
          <w:highlight w:val="none"/>
        </w:rPr>
        <w:t>采用滞留喷洒或冷、热雾喷洒等化学防治方法的，应在确保安全的非营业时间，经学校及学校食堂责任人同意并确认配合，做好现场设备设施的防护后实施。操作结束后，应彻底清洁整个食堂经营场所和设备设施，消除药物残留。</w:t>
      </w:r>
    </w:p>
    <w:p>
      <w:pPr>
        <w:pStyle w:val="104"/>
        <w:numPr>
          <w:ilvl w:val="1"/>
          <w:numId w:val="32"/>
        </w:numPr>
        <w:spacing w:before="312" w:after="312"/>
        <w:rPr>
          <w:color w:val="auto"/>
          <w:highlight w:val="none"/>
        </w:rPr>
      </w:pPr>
      <w:r>
        <w:rPr>
          <w:rFonts w:hint="eastAsia"/>
          <w:color w:val="auto"/>
          <w:highlight w:val="none"/>
        </w:rPr>
        <w:t>防治效果检查与评估</w:t>
      </w:r>
    </w:p>
    <w:p>
      <w:pPr>
        <w:pStyle w:val="105"/>
        <w:numPr>
          <w:ilvl w:val="2"/>
          <w:numId w:val="32"/>
        </w:numPr>
        <w:spacing w:before="156" w:after="156"/>
        <w:rPr>
          <w:color w:val="auto"/>
          <w:highlight w:val="none"/>
        </w:rPr>
      </w:pPr>
      <w:r>
        <w:rPr>
          <w:rFonts w:hint="eastAsia"/>
          <w:color w:val="auto"/>
          <w:highlight w:val="none"/>
        </w:rPr>
        <w:t>有害生物密度检查方法</w:t>
      </w:r>
    </w:p>
    <w:p>
      <w:pPr>
        <w:pStyle w:val="105"/>
        <w:numPr>
          <w:ilvl w:val="2"/>
          <w:numId w:val="0"/>
        </w:numPr>
        <w:spacing w:before="156" w:after="156"/>
        <w:ind w:firstLine="420" w:firstLineChars="200"/>
        <w:rPr>
          <w:rFonts w:ascii="宋体" w:eastAsia="宋体"/>
          <w:color w:val="auto"/>
          <w:highlight w:val="none"/>
        </w:rPr>
      </w:pPr>
      <w:r>
        <w:rPr>
          <w:rFonts w:hint="eastAsia" w:ascii="宋体" w:eastAsia="宋体"/>
          <w:color w:val="auto"/>
          <w:highlight w:val="none"/>
        </w:rPr>
        <w:t>按照GB/T 23798、GB/T 23796和GB/T 23795的规定开展鼠类、</w:t>
      </w:r>
      <w:r>
        <w:rPr>
          <w:rFonts w:hint="eastAsia" w:ascii="宋体" w:eastAsia="宋体"/>
          <w:color w:val="auto"/>
          <w:highlight w:val="none"/>
          <w:lang w:eastAsia="zh-CN"/>
        </w:rPr>
        <w:t>飞虫</w:t>
      </w:r>
      <w:r>
        <w:rPr>
          <w:rFonts w:hint="eastAsia" w:ascii="宋体" w:eastAsia="宋体"/>
          <w:color w:val="auto"/>
          <w:highlight w:val="none"/>
        </w:rPr>
        <w:t>和蟑螂等有害生物密度检查。</w:t>
      </w:r>
    </w:p>
    <w:p>
      <w:pPr>
        <w:pStyle w:val="105"/>
        <w:numPr>
          <w:ilvl w:val="2"/>
          <w:numId w:val="32"/>
        </w:numPr>
        <w:spacing w:before="156" w:after="156"/>
        <w:rPr>
          <w:color w:val="auto"/>
          <w:highlight w:val="none"/>
        </w:rPr>
      </w:pPr>
      <w:r>
        <w:rPr>
          <w:rFonts w:hint="eastAsia"/>
          <w:color w:val="auto"/>
          <w:highlight w:val="none"/>
        </w:rPr>
        <w:t>有害生物密度控制水平检查与评估</w:t>
      </w:r>
    </w:p>
    <w:p>
      <w:pPr>
        <w:pStyle w:val="105"/>
        <w:numPr>
          <w:ilvl w:val="2"/>
          <w:numId w:val="0"/>
        </w:numPr>
        <w:spacing w:before="156" w:after="156"/>
        <w:ind w:firstLine="420" w:firstLineChars="200"/>
        <w:rPr>
          <w:rFonts w:ascii="宋体" w:eastAsia="宋体"/>
          <w:color w:val="auto"/>
          <w:highlight w:val="none"/>
        </w:rPr>
      </w:pPr>
      <w:r>
        <w:rPr>
          <w:rFonts w:hint="eastAsia" w:ascii="宋体" w:eastAsia="宋体"/>
          <w:color w:val="auto"/>
          <w:highlight w:val="none"/>
        </w:rPr>
        <w:t>按照附录</w:t>
      </w:r>
      <w:r>
        <w:rPr>
          <w:rFonts w:hint="eastAsia" w:ascii="宋体" w:eastAsia="宋体"/>
          <w:color w:val="auto"/>
          <w:highlight w:val="none"/>
          <w:lang w:val="en-US" w:eastAsia="zh-CN"/>
        </w:rPr>
        <w:t>B</w:t>
      </w:r>
      <w:r>
        <w:rPr>
          <w:rFonts w:hint="eastAsia" w:ascii="宋体" w:eastAsia="宋体"/>
          <w:color w:val="auto"/>
          <w:highlight w:val="none"/>
        </w:rPr>
        <w:t>的要求，定期对企业内部的鼠类、</w:t>
      </w:r>
      <w:r>
        <w:rPr>
          <w:rFonts w:hint="eastAsia" w:ascii="宋体" w:eastAsia="宋体"/>
          <w:color w:val="auto"/>
          <w:highlight w:val="none"/>
          <w:lang w:eastAsia="zh-CN"/>
        </w:rPr>
        <w:t>飞虫</w:t>
      </w:r>
      <w:r>
        <w:rPr>
          <w:rFonts w:hint="eastAsia" w:ascii="宋体" w:eastAsia="宋体"/>
          <w:color w:val="auto"/>
          <w:highlight w:val="none"/>
        </w:rPr>
        <w:t>和蟑螂控制水平进行检查和控制效果评估。</w:t>
      </w:r>
    </w:p>
    <w:p>
      <w:pPr>
        <w:pStyle w:val="105"/>
        <w:numPr>
          <w:ilvl w:val="2"/>
          <w:numId w:val="32"/>
        </w:numPr>
        <w:spacing w:before="156" w:after="156"/>
        <w:rPr>
          <w:color w:val="auto"/>
          <w:highlight w:val="none"/>
        </w:rPr>
      </w:pPr>
      <w:r>
        <w:rPr>
          <w:rFonts w:hint="eastAsia"/>
          <w:color w:val="auto"/>
          <w:highlight w:val="none"/>
        </w:rPr>
        <w:t>第三方评估</w:t>
      </w:r>
    </w:p>
    <w:p>
      <w:pPr>
        <w:pStyle w:val="105"/>
        <w:numPr>
          <w:ilvl w:val="2"/>
          <w:numId w:val="0"/>
        </w:numPr>
        <w:spacing w:before="156" w:after="156"/>
        <w:ind w:firstLine="420" w:firstLineChars="200"/>
        <w:rPr>
          <w:rFonts w:ascii="宋体" w:eastAsia="宋体"/>
          <w:color w:val="auto"/>
          <w:highlight w:val="none"/>
        </w:rPr>
      </w:pPr>
      <w:r>
        <w:rPr>
          <w:rFonts w:hint="eastAsia" w:ascii="宋体" w:eastAsia="宋体"/>
          <w:color w:val="auto"/>
          <w:highlight w:val="none"/>
        </w:rPr>
        <w:t>餐饮服务提供者与服务商对控制效果评估存在争议的，可以委托第三方专业机构，按照附录</w:t>
      </w:r>
      <w:r>
        <w:rPr>
          <w:rFonts w:hint="eastAsia" w:ascii="宋体" w:eastAsia="宋体"/>
          <w:color w:val="auto"/>
          <w:highlight w:val="none"/>
          <w:lang w:val="en-US" w:eastAsia="zh-CN"/>
        </w:rPr>
        <w:t>B</w:t>
      </w:r>
      <w:r>
        <w:rPr>
          <w:rFonts w:hint="eastAsia" w:ascii="宋体" w:eastAsia="宋体"/>
          <w:color w:val="auto"/>
          <w:highlight w:val="none"/>
        </w:rPr>
        <w:t>进行评估。</w:t>
      </w:r>
    </w:p>
    <w:p>
      <w:pPr>
        <w:pStyle w:val="104"/>
        <w:numPr>
          <w:ilvl w:val="1"/>
          <w:numId w:val="32"/>
        </w:numPr>
        <w:spacing w:before="312" w:after="312"/>
        <w:rPr>
          <w:color w:val="auto"/>
          <w:highlight w:val="none"/>
        </w:rPr>
      </w:pPr>
      <w:r>
        <w:rPr>
          <w:rFonts w:hint="eastAsia"/>
          <w:color w:val="auto"/>
          <w:highlight w:val="none"/>
        </w:rPr>
        <w:t>文档管理与保存</w:t>
      </w:r>
    </w:p>
    <w:p>
      <w:pPr>
        <w:pStyle w:val="105"/>
        <w:numPr>
          <w:ilvl w:val="2"/>
          <w:numId w:val="32"/>
        </w:numPr>
        <w:spacing w:before="156" w:after="156"/>
        <w:rPr>
          <w:color w:val="auto"/>
          <w:highlight w:val="none"/>
        </w:rPr>
      </w:pPr>
      <w:r>
        <w:rPr>
          <w:rFonts w:hint="eastAsia"/>
          <w:color w:val="auto"/>
          <w:highlight w:val="none"/>
        </w:rPr>
        <w:t>文档管理</w:t>
      </w:r>
    </w:p>
    <w:p>
      <w:pPr>
        <w:pStyle w:val="165"/>
        <w:rPr>
          <w:color w:val="auto"/>
          <w:highlight w:val="none"/>
        </w:rPr>
      </w:pPr>
      <w:r>
        <w:rPr>
          <w:rFonts w:hint="eastAsia"/>
          <w:color w:val="auto"/>
          <w:highlight w:val="none"/>
        </w:rPr>
        <w:t>有害生物防制文档包括防制人员（服务商）信息、综合虫害管理程序及方案和良好卫生操作规程管理等。</w:t>
      </w:r>
    </w:p>
    <w:p>
      <w:pPr>
        <w:pStyle w:val="165"/>
        <w:rPr>
          <w:color w:val="auto"/>
          <w:highlight w:val="none"/>
        </w:rPr>
      </w:pPr>
      <w:r>
        <w:rPr>
          <w:rFonts w:hint="eastAsia"/>
          <w:color w:val="auto"/>
          <w:highlight w:val="none"/>
        </w:rPr>
        <w:t>建立有害生物防治制度。</w:t>
      </w:r>
    </w:p>
    <w:p>
      <w:pPr>
        <w:pStyle w:val="165"/>
        <w:rPr>
          <w:color w:val="auto"/>
          <w:highlight w:val="none"/>
        </w:rPr>
      </w:pPr>
      <w:r>
        <w:rPr>
          <w:rFonts w:hint="eastAsia"/>
          <w:color w:val="auto"/>
          <w:highlight w:val="none"/>
        </w:rPr>
        <w:t>开展从业人员防鼠、防虫等有害生物相关培训并记录。</w:t>
      </w:r>
    </w:p>
    <w:p>
      <w:pPr>
        <w:pStyle w:val="165"/>
        <w:rPr>
          <w:color w:val="auto"/>
          <w:highlight w:val="none"/>
        </w:rPr>
      </w:pPr>
      <w:r>
        <w:rPr>
          <w:rFonts w:hint="eastAsia"/>
          <w:color w:val="auto"/>
          <w:highlight w:val="none"/>
        </w:rPr>
        <w:t>开展有害生物杀灭并记录。</w:t>
      </w:r>
    </w:p>
    <w:p>
      <w:pPr>
        <w:pStyle w:val="165"/>
        <w:rPr>
          <w:color w:val="auto"/>
          <w:highlight w:val="none"/>
        </w:rPr>
      </w:pPr>
      <w:r>
        <w:rPr>
          <w:rFonts w:hint="eastAsia"/>
          <w:color w:val="auto"/>
          <w:highlight w:val="none"/>
        </w:rPr>
        <w:t>服务商信息包括服务商营业执照（三证合一）及行业等级资质、联系人、服务频率、服务条款、服务内容以及服务人员资质证和健康证，服务单据、设施维护记录、服务报告、培训文件等。</w:t>
      </w:r>
    </w:p>
    <w:p>
      <w:pPr>
        <w:pStyle w:val="165"/>
        <w:rPr>
          <w:color w:val="auto"/>
          <w:highlight w:val="none"/>
        </w:rPr>
      </w:pPr>
      <w:r>
        <w:rPr>
          <w:rFonts w:hint="eastAsia"/>
          <w:color w:val="auto"/>
          <w:highlight w:val="none"/>
        </w:rPr>
        <w:t>综合虫害管理程序及方案包括使用的药剂清单、虫害防制设施平面图、公众责任险和雇主责任险等。</w:t>
      </w:r>
    </w:p>
    <w:p>
      <w:pPr>
        <w:pStyle w:val="105"/>
        <w:numPr>
          <w:ilvl w:val="2"/>
          <w:numId w:val="32"/>
        </w:numPr>
        <w:spacing w:before="156" w:after="156"/>
        <w:rPr>
          <w:color w:val="auto"/>
          <w:highlight w:val="none"/>
        </w:rPr>
      </w:pPr>
      <w:r>
        <w:rPr>
          <w:rFonts w:hint="eastAsia"/>
          <w:color w:val="auto"/>
          <w:highlight w:val="none"/>
        </w:rPr>
        <w:t>文档保存</w:t>
      </w:r>
    </w:p>
    <w:p>
      <w:pPr>
        <w:pStyle w:val="165"/>
        <w:rPr>
          <w:color w:val="auto"/>
          <w:highlight w:val="none"/>
        </w:rPr>
      </w:pPr>
      <w:r>
        <w:rPr>
          <w:rFonts w:hint="eastAsia"/>
          <w:color w:val="auto"/>
          <w:highlight w:val="none"/>
        </w:rPr>
        <w:t>鼓励采用先进技术手段（如电子计算机信息系统），进行记录和文件管理。</w:t>
      </w:r>
    </w:p>
    <w:p>
      <w:pPr>
        <w:pStyle w:val="165"/>
        <w:rPr>
          <w:color w:val="auto"/>
          <w:highlight w:val="none"/>
        </w:rPr>
      </w:pPr>
      <w:r>
        <w:rPr>
          <w:rFonts w:hint="eastAsia"/>
          <w:color w:val="auto"/>
          <w:highlight w:val="none"/>
        </w:rPr>
        <w:t>文件包括不限于书面材料或通过信息化智能终端采集数据，以保证电子数据，记录内容应完整。文件保存期</w:t>
      </w:r>
      <w:r>
        <w:rPr>
          <w:color w:val="auto"/>
          <w:highlight w:val="none"/>
        </w:rPr>
        <w:t>2</w:t>
      </w:r>
      <w:r>
        <w:rPr>
          <w:rFonts w:hint="eastAsia"/>
          <w:color w:val="auto"/>
          <w:highlight w:val="none"/>
        </w:rPr>
        <w:t>年。</w:t>
      </w:r>
    </w:p>
    <w:p>
      <w:pPr>
        <w:pStyle w:val="112"/>
        <w:spacing w:before="156" w:after="156"/>
        <w:rPr>
          <w:color w:val="auto"/>
          <w:highlight w:val="none"/>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pPr>
    </w:p>
    <w:bookmarkEnd w:id="22"/>
    <w:p>
      <w:pPr>
        <w:pStyle w:val="198"/>
        <w:rPr>
          <w:vanish w:val="0"/>
        </w:rPr>
      </w:pPr>
      <w:bookmarkStart w:id="44" w:name="BookMark5"/>
    </w:p>
    <w:p>
      <w:pPr>
        <w:pStyle w:val="199"/>
        <w:rPr>
          <w:vanish w:val="0"/>
        </w:rPr>
      </w:pPr>
    </w:p>
    <w:p>
      <w:pPr>
        <w:pStyle w:val="76"/>
        <w:spacing w:after="156"/>
        <w:rPr>
          <w:rFonts w:hint="eastAsia"/>
        </w:rPr>
      </w:pPr>
      <w:r>
        <w:br w:type="textWrapping"/>
      </w:r>
      <w:r>
        <w:rPr>
          <w:rFonts w:hint="eastAsia"/>
        </w:rPr>
        <w:t>（规范性）</w:t>
      </w:r>
      <w:r>
        <w:br w:type="textWrapping"/>
      </w:r>
      <w:r>
        <w:rPr>
          <w:rFonts w:hint="eastAsia"/>
        </w:rPr>
        <w:t>学校食堂老鼠风险日管控参考清单</w:t>
      </w:r>
    </w:p>
    <w:p>
      <w:pPr>
        <w:pStyle w:val="56"/>
        <w:ind w:firstLine="420"/>
        <w:rPr>
          <w:rFonts w:hint="eastAsia"/>
        </w:rPr>
      </w:pPr>
      <w:r>
        <w:rPr>
          <w:rFonts w:hint="eastAsia"/>
        </w:rPr>
        <w:t>见表A.1。</w:t>
      </w:r>
    </w:p>
    <w:p>
      <w:pPr>
        <w:pStyle w:val="77"/>
        <w:spacing w:before="156" w:after="156"/>
        <w:rPr>
          <w:rFonts w:hint="eastAsia"/>
        </w:rPr>
      </w:pPr>
      <w:r>
        <w:rPr>
          <w:rFonts w:hint="eastAsia"/>
        </w:rPr>
        <w:t>学校食堂老鼠风险日管控参考清单</w:t>
      </w:r>
    </w:p>
    <w:tbl>
      <w:tblPr>
        <w:tblStyle w:val="27"/>
        <w:tblW w:w="937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6"/>
        <w:gridCol w:w="992"/>
        <w:gridCol w:w="5812"/>
        <w:gridCol w:w="128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tcBorders>
              <w:top w:val="single" w:color="auto" w:sz="8" w:space="0"/>
              <w:left w:val="single" w:color="auto" w:sz="8" w:space="0"/>
              <w:bottom w:val="single" w:color="auto" w:sz="8" w:space="0"/>
              <w:right w:val="single" w:color="auto" w:sz="4" w:space="0"/>
            </w:tcBorders>
            <w:vAlign w:val="center"/>
          </w:tcPr>
          <w:p>
            <w:pPr>
              <w:pStyle w:val="178"/>
            </w:pPr>
            <w:r>
              <w:rPr>
                <w:rFonts w:hint="eastAsia" w:hAnsi="宋体"/>
              </w:rPr>
              <w:t>项目</w:t>
            </w:r>
          </w:p>
        </w:tc>
        <w:tc>
          <w:tcPr>
            <w:tcW w:w="992" w:type="dxa"/>
            <w:tcBorders>
              <w:top w:val="single" w:color="auto" w:sz="8" w:space="0"/>
              <w:left w:val="single" w:color="auto" w:sz="4" w:space="0"/>
              <w:bottom w:val="single" w:color="auto" w:sz="8" w:space="0"/>
              <w:right w:val="single" w:color="auto" w:sz="4" w:space="0"/>
            </w:tcBorders>
            <w:vAlign w:val="center"/>
          </w:tcPr>
          <w:p>
            <w:pPr>
              <w:pStyle w:val="178"/>
            </w:pPr>
            <w:r>
              <w:rPr>
                <w:rFonts w:hint="eastAsia" w:hAnsi="宋体"/>
              </w:rPr>
              <w:t>序号</w:t>
            </w:r>
          </w:p>
        </w:tc>
        <w:tc>
          <w:tcPr>
            <w:tcW w:w="5812" w:type="dxa"/>
            <w:tcBorders>
              <w:top w:val="single" w:color="auto" w:sz="8" w:space="0"/>
              <w:left w:val="single" w:color="auto" w:sz="4" w:space="0"/>
              <w:bottom w:val="single" w:color="auto" w:sz="8" w:space="0"/>
              <w:right w:val="single" w:color="auto" w:sz="4" w:space="0"/>
            </w:tcBorders>
            <w:vAlign w:val="center"/>
          </w:tcPr>
          <w:p>
            <w:pPr>
              <w:pStyle w:val="178"/>
            </w:pPr>
            <w:r>
              <w:rPr>
                <w:rFonts w:hint="eastAsia" w:hAnsi="宋体"/>
              </w:rPr>
              <w:t>检查内容</w:t>
            </w:r>
          </w:p>
        </w:tc>
        <w:tc>
          <w:tcPr>
            <w:tcW w:w="1284" w:type="dxa"/>
            <w:tcBorders>
              <w:top w:val="single" w:color="auto" w:sz="8" w:space="0"/>
              <w:left w:val="single" w:color="auto" w:sz="4" w:space="0"/>
              <w:bottom w:val="single" w:color="auto" w:sz="8" w:space="0"/>
              <w:right w:val="single" w:color="auto" w:sz="8" w:space="0"/>
            </w:tcBorders>
            <w:vAlign w:val="center"/>
          </w:tcPr>
          <w:p>
            <w:pPr>
              <w:pStyle w:val="178"/>
            </w:pPr>
            <w:r>
              <w:rPr>
                <w:rFonts w:hint="eastAsia" w:hAnsi="宋体"/>
              </w:rPr>
              <w:t>检查结果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vMerge w:val="restart"/>
            <w:tcBorders>
              <w:top w:val="nil"/>
              <w:left w:val="single" w:color="auto" w:sz="8" w:space="0"/>
              <w:bottom w:val="single" w:color="auto" w:sz="4" w:space="0"/>
              <w:right w:val="single" w:color="auto" w:sz="4" w:space="0"/>
            </w:tcBorders>
            <w:vAlign w:val="center"/>
          </w:tcPr>
          <w:p>
            <w:pPr>
              <w:pStyle w:val="178"/>
            </w:pPr>
            <w:r>
              <w:rPr>
                <w:rFonts w:hint="eastAsia" w:hAnsi="宋体"/>
              </w:rPr>
              <w:t>防鼠设施</w:t>
            </w:r>
          </w:p>
        </w:tc>
        <w:tc>
          <w:tcPr>
            <w:tcW w:w="992" w:type="dxa"/>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1</w:t>
            </w:r>
          </w:p>
        </w:tc>
        <w:tc>
          <w:tcPr>
            <w:tcW w:w="5812" w:type="dxa"/>
            <w:tcBorders>
              <w:top w:val="single" w:color="auto" w:sz="8" w:space="0"/>
              <w:left w:val="single" w:color="auto" w:sz="4" w:space="0"/>
              <w:bottom w:val="single" w:color="auto" w:sz="4" w:space="0"/>
              <w:right w:val="single" w:color="auto" w:sz="4" w:space="0"/>
            </w:tcBorders>
            <w:vAlign w:val="center"/>
          </w:tcPr>
          <w:p>
            <w:pPr>
              <w:pStyle w:val="178"/>
              <w:jc w:val="left"/>
            </w:pPr>
            <w:r>
              <w:rPr>
                <w:rFonts w:hint="eastAsia" w:hAnsi="宋体"/>
              </w:rPr>
              <w:t>食品处理区与外界直接相通的门能自动关闭，人员、货物进出通道及原辅料仓库设有防鼠板等防鼠设施且完好，防鼠板与插槽、地面的缝隙小于6mm，防鼠板高度不低于60cm。</w:t>
            </w:r>
          </w:p>
        </w:tc>
        <w:tc>
          <w:tcPr>
            <w:tcW w:w="1284" w:type="dxa"/>
            <w:tcBorders>
              <w:top w:val="single" w:color="auto" w:sz="8"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所有管、线穿越而产生的孔洞填充牢固，无缝隙。</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3</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排水管道出水口安装的篦子应使用金属材料制成，篦子缝隙间距或网眼小于10mm。</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4</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与外界直接相通的通风口、换气窗外，应加装不小于16目的筛网。</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5</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与外界直接相通可开启的窗闭合严密、无变形，并设置纱网；木质的门框底部应用金属材料包边，高度宜在30cm以上。</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6</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天花板涂覆或装修的材料应坚固、无裂缝、不易脱落，具备防止鼠类等有害生物掉落的条件和管理措施；天花板上方电缆桥架应有盖。</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7</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墙壁、地面无裂缝，无破损。</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8</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餐饮服务场所内设置粘鼠板、捕鼠笼、机械式捕鼠器等装置，不得使用杀鼠剂。</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9</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食品自动设备密闭性应能有效防止老鼠等有害生物侵入。</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vMerge w:val="restart"/>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食品储存</w:t>
            </w: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10</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库房内应设置足够数量的存放架，其结构及位置能使贮存的食品和物品离墙离地，距离地面应在10cm以上，距离墙壁应在10cm以上，原辅料应该定期翻动。</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11</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食品库房、食品贮存或卫生死角等区域、运输工具、货物包装无有害生物活动迹象（如鼠粪、鼠咬痕等鼠迹，蟑尸、蟑粪、卵鞘等蟑迹）。</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12</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仓库内闲置物品或设备应定期清理。</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13</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所有工用具和器皿使用前应检查是否存在鼠粪、鼠毛等鼠迹。</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14</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过夜食品应放入冰箱或密封存放。</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15</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直接入口的散装食品应有防鼠的有效覆盖隔离设施，销售散装熟食应配备具有防鼠功能的设施。</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vMerge w:val="restart"/>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加工制作</w:t>
            </w: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16</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加工制作前，查看各种容器是否加盖密闭，食品原料、半成品、成品及容器中是否有老鼠侵入；场所内是否有鼠粪、鼠咬痕等鼠痕迹。</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17</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下班前，查看各种盛放食品及调味料的容器是否加盖密闭，餐厨废弃物和食物残渣是否清理干净等。</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18</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在初加工、切配、加工过程中原料及食品中是否有老鼠及粪便等异物。</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19</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在食品加工过程中是否发现老鼠出没情况。</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20</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每日上班前、下班前，是否检查防鼠设施完好且处于正常状态。</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21</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防鼠日管控自查是否查出问题。</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22</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日管控查出防鼠问题后是否得到有效整改。</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vMerge w:val="restart"/>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文件记录</w:t>
            </w: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23</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是否建立有害生物防治制度。</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24</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是否开展从业人员防鼠相关培训且有记录。</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25</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是否有有害生物杀灭记录。</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286" w:type="dxa"/>
            <w:vMerge w:val="restart"/>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其他</w:t>
            </w:r>
          </w:p>
        </w:tc>
        <w:tc>
          <w:tcPr>
            <w:tcW w:w="992"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26</w:t>
            </w:r>
          </w:p>
        </w:tc>
        <w:tc>
          <w:tcPr>
            <w:tcW w:w="5812" w:type="dxa"/>
            <w:tcBorders>
              <w:top w:val="single" w:color="auto" w:sz="4" w:space="0"/>
              <w:left w:val="single" w:color="auto" w:sz="4" w:space="0"/>
              <w:bottom w:val="single" w:color="auto" w:sz="4" w:space="0"/>
              <w:right w:val="single" w:color="auto" w:sz="4" w:space="0"/>
            </w:tcBorders>
            <w:vAlign w:val="center"/>
          </w:tcPr>
          <w:p>
            <w:pPr>
              <w:pStyle w:val="178"/>
              <w:jc w:val="left"/>
            </w:pPr>
            <w:r>
              <w:rPr>
                <w:rFonts w:hint="eastAsia" w:hAnsi="宋体"/>
              </w:rPr>
              <w:t>利用“互联网+明厨亮灶”可视化系统及AI智能监控抓拍记录，查看食品加工操作区有无老鼠出现。</w:t>
            </w:r>
          </w:p>
        </w:tc>
        <w:tc>
          <w:tcPr>
            <w:tcW w:w="1284"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□是□否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vMerge w:val="continue"/>
            <w:tcBorders>
              <w:top w:val="single" w:color="auto" w:sz="4" w:space="0"/>
              <w:left w:val="single" w:color="auto" w:sz="8" w:space="0"/>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992"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27</w:t>
            </w:r>
          </w:p>
        </w:tc>
        <w:tc>
          <w:tcPr>
            <w:tcW w:w="5812" w:type="dxa"/>
            <w:tcBorders>
              <w:top w:val="single" w:color="auto" w:sz="4" w:space="0"/>
              <w:left w:val="single" w:color="auto" w:sz="4" w:space="0"/>
              <w:bottom w:val="single" w:color="auto" w:sz="8" w:space="0"/>
              <w:right w:val="single" w:color="auto" w:sz="4" w:space="0"/>
            </w:tcBorders>
            <w:vAlign w:val="center"/>
          </w:tcPr>
          <w:p>
            <w:pPr>
              <w:pStyle w:val="178"/>
              <w:jc w:val="left"/>
            </w:pPr>
            <w:r>
              <w:rPr>
                <w:rFonts w:hint="eastAsia" w:hAnsi="宋体"/>
              </w:rPr>
              <w:t>根据情况，适时调取食堂“互联网+明厨亮灶”可视化系统监控视频，回放查看夜间有无老鼠出现。</w:t>
            </w:r>
          </w:p>
        </w:tc>
        <w:tc>
          <w:tcPr>
            <w:tcW w:w="1284" w:type="dxa"/>
            <w:tcBorders>
              <w:top w:val="single" w:color="auto" w:sz="4" w:space="0"/>
              <w:left w:val="single" w:color="auto" w:sz="4" w:space="0"/>
              <w:bottom w:val="single" w:color="auto" w:sz="8" w:space="0"/>
              <w:right w:val="single" w:color="auto" w:sz="8" w:space="0"/>
            </w:tcBorders>
            <w:vAlign w:val="center"/>
          </w:tcPr>
          <w:p>
            <w:pPr>
              <w:pStyle w:val="178"/>
            </w:pPr>
            <w:r>
              <w:rPr>
                <w:rFonts w:hint="eastAsia" w:hAnsi="宋体"/>
              </w:rPr>
              <w:t>□是□否</w:t>
            </w:r>
          </w:p>
        </w:tc>
      </w:tr>
    </w:tbl>
    <w:p>
      <w:pPr>
        <w:pStyle w:val="55"/>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cols w:space="425" w:num="1"/>
          <w:formProt w:val="0"/>
          <w:docGrid w:type="lines" w:linePitch="312" w:charSpace="0"/>
        </w:sectPr>
      </w:pPr>
    </w:p>
    <w:p>
      <w:pPr>
        <w:pStyle w:val="198"/>
        <w:rPr>
          <w:rFonts w:hint="eastAsia"/>
          <w:vanish w:val="0"/>
        </w:rPr>
      </w:pPr>
    </w:p>
    <w:p>
      <w:pPr>
        <w:pStyle w:val="199"/>
        <w:rPr>
          <w:rFonts w:hint="eastAsia"/>
          <w:vanish w:val="0"/>
        </w:rPr>
      </w:pPr>
    </w:p>
    <w:p>
      <w:pPr>
        <w:pStyle w:val="76"/>
        <w:spacing w:after="156"/>
        <w:rPr>
          <w:rFonts w:hint="eastAsia"/>
        </w:rPr>
      </w:pPr>
      <w:r>
        <w:br w:type="textWrapping"/>
      </w:r>
      <w:r>
        <w:rPr>
          <w:rFonts w:hint="eastAsia"/>
        </w:rPr>
        <w:t>（规范性）</w:t>
      </w:r>
      <w:r>
        <w:br w:type="textWrapping"/>
      </w:r>
      <w:r>
        <w:rPr>
          <w:rFonts w:hint="eastAsia"/>
        </w:rPr>
        <w:t>控制效果评估C级标准</w:t>
      </w:r>
    </w:p>
    <w:bookmarkEnd w:id="44"/>
    <w:p>
      <w:pPr>
        <w:pStyle w:val="78"/>
        <w:spacing w:before="156" w:after="156"/>
      </w:pPr>
      <w:bookmarkStart w:id="45" w:name="BookMark8"/>
      <w:r>
        <w:rPr>
          <w:rFonts w:hint="eastAsia"/>
        </w:rPr>
        <w:t>鼠类控制标准</w:t>
      </w:r>
    </w:p>
    <w:p>
      <w:pPr>
        <w:pStyle w:val="79"/>
        <w:spacing w:before="156" w:after="156"/>
      </w:pPr>
      <w:r>
        <w:rPr>
          <w:rFonts w:hint="eastAsia"/>
        </w:rPr>
        <w:t>鼠侵害检查方法</w:t>
      </w:r>
    </w:p>
    <w:p>
      <w:pPr>
        <w:pStyle w:val="105"/>
        <w:numPr>
          <w:ilvl w:val="2"/>
          <w:numId w:val="0"/>
        </w:numPr>
        <w:spacing w:before="156" w:after="156"/>
        <w:ind w:firstLine="420" w:firstLineChars="200"/>
        <w:rPr>
          <w:rFonts w:ascii="宋体" w:eastAsia="宋体"/>
        </w:rPr>
      </w:pPr>
      <w:r>
        <w:rPr>
          <w:rFonts w:hint="eastAsia" w:ascii="宋体" w:eastAsia="宋体"/>
        </w:rPr>
        <w:t>室内外检查有无活鼠、鼠尸、鼠爪印、鼠粪、鼠咬痕、鼠道、鼠洞等鼠迹。食品生产经营的室内场所记录检查鼠迹阳性标准间，15m</w:t>
      </w:r>
      <w:r>
        <w:rPr>
          <w:rFonts w:hint="eastAsia" w:ascii="宋体" w:eastAsia="宋体"/>
          <w:vertAlign w:val="superscript"/>
        </w:rPr>
        <w:t>2</w:t>
      </w:r>
      <w:r>
        <w:rPr>
          <w:rFonts w:hint="eastAsia" w:ascii="宋体" w:eastAsia="宋体"/>
        </w:rPr>
        <w:t>为一标准间，不足15m</w:t>
      </w:r>
      <w:r>
        <w:rPr>
          <w:rFonts w:hint="eastAsia" w:ascii="宋体" w:eastAsia="宋体"/>
          <w:vertAlign w:val="superscript"/>
        </w:rPr>
        <w:t>2</w:t>
      </w:r>
      <w:r>
        <w:rPr>
          <w:rFonts w:hint="eastAsia" w:ascii="宋体" w:eastAsia="宋体"/>
        </w:rPr>
        <w:t>为一个标准间，大于15m</w:t>
      </w:r>
      <w:r>
        <w:rPr>
          <w:rFonts w:hint="eastAsia" w:ascii="宋体" w:eastAsia="宋体"/>
          <w:vertAlign w:val="superscript"/>
        </w:rPr>
        <w:t>2</w:t>
      </w:r>
      <w:r>
        <w:rPr>
          <w:rFonts w:hint="eastAsia" w:ascii="宋体" w:eastAsia="宋体"/>
        </w:rPr>
        <w:t>以15m</w:t>
      </w:r>
      <w:r>
        <w:rPr>
          <w:rFonts w:hint="eastAsia" w:ascii="宋体" w:eastAsia="宋体"/>
          <w:vertAlign w:val="superscript"/>
        </w:rPr>
        <w:t>2</w:t>
      </w:r>
      <w:r>
        <w:rPr>
          <w:rFonts w:hint="eastAsia" w:ascii="宋体" w:eastAsia="宋体"/>
        </w:rPr>
        <w:t>折算；食品生产经营的室外场所记录检查路径（米）数和鼠迹阳性数。</w:t>
      </w:r>
    </w:p>
    <w:p>
      <w:pPr>
        <w:pStyle w:val="79"/>
        <w:spacing w:before="156" w:after="156"/>
      </w:pPr>
      <w:r>
        <w:rPr>
          <w:rFonts w:hint="eastAsia" w:hAnsi="黑体"/>
          <w:szCs w:val="24"/>
        </w:rPr>
        <w:t>鼠类控制水平评估</w:t>
      </w:r>
    </w:p>
    <w:p>
      <w:pPr>
        <w:pStyle w:val="105"/>
        <w:numPr>
          <w:ilvl w:val="2"/>
          <w:numId w:val="0"/>
        </w:numPr>
        <w:spacing w:before="156" w:after="156"/>
        <w:ind w:firstLine="420" w:firstLineChars="200"/>
        <w:rPr>
          <w:rFonts w:ascii="宋体" w:eastAsia="宋体"/>
        </w:rPr>
      </w:pPr>
      <w:r>
        <w:rPr>
          <w:rFonts w:hint="eastAsia" w:ascii="宋体" w:eastAsia="宋体"/>
        </w:rPr>
        <w:t>依据GB/T 27770规定，食品生产经营的室内鼠类控制需达到：标准间数在20间（300m</w:t>
      </w:r>
      <w:r>
        <w:rPr>
          <w:rFonts w:hint="eastAsia" w:ascii="宋体" w:eastAsia="宋体"/>
          <w:vertAlign w:val="superscript"/>
        </w:rPr>
        <w:t>2</w:t>
      </w:r>
      <w:r>
        <w:rPr>
          <w:rFonts w:hint="eastAsia" w:ascii="宋体" w:eastAsia="宋体"/>
        </w:rPr>
        <w:t>）以下的单位阳性房间数为0；20间以上的单位阳性房间数不超过1间；食品生产经营场所范围内的室外环境不得有鼠迹。</w:t>
      </w:r>
    </w:p>
    <w:p>
      <w:pPr>
        <w:pStyle w:val="79"/>
        <w:spacing w:before="156" w:after="156"/>
      </w:pPr>
      <w:r>
        <w:rPr>
          <w:rFonts w:hint="eastAsia" w:hAnsi="黑体"/>
          <w:szCs w:val="24"/>
        </w:rPr>
        <w:t>防鼠设施检查方</w:t>
      </w:r>
      <w:r>
        <w:rPr>
          <w:rFonts w:hint="eastAsia"/>
        </w:rPr>
        <w:t>法</w:t>
      </w:r>
    </w:p>
    <w:p>
      <w:pPr>
        <w:pStyle w:val="105"/>
        <w:numPr>
          <w:ilvl w:val="2"/>
          <w:numId w:val="0"/>
        </w:numPr>
        <w:spacing w:before="156" w:after="156"/>
        <w:ind w:firstLine="420" w:firstLineChars="200"/>
        <w:rPr>
          <w:rFonts w:ascii="宋体" w:eastAsia="宋体"/>
        </w:rPr>
      </w:pPr>
      <w:r>
        <w:rPr>
          <w:rFonts w:hint="eastAsia" w:ascii="宋体" w:eastAsia="宋体"/>
        </w:rPr>
        <w:t>凡出现下列情况，记为防鼠设施不合格：</w:t>
      </w:r>
    </w:p>
    <w:p>
      <w:pPr>
        <w:pStyle w:val="132"/>
      </w:pPr>
      <w:r>
        <w:rPr>
          <w:rFonts w:hint="eastAsia"/>
        </w:rPr>
        <w:t>厨房操作间下水道出水口无金属栏栅，缝大于10mm，地漏未加盖；</w:t>
      </w:r>
    </w:p>
    <w:p>
      <w:pPr>
        <w:pStyle w:val="132"/>
      </w:pPr>
      <w:r>
        <w:rPr>
          <w:rFonts w:hint="eastAsia"/>
        </w:rPr>
        <w:t>门缝大于6mm，库房的木门和门框的底部未包金属，不能随手关门的食品库房门口无高</w:t>
      </w:r>
      <w:r>
        <w:rPr>
          <w:rFonts w:hint="eastAsia"/>
          <w:lang w:val="en-US" w:eastAsia="zh-CN"/>
        </w:rPr>
        <w:t>60cm</w:t>
      </w:r>
      <w:r>
        <w:rPr>
          <w:rFonts w:hint="eastAsia"/>
        </w:rPr>
        <w:t>挡鼠板；</w:t>
      </w:r>
    </w:p>
    <w:p>
      <w:pPr>
        <w:pStyle w:val="132"/>
      </w:pPr>
      <w:r>
        <w:rPr>
          <w:rFonts w:hint="eastAsia"/>
        </w:rPr>
        <w:t>墙体上有通向外环境的管线孔洞，缝隙超过6mm；</w:t>
      </w:r>
    </w:p>
    <w:p>
      <w:pPr>
        <w:pStyle w:val="132"/>
      </w:pPr>
      <w:r>
        <w:rPr>
          <w:rFonts w:hint="eastAsia"/>
        </w:rPr>
        <w:t>1楼或地下室排风扇或通风口无金属网罩；</w:t>
      </w:r>
    </w:p>
    <w:p>
      <w:pPr>
        <w:pStyle w:val="132"/>
      </w:pPr>
      <w:r>
        <w:rPr>
          <w:rFonts w:hint="eastAsia"/>
        </w:rPr>
        <w:t>1楼或地下室窗户玻璃破损。</w:t>
      </w:r>
    </w:p>
    <w:p>
      <w:pPr>
        <w:pStyle w:val="79"/>
        <w:spacing w:before="156" w:after="156"/>
      </w:pPr>
      <w:r>
        <w:rPr>
          <w:rFonts w:hint="eastAsia" w:hAnsi="黑体"/>
          <w:szCs w:val="24"/>
        </w:rPr>
        <w:t>防鼠设施评估</w:t>
      </w:r>
    </w:p>
    <w:p>
      <w:pPr>
        <w:pStyle w:val="105"/>
        <w:numPr>
          <w:ilvl w:val="2"/>
          <w:numId w:val="0"/>
        </w:numPr>
        <w:spacing w:before="156" w:after="156"/>
        <w:ind w:firstLine="420" w:firstLineChars="200"/>
        <w:rPr>
          <w:rFonts w:ascii="宋体" w:eastAsia="宋体"/>
        </w:rPr>
      </w:pPr>
      <w:r>
        <w:rPr>
          <w:rFonts w:hint="eastAsia" w:ascii="宋体" w:eastAsia="宋体"/>
        </w:rPr>
        <w:t>房间数10间以下的单位（150m</w:t>
      </w:r>
      <w:r>
        <w:rPr>
          <w:rFonts w:hint="eastAsia" w:ascii="宋体" w:eastAsia="宋体"/>
          <w:vertAlign w:val="superscript"/>
        </w:rPr>
        <w:t>2</w:t>
      </w:r>
      <w:r>
        <w:rPr>
          <w:rFonts w:hint="eastAsia" w:ascii="宋体" w:eastAsia="宋体"/>
        </w:rPr>
        <w:t>）防鼠设施应完全合格，10间以上的单位防鼠设施不合格房间数不超过1间。</w:t>
      </w:r>
    </w:p>
    <w:p>
      <w:pPr>
        <w:pStyle w:val="78"/>
        <w:spacing w:before="156" w:after="156"/>
      </w:pPr>
      <w:r>
        <w:rPr>
          <w:rFonts w:hint="eastAsia"/>
        </w:rPr>
        <w:t>蟑螂控制标准</w:t>
      </w:r>
    </w:p>
    <w:p>
      <w:pPr>
        <w:pStyle w:val="79"/>
        <w:spacing w:before="156" w:after="156"/>
      </w:pPr>
      <w:r>
        <w:rPr>
          <w:rFonts w:hint="eastAsia"/>
        </w:rPr>
        <w:t>蟑螂侵害检查</w:t>
      </w:r>
    </w:p>
    <w:p>
      <w:pPr>
        <w:pStyle w:val="56"/>
        <w:ind w:firstLine="420"/>
      </w:pPr>
      <w:r>
        <w:rPr>
          <w:rFonts w:hint="eastAsia"/>
        </w:rPr>
        <w:t>室内使用，用手电照明，检查记录每个场所3min观察到的蟑螂种类、数量、活卵鞘数和蟑迹（空卵鞘、死尸、残尸等）数，记录成若虫阳性标准间数、成若虫数、活卵鞘阳性标准间数、活卵鞘阳性数、蟑迹阳性标准间数。</w:t>
      </w:r>
    </w:p>
    <w:p>
      <w:pPr>
        <w:pStyle w:val="79"/>
        <w:spacing w:before="156" w:after="156"/>
      </w:pPr>
      <w:r>
        <w:rPr>
          <w:rFonts w:hint="eastAsia" w:hAnsi="黑体"/>
          <w:szCs w:val="24"/>
        </w:rPr>
        <w:t>蟑螂控制水平评估</w:t>
      </w:r>
    </w:p>
    <w:p>
      <w:pPr>
        <w:pStyle w:val="105"/>
        <w:numPr>
          <w:ilvl w:val="2"/>
          <w:numId w:val="0"/>
        </w:numPr>
        <w:spacing w:before="156" w:after="156"/>
        <w:ind w:firstLine="420" w:firstLineChars="200"/>
        <w:rPr>
          <w:rFonts w:ascii="宋体" w:eastAsia="宋体"/>
        </w:rPr>
      </w:pPr>
      <w:r>
        <w:rPr>
          <w:rFonts w:hint="eastAsia" w:ascii="宋体" w:eastAsia="宋体"/>
        </w:rPr>
        <w:t>依据GB/T 27773蟑螂控制水平需达到：</w:t>
      </w:r>
    </w:p>
    <w:p>
      <w:pPr>
        <w:pStyle w:val="132"/>
      </w:pPr>
      <w:r>
        <w:rPr>
          <w:rFonts w:hint="eastAsia"/>
        </w:rPr>
        <w:t>标准间数60间（900m</w:t>
      </w:r>
      <w:r>
        <w:rPr>
          <w:rFonts w:hint="eastAsia"/>
          <w:vertAlign w:val="superscript"/>
        </w:rPr>
        <w:t>2</w:t>
      </w:r>
      <w:r>
        <w:rPr>
          <w:rFonts w:hint="eastAsia"/>
        </w:rPr>
        <w:t>）以下的单位蟑螂成若虫侵害房间不超过2间，60间以上的单位侵害房间不超过3间；</w:t>
      </w:r>
    </w:p>
    <w:p>
      <w:pPr>
        <w:pStyle w:val="132"/>
      </w:pPr>
      <w:r>
        <w:rPr>
          <w:rFonts w:hint="eastAsia"/>
        </w:rPr>
        <w:t>标准间数60间（900m</w:t>
      </w:r>
      <w:r>
        <w:rPr>
          <w:rFonts w:hint="eastAsia"/>
          <w:vertAlign w:val="superscript"/>
        </w:rPr>
        <w:t>2</w:t>
      </w:r>
      <w:r>
        <w:rPr>
          <w:rFonts w:hint="eastAsia"/>
        </w:rPr>
        <w:t>）以下的单位卵鞘查获房间不超过2间，60间以上的单位卵鞘查获房间不超过3间；</w:t>
      </w:r>
    </w:p>
    <w:p>
      <w:pPr>
        <w:pStyle w:val="132"/>
      </w:pPr>
      <w:r>
        <w:rPr>
          <w:rFonts w:hint="eastAsia"/>
        </w:rPr>
        <w:t>标准间数60间（900m</w:t>
      </w:r>
      <w:r>
        <w:rPr>
          <w:rFonts w:hint="eastAsia"/>
          <w:vertAlign w:val="superscript"/>
        </w:rPr>
        <w:t>2</w:t>
      </w:r>
      <w:r>
        <w:rPr>
          <w:rFonts w:hint="eastAsia"/>
        </w:rPr>
        <w:t>）以下的单位蟑迹查获房间不超过3间，60间以上的单位蟑迹查获房间不超过5间；</w:t>
      </w:r>
    </w:p>
    <w:p>
      <w:pPr>
        <w:pStyle w:val="78"/>
        <w:spacing w:before="156" w:after="156"/>
      </w:pPr>
      <w:r>
        <w:rPr>
          <w:rFonts w:hint="eastAsia"/>
        </w:rPr>
        <w:t>蝇类控制标准</w:t>
      </w:r>
    </w:p>
    <w:p>
      <w:pPr>
        <w:pStyle w:val="79"/>
        <w:spacing w:before="156" w:after="156"/>
      </w:pPr>
      <w:r>
        <w:rPr>
          <w:rFonts w:hint="eastAsia"/>
        </w:rPr>
        <w:t>蝇类侵害检测</w:t>
      </w:r>
    </w:p>
    <w:p>
      <w:pPr>
        <w:pStyle w:val="56"/>
        <w:ind w:firstLine="420"/>
      </w:pPr>
      <w:r>
        <w:rPr>
          <w:rFonts w:hint="eastAsia"/>
        </w:rPr>
        <w:t>室内使用，监测人员目测计数，记录监测标准间数，阳性标准间数和每一间内的蝇数，同时记录温度、湿度和风速等气候数据。</w:t>
      </w:r>
    </w:p>
    <w:p>
      <w:pPr>
        <w:pStyle w:val="79"/>
        <w:spacing w:before="156" w:after="156"/>
      </w:pPr>
      <w:r>
        <w:rPr>
          <w:rFonts w:hint="eastAsia" w:hAnsi="黑体"/>
          <w:szCs w:val="24"/>
        </w:rPr>
        <w:t>蝇类控制水平评估</w:t>
      </w:r>
    </w:p>
    <w:p>
      <w:pPr>
        <w:pStyle w:val="105"/>
        <w:numPr>
          <w:ilvl w:val="2"/>
          <w:numId w:val="0"/>
        </w:numPr>
        <w:spacing w:before="156" w:after="156"/>
        <w:ind w:firstLine="420" w:firstLineChars="200"/>
        <w:rPr>
          <w:rFonts w:ascii="宋体" w:eastAsia="宋体"/>
        </w:rPr>
      </w:pPr>
      <w:r>
        <w:rPr>
          <w:rFonts w:hint="eastAsia" w:ascii="宋体" w:eastAsia="宋体"/>
        </w:rPr>
        <w:t>依据GB/T 27772蝇类控制水平需达到：</w:t>
      </w:r>
    </w:p>
    <w:p>
      <w:pPr>
        <w:pStyle w:val="132"/>
      </w:pPr>
      <w:r>
        <w:rPr>
          <w:rFonts w:hint="eastAsia" w:hAnsi="宋体"/>
          <w:szCs w:val="24"/>
        </w:rPr>
        <w:t>加工销售直接入口食品的场所不得有蝇</w:t>
      </w:r>
      <w:r>
        <w:rPr>
          <w:rFonts w:hint="eastAsia"/>
        </w:rPr>
        <w:t>；</w:t>
      </w:r>
    </w:p>
    <w:p>
      <w:pPr>
        <w:pStyle w:val="132"/>
      </w:pPr>
      <w:r>
        <w:rPr>
          <w:rFonts w:hint="eastAsia"/>
        </w:rPr>
        <w:t>室内成蝇密度控制水平需要达到：房间10间（150m</w:t>
      </w:r>
      <w:r>
        <w:rPr>
          <w:rFonts w:hint="eastAsia"/>
          <w:vertAlign w:val="superscript"/>
        </w:rPr>
        <w:t>2</w:t>
      </w:r>
      <w:r>
        <w:rPr>
          <w:rFonts w:hint="eastAsia"/>
        </w:rPr>
        <w:t>）以下的单位有蝇房间数为0；11间-30间的单位有蝇房间不得超过1间；31间-60间的单位有蝇房间不超过3间；61间-100间单位有蝇房间不超过6间。阳性间蝇密度≤3只/间；</w:t>
      </w:r>
    </w:p>
    <w:p>
      <w:pPr>
        <w:pStyle w:val="132"/>
      </w:pPr>
      <w:r>
        <w:rPr>
          <w:rFonts w:hint="eastAsia"/>
        </w:rPr>
        <w:t>食品生产经营场所范围内的室内外环境不得有蝇类孳生地；</w:t>
      </w:r>
    </w:p>
    <w:p>
      <w:pPr>
        <w:pStyle w:val="132"/>
      </w:pPr>
      <w:r>
        <w:rPr>
          <w:rFonts w:hint="eastAsia" w:hAnsi="宋体"/>
          <w:szCs w:val="24"/>
        </w:rPr>
        <w:t>防蝇设施全部合格。</w:t>
      </w:r>
    </w:p>
    <w:p>
      <w:pPr>
        <w:pStyle w:val="56"/>
        <w:ind w:firstLine="0" w:firstLineChars="0"/>
        <w:jc w:val="center"/>
      </w:pPr>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a:stretch>
                      <a:fillRect/>
                    </a:stretch>
                  </pic:blipFill>
                  <pic:spPr>
                    <a:xfrm>
                      <a:off x="0" y="0"/>
                      <a:ext cx="1485900" cy="317500"/>
                    </a:xfrm>
                    <a:prstGeom prst="rect">
                      <a:avLst/>
                    </a:prstGeom>
                  </pic:spPr>
                </pic:pic>
              </a:graphicData>
            </a:graphic>
          </wp:inline>
        </w:drawing>
      </w:r>
      <w:bookmarkEnd w:id="4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Light">
    <w:altName w:val="宋体"/>
    <w:panose1 w:val="00000000000000000000"/>
    <w:charset w:val="86"/>
    <w:family w:val="auto"/>
    <w:pitch w:val="default"/>
    <w:sig w:usb0="00000000" w:usb1="00000000" w:usb2="00000016" w:usb3="00000000" w:csb0="0004000F" w:csb1="00000000"/>
  </w:font>
  <w:font w:name="ËÎÌå">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9</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34/T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dit="forms" w:enforcement="1" w:cryptProviderType="rsaAES" w:cryptAlgorithmClass="hash" w:cryptAlgorithmType="typeAny" w:cryptAlgorithmSid="14" w:cryptSpinCount="100000" w:hash="qQeeRyMgl6+UKRen59SI82nfpo626jPySQXxXXsVa+zKJgKGPlA1F9IoomQAdEnidNyk2lIM8ZY4+dPJgrgADA==" w:salt="y1eAR77jdECGv4OXLa7M/g=="/>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ZmEwZmEwZjUzNzAxOTBkM2E1YzA2ZDJkOTFiNTIifQ=="/>
  </w:docVars>
  <w:rsids>
    <w:rsidRoot w:val="009011F3"/>
    <w:rsid w:val="0000040A"/>
    <w:rsid w:val="00000A94"/>
    <w:rsid w:val="00001972"/>
    <w:rsid w:val="00001D9A"/>
    <w:rsid w:val="00003552"/>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850"/>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F98"/>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8F7"/>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1BD2"/>
    <w:rsid w:val="00262696"/>
    <w:rsid w:val="00263D25"/>
    <w:rsid w:val="002643C3"/>
    <w:rsid w:val="00264A0C"/>
    <w:rsid w:val="00266EEB"/>
    <w:rsid w:val="00267EF4"/>
    <w:rsid w:val="00270CB8"/>
    <w:rsid w:val="00272B08"/>
    <w:rsid w:val="002771AC"/>
    <w:rsid w:val="00281BB8"/>
    <w:rsid w:val="00281E9E"/>
    <w:rsid w:val="00282405"/>
    <w:rsid w:val="0028485F"/>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208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7CD"/>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468F"/>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66FD"/>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62EF"/>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8A"/>
    <w:rsid w:val="00651ACB"/>
    <w:rsid w:val="00651C47"/>
    <w:rsid w:val="00652AB2"/>
    <w:rsid w:val="00653FED"/>
    <w:rsid w:val="00654EC0"/>
    <w:rsid w:val="0065525B"/>
    <w:rsid w:val="00655D4F"/>
    <w:rsid w:val="00656D29"/>
    <w:rsid w:val="006640E5"/>
    <w:rsid w:val="006646F1"/>
    <w:rsid w:val="00664929"/>
    <w:rsid w:val="00664F62"/>
    <w:rsid w:val="006655E1"/>
    <w:rsid w:val="00665CC3"/>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AD4"/>
    <w:rsid w:val="006F541E"/>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7E6"/>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484"/>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0FCE"/>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11F3"/>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773"/>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65"/>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555"/>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22AC"/>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518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23F8"/>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92D"/>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A0D"/>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72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4997"/>
    <w:rsid w:val="00EE54A6"/>
    <w:rsid w:val="00EE613F"/>
    <w:rsid w:val="00EE7295"/>
    <w:rsid w:val="00EE7869"/>
    <w:rsid w:val="00EF054A"/>
    <w:rsid w:val="00EF16EB"/>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7B1"/>
    <w:rsid w:val="00F6412A"/>
    <w:rsid w:val="00F65893"/>
    <w:rsid w:val="00F66A4A"/>
    <w:rsid w:val="00F70A03"/>
    <w:rsid w:val="00F71E22"/>
    <w:rsid w:val="00F72142"/>
    <w:rsid w:val="00F72AE7"/>
    <w:rsid w:val="00F81141"/>
    <w:rsid w:val="00F833BA"/>
    <w:rsid w:val="00F84FD0"/>
    <w:rsid w:val="00F859A8"/>
    <w:rsid w:val="00F86D87"/>
    <w:rsid w:val="00F9108B"/>
    <w:rsid w:val="00F91349"/>
    <w:rsid w:val="00F93A8A"/>
    <w:rsid w:val="00F9409C"/>
    <w:rsid w:val="00F95248"/>
    <w:rsid w:val="00F956A9"/>
    <w:rsid w:val="00F963ED"/>
    <w:rsid w:val="00F966CF"/>
    <w:rsid w:val="00F96CAE"/>
    <w:rsid w:val="00F97C99"/>
    <w:rsid w:val="00FA4DAC"/>
    <w:rsid w:val="00FA662D"/>
    <w:rsid w:val="00FA73B1"/>
    <w:rsid w:val="00FB0CB9"/>
    <w:rsid w:val="00FB231D"/>
    <w:rsid w:val="00FB32D7"/>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730DA3"/>
    <w:rsid w:val="045A09FE"/>
    <w:rsid w:val="04904099"/>
    <w:rsid w:val="06B331CE"/>
    <w:rsid w:val="0A2E773B"/>
    <w:rsid w:val="0CEC11E8"/>
    <w:rsid w:val="0EBE7658"/>
    <w:rsid w:val="14067033"/>
    <w:rsid w:val="16EF0298"/>
    <w:rsid w:val="19003DA4"/>
    <w:rsid w:val="1A5951B4"/>
    <w:rsid w:val="1A5A5490"/>
    <w:rsid w:val="1BF37D74"/>
    <w:rsid w:val="1C0D0885"/>
    <w:rsid w:val="1D5726AE"/>
    <w:rsid w:val="20BD68D0"/>
    <w:rsid w:val="23362D65"/>
    <w:rsid w:val="236478D2"/>
    <w:rsid w:val="23B41D0C"/>
    <w:rsid w:val="23F70746"/>
    <w:rsid w:val="2423153B"/>
    <w:rsid w:val="27143985"/>
    <w:rsid w:val="2BAD7AA2"/>
    <w:rsid w:val="2C3818FC"/>
    <w:rsid w:val="2F7C3A0D"/>
    <w:rsid w:val="31056E89"/>
    <w:rsid w:val="317E2F0E"/>
    <w:rsid w:val="32902492"/>
    <w:rsid w:val="35357321"/>
    <w:rsid w:val="37FA215C"/>
    <w:rsid w:val="37FD09DA"/>
    <w:rsid w:val="3B7346FF"/>
    <w:rsid w:val="4260052B"/>
    <w:rsid w:val="487873A2"/>
    <w:rsid w:val="4F38383D"/>
    <w:rsid w:val="51971ADB"/>
    <w:rsid w:val="527C1C93"/>
    <w:rsid w:val="54580A8B"/>
    <w:rsid w:val="54E51D72"/>
    <w:rsid w:val="565E627F"/>
    <w:rsid w:val="56650D69"/>
    <w:rsid w:val="56E01510"/>
    <w:rsid w:val="5A7B10AE"/>
    <w:rsid w:val="5AC266B1"/>
    <w:rsid w:val="5BCD1B1C"/>
    <w:rsid w:val="5E3310A3"/>
    <w:rsid w:val="61816675"/>
    <w:rsid w:val="65064427"/>
    <w:rsid w:val="65420B1A"/>
    <w:rsid w:val="667C005C"/>
    <w:rsid w:val="679118E5"/>
    <w:rsid w:val="67BA680F"/>
    <w:rsid w:val="68400296"/>
    <w:rsid w:val="69E77EE2"/>
    <w:rsid w:val="6BBC2A86"/>
    <w:rsid w:val="6C9A56E0"/>
    <w:rsid w:val="6CF03552"/>
    <w:rsid w:val="725E247B"/>
    <w:rsid w:val="7AD95625"/>
    <w:rsid w:val="7BD00E13"/>
    <w:rsid w:val="7DE844FD"/>
    <w:rsid w:val="7E633B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Char"/>
    <w:link w:val="2"/>
    <w:autoRedefine/>
    <w:qFormat/>
    <w:uiPriority w:val="0"/>
    <w:rPr>
      <w:b/>
      <w:bCs/>
      <w:kern w:val="44"/>
      <w:sz w:val="44"/>
      <w:szCs w:val="44"/>
    </w:rPr>
  </w:style>
  <w:style w:type="character" w:customStyle="1" w:styleId="35">
    <w:name w:val="标题 2 Char"/>
    <w:link w:val="3"/>
    <w:autoRedefine/>
    <w:qFormat/>
    <w:uiPriority w:val="0"/>
    <w:rPr>
      <w:rFonts w:ascii="Arial" w:hAnsi="Arial" w:eastAsia="黑体"/>
      <w:b/>
      <w:bCs/>
      <w:kern w:val="2"/>
      <w:sz w:val="32"/>
      <w:szCs w:val="32"/>
    </w:rPr>
  </w:style>
  <w:style w:type="character" w:customStyle="1" w:styleId="36">
    <w:name w:val="标题 3 Char"/>
    <w:link w:val="4"/>
    <w:autoRedefine/>
    <w:qFormat/>
    <w:uiPriority w:val="0"/>
    <w:rPr>
      <w:b/>
      <w:bCs/>
      <w:kern w:val="2"/>
      <w:sz w:val="32"/>
      <w:szCs w:val="32"/>
    </w:rPr>
  </w:style>
  <w:style w:type="character" w:customStyle="1" w:styleId="37">
    <w:name w:val="标题 4 Char"/>
    <w:link w:val="5"/>
    <w:autoRedefine/>
    <w:qFormat/>
    <w:uiPriority w:val="0"/>
    <w:rPr>
      <w:rFonts w:ascii="Arial" w:hAnsi="Arial" w:eastAsia="黑体"/>
      <w:b/>
      <w:bCs/>
      <w:kern w:val="2"/>
      <w:sz w:val="28"/>
      <w:szCs w:val="28"/>
    </w:rPr>
  </w:style>
  <w:style w:type="character" w:customStyle="1" w:styleId="38">
    <w:name w:val="标题 5 Char"/>
    <w:link w:val="6"/>
    <w:autoRedefine/>
    <w:qFormat/>
    <w:uiPriority w:val="0"/>
    <w:rPr>
      <w:b/>
      <w:bCs/>
      <w:kern w:val="2"/>
      <w:sz w:val="28"/>
      <w:szCs w:val="28"/>
    </w:rPr>
  </w:style>
  <w:style w:type="character" w:customStyle="1" w:styleId="39">
    <w:name w:val="标题 6 Char"/>
    <w:link w:val="7"/>
    <w:autoRedefine/>
    <w:qFormat/>
    <w:uiPriority w:val="0"/>
    <w:rPr>
      <w:rFonts w:ascii="Arial" w:hAnsi="Arial" w:eastAsia="黑体"/>
      <w:b/>
      <w:bCs/>
      <w:kern w:val="2"/>
      <w:sz w:val="24"/>
      <w:szCs w:val="24"/>
    </w:rPr>
  </w:style>
  <w:style w:type="character" w:customStyle="1" w:styleId="40">
    <w:name w:val="标题 7 Char"/>
    <w:link w:val="8"/>
    <w:autoRedefine/>
    <w:qFormat/>
    <w:uiPriority w:val="0"/>
    <w:rPr>
      <w:b/>
      <w:bCs/>
      <w:kern w:val="2"/>
      <w:sz w:val="24"/>
      <w:szCs w:val="24"/>
    </w:rPr>
  </w:style>
  <w:style w:type="character" w:customStyle="1" w:styleId="41">
    <w:name w:val="标题 8 Char"/>
    <w:link w:val="9"/>
    <w:autoRedefine/>
    <w:qFormat/>
    <w:uiPriority w:val="0"/>
    <w:rPr>
      <w:rFonts w:ascii="Arial" w:hAnsi="Arial" w:eastAsia="黑体"/>
      <w:kern w:val="2"/>
      <w:sz w:val="24"/>
      <w:szCs w:val="24"/>
    </w:rPr>
  </w:style>
  <w:style w:type="character" w:customStyle="1" w:styleId="42">
    <w:name w:val="标题 9 Char"/>
    <w:link w:val="10"/>
    <w:autoRedefine/>
    <w:qFormat/>
    <w:uiPriority w:val="0"/>
    <w:rPr>
      <w:rFonts w:ascii="Arial" w:hAnsi="Arial" w:eastAsia="黑体"/>
      <w:kern w:val="2"/>
      <w:sz w:val="21"/>
      <w:szCs w:val="21"/>
    </w:rPr>
  </w:style>
  <w:style w:type="character" w:customStyle="1" w:styleId="43">
    <w:name w:val="页眉 Char"/>
    <w:link w:val="18"/>
    <w:autoRedefine/>
    <w:qFormat/>
    <w:uiPriority w:val="99"/>
    <w:rPr>
      <w:kern w:val="2"/>
      <w:sz w:val="18"/>
      <w:szCs w:val="18"/>
    </w:rPr>
  </w:style>
  <w:style w:type="character" w:customStyle="1" w:styleId="44">
    <w:name w:val="页脚 Char"/>
    <w:link w:val="17"/>
    <w:autoRedefine/>
    <w:qFormat/>
    <w:uiPriority w:val="99"/>
    <w:rPr>
      <w:rFonts w:ascii="宋体"/>
      <w:kern w:val="2"/>
      <w:sz w:val="18"/>
      <w:szCs w:val="18"/>
    </w:rPr>
  </w:style>
  <w:style w:type="character" w:customStyle="1" w:styleId="45">
    <w:name w:val="批注框文本 Char"/>
    <w:link w:val="16"/>
    <w:autoRedefine/>
    <w:semiHidden/>
    <w:qFormat/>
    <w:uiPriority w:val="99"/>
    <w:rPr>
      <w:kern w:val="2"/>
      <w:sz w:val="18"/>
      <w:szCs w:val="18"/>
    </w:rPr>
  </w:style>
  <w:style w:type="paragraph" w:styleId="46">
    <w:name w:val="Quote"/>
    <w:basedOn w:val="1"/>
    <w:next w:val="1"/>
    <w:link w:val="47"/>
    <w:autoRedefine/>
    <w:qFormat/>
    <w:uiPriority w:val="29"/>
    <w:rPr>
      <w:i/>
      <w:iCs/>
      <w:color w:val="000000"/>
    </w:rPr>
  </w:style>
  <w:style w:type="character" w:customStyle="1" w:styleId="47">
    <w:name w:val="引用 Char"/>
    <w:link w:val="46"/>
    <w:autoRedefine/>
    <w:qFormat/>
    <w:uiPriority w:val="29"/>
    <w:rPr>
      <w:i/>
      <w:iCs/>
      <w:color w:val="000000"/>
      <w:kern w:val="2"/>
      <w:sz w:val="21"/>
      <w:szCs w:val="21"/>
    </w:rPr>
  </w:style>
  <w:style w:type="character" w:customStyle="1" w:styleId="48">
    <w:name w:val="标题 Char"/>
    <w:link w:val="25"/>
    <w:autoRedefine/>
    <w:qFormat/>
    <w:uiPriority w:val="0"/>
    <w:rPr>
      <w:rFonts w:ascii="Arial" w:hAnsi="Arial" w:cs="Arial"/>
      <w:b/>
      <w:bCs/>
      <w:kern w:val="2"/>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autoRedefine/>
    <w:qFormat/>
    <w:uiPriority w:val="0"/>
    <w:pPr>
      <w:tabs>
        <w:tab w:val="center" w:pos="4201"/>
        <w:tab w:val="right" w:leader="dot" w:pos="9298"/>
      </w:tabs>
      <w:autoSpaceDE w:val="0"/>
      <w:autoSpaceDN w:val="0"/>
      <w:ind w:firstLine="420" w:firstLineChars="200"/>
      <w:jc w:val="both"/>
    </w:pPr>
    <w:rPr>
      <w:rFonts w:ascii="宋体"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glossaryDocument" Target="glossary/document.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2.jpeg"/><Relationship Id="rId24" Type="http://schemas.openxmlformats.org/officeDocument/2006/relationships/image" Target="media/image1.tiff"/><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F911CE196774707855A78E0512A3DD6"/>
        <w:style w:val=""/>
        <w:category>
          <w:name w:val="常规"/>
          <w:gallery w:val="placeholder"/>
        </w:category>
        <w:types>
          <w:type w:val="bbPlcHdr"/>
        </w:types>
        <w:behaviors>
          <w:behavior w:val="content"/>
        </w:behaviors>
        <w:description w:val=""/>
        <w:guid w:val="{A898A961-4099-4F23-B69F-004C01AA530B}"/>
      </w:docPartPr>
      <w:docPartBody>
        <w:p>
          <w:pPr>
            <w:pStyle w:val="5"/>
          </w:pPr>
          <w:r>
            <w:rPr>
              <w:rStyle w:val="4"/>
              <w:rFonts w:hint="eastAsia"/>
            </w:rPr>
            <w:t>单击或点击此处输入文字。</w:t>
          </w:r>
        </w:p>
      </w:docPartBody>
    </w:docPart>
    <w:docPart>
      <w:docPartPr>
        <w:name w:val="3603E08B58DD43019BFCDCFC8C205BED"/>
        <w:style w:val=""/>
        <w:category>
          <w:name w:val="常规"/>
          <w:gallery w:val="placeholder"/>
        </w:category>
        <w:types>
          <w:type w:val="bbPlcHdr"/>
        </w:types>
        <w:behaviors>
          <w:behavior w:val="content"/>
        </w:behaviors>
        <w:description w:val=""/>
        <w:guid w:val="{649F1E91-84AA-49FA-86BC-AE5ACDAF77C7}"/>
      </w:docPartPr>
      <w:docPartBody>
        <w:p>
          <w:pPr>
            <w:pStyle w:val="6"/>
          </w:pPr>
          <w:r>
            <w:rPr>
              <w:rStyle w:val="4"/>
              <w:rFonts w:hint="eastAsia"/>
            </w:rPr>
            <w:t>选择一项。</w:t>
          </w:r>
        </w:p>
      </w:docPartBody>
    </w:docPart>
    <w:docPart>
      <w:docPartPr>
        <w:name w:val="EA1F5E074E7245C78543047FED55A291"/>
        <w:style w:val=""/>
        <w:category>
          <w:name w:val="常规"/>
          <w:gallery w:val="placeholder"/>
        </w:category>
        <w:types>
          <w:type w:val="bbPlcHdr"/>
        </w:types>
        <w:behaviors>
          <w:behavior w:val="content"/>
        </w:behaviors>
        <w:description w:val=""/>
        <w:guid w:val="{814DB2E2-5B30-477E-B457-7896B85C7FE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FD"/>
    <w:rsid w:val="00194C7A"/>
    <w:rsid w:val="002D41DA"/>
    <w:rsid w:val="0038534B"/>
    <w:rsid w:val="004B2AEB"/>
    <w:rsid w:val="006326E3"/>
    <w:rsid w:val="00690FD8"/>
    <w:rsid w:val="007D70B7"/>
    <w:rsid w:val="00AB5677"/>
    <w:rsid w:val="00BA5BFD"/>
    <w:rsid w:val="00C62A1D"/>
    <w:rsid w:val="00D24D87"/>
    <w:rsid w:val="00D402C9"/>
    <w:rsid w:val="00E57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F911CE196774707855A78E0512A3DD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603E08B58DD43019BFCDCFC8C205BE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1F5E074E7245C78543047FED55A291"/>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5B46D7-90EB-4B11-BE9B-D190B06A67C4}">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14</Pages>
  <Words>1107</Words>
  <Characters>6312</Characters>
  <Lines>52</Lines>
  <Paragraphs>14</Paragraphs>
  <TotalTime>28</TotalTime>
  <ScaleCrop>false</ScaleCrop>
  <LinksUpToDate>false</LinksUpToDate>
  <CharactersWithSpaces>7405</CharactersWithSpaces>
  <Application>WPS Office_12.1.0.16704_F1E327BC-269C-435d-A152-05C5408002CA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2024-01-17T08:51:00Z</dcterms:created>
  <dc:creator>xx</dc:creator>
  <dc:description>&lt;config cover="true" show_menu="true" version="1.0.0" doctype="SDKXY"&gt;_x000d_
&lt;/config&gt;</dc:description>
  <cp:lastModifiedBy>明之有道</cp:lastModifiedBy>
  <cp:lastPrinted>2024-01-26T05:43:00Z</cp:lastPrinted>
  <dcterms:modified xsi:type="dcterms:W3CDTF">2024-04-11T01:18:15Z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2052-12.1.0.16704</vt:lpwstr>
  </property>
  <property fmtid="{D5CDD505-2E9C-101B-9397-08002B2CF9AE}" pid="15" name="ICV">
    <vt:lpwstr>74CD1AB5EAAB41BDA257A353BCE39080_13</vt:lpwstr>
  </property>
  <property fmtid="{D5CDD505-2E9C-101B-9397-08002B2CF9AE}" pid="16" name="DoublePage">
    <vt:lpwstr>true</vt:lpwstr>
  </property>
</Properties>
</file>