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Times New Roman" w:eastAsia="楷体_GB2312"/>
          <w:sz w:val="52"/>
          <w:szCs w:val="52"/>
          <w:lang w:eastAsia="zh-CN"/>
        </w:rPr>
        <w:t>安徽省</w:t>
      </w:r>
      <w:r>
        <w:rPr>
          <w:rFonts w:ascii="Times New Roman" w:eastAsia="楷体_GB2312"/>
          <w:sz w:val="52"/>
          <w:szCs w:val="52"/>
        </w:rPr>
        <w:t>地方标准编制说明</w:t>
      </w:r>
    </w:p>
    <w:tbl>
      <w:tblPr>
        <w:tblStyle w:val="4"/>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322"/>
        <w:gridCol w:w="3501"/>
        <w:gridCol w:w="1137"/>
        <w:gridCol w:w="1337"/>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标准名称</w:t>
            </w:r>
          </w:p>
        </w:tc>
        <w:tc>
          <w:tcPr>
            <w:tcW w:w="7554" w:type="dxa"/>
            <w:gridSpan w:val="4"/>
            <w:vAlign w:val="center"/>
          </w:tcPr>
          <w:p>
            <w:pPr>
              <w:pStyle w:val="6"/>
              <w:ind w:firstLine="0" w:firstLineChars="0"/>
              <w:jc w:val="left"/>
              <w:rPr>
                <w:rFonts w:hAnsi="宋体"/>
                <w:szCs w:val="21"/>
              </w:rPr>
            </w:pPr>
            <w:r>
              <w:rPr>
                <w:rFonts w:hint="eastAsia" w:ascii="Times New Roman"/>
                <w:bCs/>
                <w:caps/>
                <w:color w:val="auto"/>
                <w:szCs w:val="21"/>
                <w:highlight w:val="none"/>
                <w:lang w:eastAsia="zh-CN"/>
              </w:rPr>
              <w:t>校园食材配送服务规范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任务来源</w:t>
            </w:r>
          </w:p>
          <w:p>
            <w:pPr>
              <w:pStyle w:val="6"/>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554" w:type="dxa"/>
            <w:gridSpan w:val="4"/>
            <w:vAlign w:val="center"/>
          </w:tcPr>
          <w:p>
            <w:pPr>
              <w:keepNext w:val="0"/>
              <w:keepLines w:val="0"/>
              <w:widowControl/>
              <w:suppressLineNumbers w:val="0"/>
              <w:jc w:val="left"/>
              <w:rPr>
                <w:rFonts w:hint="default" w:hAnsi="宋体"/>
                <w:szCs w:val="21"/>
                <w:lang w:val="en-US"/>
              </w:rPr>
            </w:pPr>
            <w:r>
              <w:rPr>
                <w:rFonts w:hint="eastAsia" w:ascii="Times New Roman"/>
                <w:color w:val="auto"/>
                <w:szCs w:val="21"/>
                <w:highlight w:val="none"/>
                <w:lang w:eastAsia="zh-CN"/>
              </w:rPr>
              <w:t>《安徽省市场监督管理局关于下达 2024 年第二批安徽省地方标准制修订计划的通知》（皖市监函〔202</w:t>
            </w:r>
            <w:r>
              <w:rPr>
                <w:rFonts w:hint="eastAsia" w:ascii="Times New Roman"/>
                <w:color w:val="auto"/>
                <w:szCs w:val="21"/>
                <w:highlight w:val="none"/>
                <w:lang w:val="en-US" w:eastAsia="zh-CN"/>
              </w:rPr>
              <w:t>4</w:t>
            </w:r>
            <w:r>
              <w:rPr>
                <w:rFonts w:hint="eastAsia" w:ascii="Times New Roman"/>
                <w:color w:val="auto"/>
                <w:szCs w:val="21"/>
                <w:highlight w:val="none"/>
                <w:lang w:eastAsia="zh-CN"/>
              </w:rPr>
              <w:t>〕</w:t>
            </w:r>
            <w:r>
              <w:rPr>
                <w:rFonts w:hint="eastAsia" w:ascii="Times New Roman"/>
                <w:color w:val="auto"/>
                <w:szCs w:val="21"/>
                <w:highlight w:val="none"/>
                <w:lang w:val="en-US" w:eastAsia="zh-CN"/>
              </w:rPr>
              <w:t>163</w:t>
            </w:r>
            <w:r>
              <w:rPr>
                <w:rFonts w:hint="eastAsia" w:ascii="Times New Roman"/>
                <w:color w:val="auto"/>
                <w:szCs w:val="21"/>
                <w:highlight w:val="none"/>
                <w:lang w:eastAsia="zh-CN"/>
              </w:rPr>
              <w:t>号），项目计划号</w:t>
            </w:r>
            <w:r>
              <w:rPr>
                <w:rFonts w:ascii="Times New Roman"/>
                <w:color w:val="auto"/>
                <w:szCs w:val="21"/>
                <w:highlight w:val="none"/>
              </w:rPr>
              <w:t>：</w:t>
            </w:r>
            <w:r>
              <w:rPr>
                <w:rFonts w:hint="eastAsia" w:ascii="Times New Roman"/>
                <w:color w:val="auto"/>
                <w:szCs w:val="21"/>
                <w:highlight w:val="none"/>
                <w:lang w:val="en-US" w:eastAsia="zh-CN"/>
              </w:rPr>
              <w:t>2024-2-1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第一起草单位</w:t>
            </w:r>
          </w:p>
        </w:tc>
        <w:tc>
          <w:tcPr>
            <w:tcW w:w="7554" w:type="dxa"/>
            <w:gridSpan w:val="4"/>
            <w:vAlign w:val="center"/>
          </w:tcPr>
          <w:p>
            <w:pPr>
              <w:pStyle w:val="6"/>
              <w:widowControl w:val="0"/>
              <w:ind w:firstLine="0" w:firstLineChars="0"/>
              <w:rPr>
                <w:rFonts w:hint="eastAsia" w:hAnsi="宋体" w:eastAsia="宋体"/>
                <w:szCs w:val="21"/>
                <w:lang w:eastAsia="zh-CN"/>
              </w:rPr>
            </w:pPr>
            <w:r>
              <w:rPr>
                <w:rFonts w:hint="eastAsia" w:ascii="Times New Roman"/>
                <w:color w:val="auto"/>
                <w:szCs w:val="21"/>
                <w:highlight w:val="none"/>
                <w:lang w:eastAsia="zh-CN"/>
              </w:rPr>
              <w:t>宿州学院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单位地址</w:t>
            </w:r>
          </w:p>
        </w:tc>
        <w:tc>
          <w:tcPr>
            <w:tcW w:w="7554" w:type="dxa"/>
            <w:gridSpan w:val="4"/>
            <w:vAlign w:val="center"/>
          </w:tcPr>
          <w:p>
            <w:pPr>
              <w:pStyle w:val="6"/>
              <w:widowControl w:val="0"/>
              <w:ind w:firstLine="0" w:firstLineChars="0"/>
              <w:rPr>
                <w:rFonts w:hAnsi="宋体"/>
                <w:szCs w:val="21"/>
              </w:rPr>
            </w:pPr>
            <w:r>
              <w:rPr>
                <w:rFonts w:hint="eastAsia" w:hAnsi="宋体"/>
                <w:szCs w:val="21"/>
              </w:rPr>
              <w:t>安徽省宿州市汴河中路49号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554" w:type="dxa"/>
            <w:gridSpan w:val="4"/>
            <w:vAlign w:val="center"/>
          </w:tcPr>
          <w:p>
            <w:pP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8"/>
              <w:widowControl w:val="0"/>
            </w:pPr>
            <w:r>
              <w:t>标准起草人</w:t>
            </w:r>
          </w:p>
          <w:p>
            <w:pPr>
              <w:pStyle w:val="6"/>
              <w:adjustRightInd w:val="0"/>
              <w:spacing w:line="360" w:lineRule="auto"/>
              <w:ind w:firstLine="0" w:firstLineChars="0"/>
              <w:contextualSpacing/>
              <w:jc w:val="center"/>
              <w:rPr>
                <w:rFonts w:hAnsi="宋体"/>
                <w:szCs w:val="21"/>
              </w:rPr>
            </w:pPr>
            <w:r>
              <w:rPr>
                <w:rFonts w:hint="eastAsia"/>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序号</w:t>
            </w:r>
          </w:p>
        </w:tc>
        <w:tc>
          <w:tcPr>
            <w:tcW w:w="1322" w:type="dxa"/>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姓名</w:t>
            </w:r>
          </w:p>
        </w:tc>
        <w:tc>
          <w:tcPr>
            <w:tcW w:w="3501" w:type="dxa"/>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单位</w:t>
            </w:r>
          </w:p>
        </w:tc>
        <w:tc>
          <w:tcPr>
            <w:tcW w:w="1137" w:type="dxa"/>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职务</w:t>
            </w:r>
          </w:p>
        </w:tc>
        <w:tc>
          <w:tcPr>
            <w:tcW w:w="1337" w:type="dxa"/>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职称</w:t>
            </w:r>
          </w:p>
        </w:tc>
        <w:tc>
          <w:tcPr>
            <w:tcW w:w="1579" w:type="dxa"/>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3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宋体"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宋体"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Times New Roman" w:eastAsia="宋体" w:cs="Times New Roman"/>
                <w:color w:val="auto"/>
                <w:kern w:val="2"/>
                <w:sz w:val="21"/>
                <w:szCs w:val="24"/>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p>
        </w:tc>
        <w:tc>
          <w:tcPr>
            <w:tcW w:w="13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宋体"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宋体"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宋体"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Times New Roman" w:eastAsia="宋体" w:cs="Times New Roman"/>
                <w:color w:val="auto"/>
                <w:kern w:val="2"/>
                <w:sz w:val="21"/>
                <w:szCs w:val="24"/>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3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宋体"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Times New Roman" w:eastAsia="宋体" w:cs="Times New Roman"/>
                <w:color w:val="auto"/>
                <w:kern w:val="2"/>
                <w:sz w:val="21"/>
                <w:szCs w:val="24"/>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宋体" w:eastAsia="宋体" w:cs="Times New Roman"/>
                <w:color w:val="auto"/>
                <w:kern w:val="0"/>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snapToGrid/>
              <w:spacing w:line="360" w:lineRule="exact"/>
              <w:ind w:left="0" w:leftChars="0"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3501"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宋体" w:hAnsi="Times New Roman" w:eastAsia="宋体" w:cs="Times New Roman"/>
                <w:color w:val="auto"/>
                <w:kern w:val="2"/>
                <w:sz w:val="21"/>
                <w:szCs w:val="24"/>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37"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3501"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0"/>
                <w:sz w:val="21"/>
                <w:szCs w:val="21"/>
                <w:highlight w:val="none"/>
                <w:lang w:val="en-US" w:eastAsia="zh-CN" w:bidi="ar-SA"/>
              </w:rPr>
            </w:pPr>
          </w:p>
        </w:tc>
        <w:tc>
          <w:tcPr>
            <w:tcW w:w="1322"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3501"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left="0" w:leftChars="0"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color w:val="auto"/>
                <w:szCs w:val="21"/>
                <w:highlight w:val="none"/>
                <w:lang w:val="en-US" w:eastAsia="zh-CN"/>
              </w:rPr>
            </w:pPr>
          </w:p>
        </w:tc>
        <w:tc>
          <w:tcPr>
            <w:tcW w:w="1322"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3501"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left="0" w:leftChars="0"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color w:val="auto"/>
                <w:szCs w:val="21"/>
                <w:highlight w:val="none"/>
                <w:lang w:val="en-US" w:eastAsia="zh-CN"/>
              </w:rPr>
            </w:pPr>
          </w:p>
        </w:tc>
        <w:tc>
          <w:tcPr>
            <w:tcW w:w="1322"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3501"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left="0" w:leftChars="0"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color w:val="auto"/>
                <w:szCs w:val="21"/>
                <w:highlight w:val="none"/>
                <w:lang w:val="en-US" w:eastAsia="zh-CN"/>
              </w:rPr>
            </w:pPr>
          </w:p>
        </w:tc>
        <w:tc>
          <w:tcPr>
            <w:tcW w:w="1322"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3501"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left="0" w:leftChars="0"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color w:val="auto"/>
                <w:szCs w:val="21"/>
                <w:highlight w:val="none"/>
                <w:lang w:val="en-US" w:eastAsia="zh-CN"/>
              </w:rPr>
            </w:pPr>
            <w:bookmarkStart w:id="30" w:name="_GoBack"/>
            <w:bookmarkEnd w:id="30"/>
          </w:p>
        </w:tc>
        <w:tc>
          <w:tcPr>
            <w:tcW w:w="1322"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3501"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left="0" w:leftChars="0"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color w:val="auto"/>
                <w:szCs w:val="21"/>
                <w:highlight w:val="none"/>
                <w:lang w:val="en-US" w:eastAsia="zh-CN"/>
              </w:rPr>
            </w:pPr>
          </w:p>
        </w:tc>
        <w:tc>
          <w:tcPr>
            <w:tcW w:w="1322"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3501"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left="0" w:leftChars="0"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6"/>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hint="eastAsia" w:ascii="Times New Roman"/>
                <w:color w:val="auto"/>
                <w:szCs w:val="21"/>
                <w:highlight w:val="none"/>
                <w:lang w:val="en-US" w:eastAsia="zh-CN"/>
              </w:rPr>
            </w:pPr>
          </w:p>
        </w:tc>
        <w:tc>
          <w:tcPr>
            <w:tcW w:w="1322"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3501"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137" w:type="dxa"/>
            <w:vAlign w:val="center"/>
          </w:tcPr>
          <w:p>
            <w:pPr>
              <w:pStyle w:val="6"/>
              <w:keepNext w:val="0"/>
              <w:keepLines w:val="0"/>
              <w:pageBreakBefore w:val="0"/>
              <w:widowControl/>
              <w:kinsoku/>
              <w:wordWrap/>
              <w:overflowPunct/>
              <w:topLinePunct w:val="0"/>
              <w:bidi w:val="0"/>
              <w:adjustRightInd/>
              <w:snapToGrid/>
              <w:spacing w:line="360" w:lineRule="exact"/>
              <w:ind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c>
          <w:tcPr>
            <w:tcW w:w="1337" w:type="dxa"/>
            <w:vAlign w:val="center"/>
          </w:tcPr>
          <w:p>
            <w:pPr>
              <w:keepNext w:val="0"/>
              <w:keepLines w:val="0"/>
              <w:pageBreakBefore w:val="0"/>
              <w:widowControl/>
              <w:kinsoku/>
              <w:wordWrap/>
              <w:overflowPunct/>
              <w:topLinePunct w:val="0"/>
              <w:bidi w:val="0"/>
              <w:adjustRightInd/>
              <w:snapToGrid/>
              <w:spacing w:line="360" w:lineRule="exact"/>
              <w:jc w:val="center"/>
              <w:textAlignment w:val="auto"/>
              <w:rPr>
                <w:rFonts w:hint="eastAsia" w:ascii="宋体" w:hAnsi="宋体" w:eastAsia="宋体" w:cs="Times New Roman"/>
                <w:color w:val="auto"/>
                <w:kern w:val="2"/>
                <w:sz w:val="21"/>
                <w:szCs w:val="21"/>
                <w:highlight w:val="none"/>
                <w:lang w:val="en-US" w:eastAsia="zh-CN" w:bidi="ar-SA"/>
              </w:rPr>
            </w:pPr>
          </w:p>
        </w:tc>
        <w:tc>
          <w:tcPr>
            <w:tcW w:w="1579" w:type="dxa"/>
            <w:vAlign w:val="center"/>
          </w:tcPr>
          <w:p>
            <w:pPr>
              <w:pStyle w:val="6"/>
              <w:keepNext w:val="0"/>
              <w:keepLines w:val="0"/>
              <w:pageBreakBefore w:val="0"/>
              <w:widowControl/>
              <w:kinsoku/>
              <w:wordWrap/>
              <w:overflowPunct/>
              <w:topLinePunct w:val="0"/>
              <w:bidi w:val="0"/>
              <w:snapToGrid/>
              <w:spacing w:line="360" w:lineRule="exact"/>
              <w:ind w:left="0" w:leftChars="0" w:firstLine="0" w:firstLineChars="0"/>
              <w:jc w:val="center"/>
              <w:textAlignment w:val="auto"/>
              <w:rPr>
                <w:rFonts w:hint="eastAsia" w:ascii="宋体" w:hAnsi="宋体" w:eastAsia="宋体" w:cs="Times New Roman"/>
                <w:color w:val="auto"/>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jc w:val="center"/>
              <w:rPr>
                <w:rFonts w:hAnsi="宋体"/>
                <w:szCs w:val="21"/>
              </w:rPr>
            </w:pPr>
            <w:r>
              <w:rPr>
                <w:rFonts w:hint="eastAsia" w:hAnsi="宋体"/>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r>
              <w:rPr>
                <w:rFonts w:hint="eastAsia" w:hAnsi="宋体"/>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contextualSpacing/>
              <w:rPr>
                <w:rFonts w:hint="eastAsia" w:hAnsi="宋体"/>
                <w:szCs w:val="21"/>
              </w:rPr>
            </w:pPr>
            <w:r>
              <w:rPr>
                <w:rFonts w:hint="eastAsia" w:hAnsi="宋体"/>
                <w:szCs w:val="21"/>
              </w:rPr>
              <w:t>202</w:t>
            </w:r>
            <w:r>
              <w:rPr>
                <w:rFonts w:hint="eastAsia" w:hAnsi="宋体"/>
                <w:szCs w:val="21"/>
                <w:lang w:val="en-US" w:eastAsia="zh-CN"/>
              </w:rPr>
              <w:t>3</w:t>
            </w:r>
            <w:r>
              <w:rPr>
                <w:rFonts w:hint="eastAsia" w:hAnsi="宋体"/>
                <w:szCs w:val="21"/>
              </w:rPr>
              <w:t>年</w:t>
            </w:r>
            <w:r>
              <w:rPr>
                <w:rFonts w:hint="eastAsia" w:hAnsi="宋体"/>
                <w:szCs w:val="21"/>
                <w:lang w:val="en-US" w:eastAsia="zh-CN"/>
              </w:rPr>
              <w:t>4</w:t>
            </w:r>
            <w:r>
              <w:rPr>
                <w:rFonts w:hint="eastAsia" w:hAnsi="宋体"/>
                <w:szCs w:val="21"/>
                <w:lang w:eastAsia="zh-CN"/>
              </w:rPr>
              <w:t>月</w:t>
            </w:r>
            <w:r>
              <w:rPr>
                <w:rFonts w:hint="eastAsia" w:hAnsi="宋体"/>
                <w:szCs w:val="21"/>
                <w:lang w:val="en-US" w:eastAsia="zh-CN"/>
              </w:rPr>
              <w:t>15</w:t>
            </w:r>
            <w:r>
              <w:rPr>
                <w:rFonts w:hint="eastAsia" w:hAnsi="宋体"/>
                <w:szCs w:val="21"/>
                <w:lang w:eastAsia="zh-CN"/>
              </w:rPr>
              <w:t>日，根据</w:t>
            </w:r>
            <w:r>
              <w:rPr>
                <w:rFonts w:hint="eastAsia" w:hAnsi="宋体"/>
                <w:szCs w:val="21"/>
                <w:lang w:eastAsia="zh-CN"/>
              </w:rPr>
              <w:t>安徽省市场监督管理局</w:t>
            </w:r>
            <w:r>
              <w:rPr>
                <w:rFonts w:hint="eastAsia" w:ascii="Times New Roman"/>
                <w:color w:val="auto"/>
                <w:szCs w:val="21"/>
                <w:highlight w:val="none"/>
                <w:lang w:eastAsia="zh-CN"/>
              </w:rPr>
              <w:t>《安徽省市场监督管理局关于下达 2024 年第二批安徽省地方标准制修订计划的通知》（皖市监函〔202</w:t>
            </w:r>
            <w:r>
              <w:rPr>
                <w:rFonts w:hint="eastAsia" w:ascii="Times New Roman"/>
                <w:color w:val="auto"/>
                <w:szCs w:val="21"/>
                <w:highlight w:val="none"/>
                <w:lang w:val="en-US" w:eastAsia="zh-CN"/>
              </w:rPr>
              <w:t>4</w:t>
            </w:r>
            <w:r>
              <w:rPr>
                <w:rFonts w:hint="eastAsia" w:ascii="Times New Roman"/>
                <w:color w:val="auto"/>
                <w:szCs w:val="21"/>
                <w:highlight w:val="none"/>
                <w:lang w:eastAsia="zh-CN"/>
              </w:rPr>
              <w:t>〕</w:t>
            </w:r>
            <w:r>
              <w:rPr>
                <w:rFonts w:hint="eastAsia" w:ascii="Times New Roman"/>
                <w:color w:val="auto"/>
                <w:szCs w:val="21"/>
                <w:highlight w:val="none"/>
                <w:lang w:val="en-US" w:eastAsia="zh-CN"/>
              </w:rPr>
              <w:t>163</w:t>
            </w:r>
            <w:r>
              <w:rPr>
                <w:rFonts w:hint="eastAsia" w:ascii="Times New Roman"/>
                <w:color w:val="auto"/>
                <w:szCs w:val="21"/>
                <w:highlight w:val="none"/>
                <w:lang w:eastAsia="zh-CN"/>
              </w:rPr>
              <w:t>号）</w:t>
            </w:r>
            <w:r>
              <w:rPr>
                <w:rFonts w:hint="eastAsia" w:hAnsi="宋体"/>
                <w:szCs w:val="21"/>
              </w:rPr>
              <w:t>，由</w:t>
            </w:r>
            <w:r>
              <w:rPr>
                <w:rFonts w:hint="eastAsia" w:hAnsi="宋体"/>
                <w:szCs w:val="21"/>
                <w:lang w:eastAsia="zh-CN"/>
              </w:rPr>
              <w:t>宿州学院</w:t>
            </w:r>
            <w:r>
              <w:rPr>
                <w:rFonts w:hint="eastAsia" w:hAnsi="宋体"/>
                <w:szCs w:val="21"/>
              </w:rPr>
              <w:t>等单位起草的《</w:t>
            </w:r>
            <w:r>
              <w:rPr>
                <w:rFonts w:hint="eastAsia" w:hAnsi="宋体"/>
                <w:szCs w:val="21"/>
                <w:lang w:eastAsia="zh-CN"/>
              </w:rPr>
              <w:t>校园食材配送服务规范</w:t>
            </w:r>
            <w:r>
              <w:rPr>
                <w:rFonts w:hint="eastAsia" w:hAnsi="宋体"/>
                <w:szCs w:val="21"/>
              </w:rPr>
              <w:t>》</w:t>
            </w:r>
            <w:r>
              <w:rPr>
                <w:rFonts w:hint="eastAsia" w:ascii="Times New Roman"/>
                <w:color w:val="auto"/>
                <w:szCs w:val="21"/>
                <w:highlight w:val="none"/>
                <w:lang w:eastAsia="zh-CN"/>
              </w:rPr>
              <w:t>（项目计划号</w:t>
            </w:r>
            <w:r>
              <w:rPr>
                <w:rFonts w:ascii="Times New Roman"/>
                <w:color w:val="auto"/>
                <w:szCs w:val="21"/>
                <w:highlight w:val="none"/>
              </w:rPr>
              <w:t>：</w:t>
            </w:r>
            <w:r>
              <w:rPr>
                <w:rFonts w:hint="eastAsia" w:ascii="Times New Roman"/>
                <w:color w:val="auto"/>
                <w:szCs w:val="21"/>
                <w:highlight w:val="none"/>
                <w:lang w:val="en-US" w:eastAsia="zh-CN"/>
              </w:rPr>
              <w:t>2024-2-1</w:t>
            </w:r>
            <w:r>
              <w:rPr>
                <w:rFonts w:hint="eastAsia" w:ascii="Times New Roman"/>
                <w:color w:val="auto"/>
                <w:szCs w:val="21"/>
                <w:highlight w:val="none"/>
                <w:lang w:eastAsia="zh-CN"/>
              </w:rPr>
              <w:t>）</w:t>
            </w:r>
            <w:r>
              <w:rPr>
                <w:rFonts w:hint="eastAsia" w:hAnsi="宋体"/>
                <w:szCs w:val="21"/>
              </w:rPr>
              <w:t>标准项目通过了</w:t>
            </w:r>
            <w:r>
              <w:rPr>
                <w:rFonts w:hint="eastAsia" w:hAnsi="宋体"/>
                <w:szCs w:val="21"/>
                <w:lang w:eastAsia="zh-CN"/>
              </w:rPr>
              <w:t>安徽省</w:t>
            </w:r>
            <w:r>
              <w:rPr>
                <w:rFonts w:hint="eastAsia" w:hAnsi="宋体"/>
                <w:szCs w:val="21"/>
              </w:rPr>
              <w:t>地方标准的立项。</w:t>
            </w:r>
          </w:p>
          <w:p>
            <w:pPr>
              <w:pStyle w:val="6"/>
              <w:adjustRightInd w:val="0"/>
              <w:spacing w:line="360" w:lineRule="auto"/>
              <w:contextualSpacing/>
              <w:rPr>
                <w:rFonts w:hint="eastAsia" w:hAnsi="宋体"/>
                <w:szCs w:val="21"/>
              </w:rPr>
            </w:pPr>
            <w:r>
              <w:rPr>
                <w:rFonts w:hint="eastAsia" w:hAnsi="宋体"/>
                <w:b/>
                <w:bCs/>
                <w:color w:val="auto"/>
                <w:szCs w:val="21"/>
              </w:rPr>
              <w:t>标准起草过程</w:t>
            </w:r>
            <w:r>
              <w:rPr>
                <w:rFonts w:hint="eastAsia" w:hAnsi="宋体"/>
                <w:szCs w:val="21"/>
              </w:rPr>
              <w:t>：</w:t>
            </w:r>
          </w:p>
          <w:p>
            <w:pPr>
              <w:spacing w:line="360" w:lineRule="auto"/>
              <w:ind w:firstLine="420" w:firstLineChars="200"/>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（1）成立标准起草工作组（2023年12月）</w:t>
            </w:r>
          </w:p>
          <w:p>
            <w:pPr>
              <w:spacing w:line="360" w:lineRule="auto"/>
              <w:ind w:firstLine="420" w:firstLineChars="200"/>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2023年12月10日，由宿州学院牵头组织召开了安徽省地方标准《校园食材配送服务规范》标准制定座谈会，会议确定了本文件编制工作小组及各自分工，总体规划。组织成立了《校园食材配送服务规范》安徽省地方标准起草工作组，确定了标准编制思路和方案。</w:t>
            </w:r>
          </w:p>
          <w:p>
            <w:pPr>
              <w:spacing w:line="360" w:lineRule="auto"/>
              <w:ind w:firstLine="420" w:firstLineChars="200"/>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（2）标准调研和草案编制（2023年12月-2024年2月）</w:t>
            </w:r>
          </w:p>
          <w:p>
            <w:pPr>
              <w:spacing w:line="360" w:lineRule="auto"/>
              <w:ind w:firstLine="420" w:firstLineChars="200"/>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标准起草组通过查阅文献资料和实地走访等方式，开展标准需求调研，走访了安徽大学、安徽医科大学、合肥工业大学、宿州学院、安徽中快餐饮有限公司、合肥黄山大厦酒店管理集团有限公司等学校及相关单位，深入了解我省校园食材配送服务情况，听取领域内专家和相关技术人员意见，经过内部多次讨论和修改，于2024年2月完成《校园食材配送服务规范》标准草案。</w:t>
            </w:r>
          </w:p>
          <w:p>
            <w:pPr>
              <w:spacing w:line="360" w:lineRule="auto"/>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lang w:eastAsia="zh-CN"/>
              </w:rPr>
              <w:t>（3）标准研讨阶段</w:t>
            </w:r>
          </w:p>
          <w:p>
            <w:pPr>
              <w:spacing w:line="360" w:lineRule="auto"/>
              <w:ind w:firstLine="420" w:firstLineChars="200"/>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2024年3月-2024年4月，标准编制期间，标准编制工作小组内部先后召开多次集体讨论审查会议，讨论修改标准内容。确定标准的整体框架，形成标准初稿，并广泛征求意见，来自各部门各专业的专家对标准提出了专业性意见和建议，对标准相关内容进行质询和研讨，提出相应的修改意见，对草案进一步完善，最终讨论定稿，形成征求意见稿标准文本。</w:t>
            </w:r>
          </w:p>
          <w:p>
            <w:pPr>
              <w:pStyle w:val="6"/>
              <w:adjustRightInd w:val="0"/>
              <w:spacing w:line="360" w:lineRule="auto"/>
              <w:contextualSpacing/>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r>
              <w:rPr>
                <w:rFonts w:hint="eastAsia" w:hAnsi="宋体"/>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b/>
                <w:szCs w:val="21"/>
              </w:rPr>
            </w:pPr>
            <w:r>
              <w:rPr>
                <w:rFonts w:hint="eastAsia" w:hAnsi="宋体"/>
                <w:b/>
                <w:szCs w:val="21"/>
              </w:rPr>
              <w:t>必要性：</w:t>
            </w:r>
          </w:p>
          <w:p>
            <w:pPr>
              <w:pStyle w:val="6"/>
              <w:adjustRightInd w:val="0"/>
              <w:spacing w:line="360" w:lineRule="auto"/>
              <w:ind w:firstLine="420" w:firstLineChars="200"/>
              <w:contextualSpacing/>
              <w:rPr>
                <w:rFonts w:hint="eastAsia" w:hAnsi="宋体"/>
                <w:szCs w:val="21"/>
              </w:rPr>
            </w:pPr>
            <w:r>
              <w:rPr>
                <w:rFonts w:hint="eastAsia" w:hAnsi="宋体"/>
                <w:szCs w:val="21"/>
              </w:rPr>
              <w:t>“民以食为天，食以安为先”，食品安全已成为党和政府、社会公众关注的焦点，餐饮服务是食品消费的终端环节。餐饮服务包含从农场到餐桌的整个过程，有多个风险点，其中最为重要的是食材采购环节，涵盖了上游种植养殖、包装运输、食品加工等各个环节的风险，因此，对食材采购环节的监控尤为重要。</w:t>
            </w:r>
          </w:p>
          <w:p>
            <w:pPr>
              <w:pStyle w:val="6"/>
              <w:adjustRightInd w:val="0"/>
              <w:spacing w:line="360" w:lineRule="auto"/>
              <w:ind w:firstLine="420" w:firstLineChars="200"/>
              <w:contextualSpacing/>
              <w:rPr>
                <w:rFonts w:hint="eastAsia" w:hAnsi="宋体"/>
                <w:szCs w:val="21"/>
              </w:rPr>
            </w:pPr>
            <w:r>
              <w:rPr>
                <w:rFonts w:hint="eastAsia" w:hAnsi="宋体"/>
                <w:szCs w:val="21"/>
              </w:rPr>
              <w:t>据调研了解，目前绝大多数校园食堂都会通过食材配送公司进行统一集中采购食材。但是，目前校园食材配送服务缺少系统性管理，所以制定安徽省地方标准《校园食材配送服务规范》势在必行。</w:t>
            </w:r>
          </w:p>
          <w:p>
            <w:pPr>
              <w:pStyle w:val="6"/>
              <w:adjustRightInd w:val="0"/>
              <w:spacing w:line="360" w:lineRule="auto"/>
              <w:ind w:firstLine="420" w:firstLineChars="200"/>
              <w:contextualSpacing/>
              <w:rPr>
                <w:rFonts w:hint="eastAsia" w:hAnsi="宋体"/>
                <w:szCs w:val="21"/>
              </w:rPr>
            </w:pPr>
            <w:r>
              <w:rPr>
                <w:rFonts w:hint="eastAsia" w:hAnsi="宋体"/>
                <w:szCs w:val="21"/>
              </w:rPr>
              <w:t>随着国务院食安办等五部委《关于印发《校园食品安全排查整治专项行动实施方案》的通知》的颁发，引起有关单位对校园食材配送服务管理工作的重视，制定安徽省地方标准《校园食材配送服务规范》，能统一校园食材配送服务流程，提升校园食材配送质量和效率，从源头保障校园食堂食材供应安全，建立学校食品安全长效机制，确保学校师生“舌尖上的安全”。</w:t>
            </w:r>
          </w:p>
          <w:p>
            <w:pPr>
              <w:pStyle w:val="6"/>
              <w:adjustRightInd w:val="0"/>
              <w:spacing w:line="360" w:lineRule="auto"/>
              <w:ind w:firstLine="0" w:firstLineChars="0"/>
              <w:contextualSpacing/>
              <w:rPr>
                <w:rFonts w:hAnsi="宋体"/>
                <w:b/>
                <w:szCs w:val="21"/>
              </w:rPr>
            </w:pPr>
            <w:r>
              <w:rPr>
                <w:rFonts w:hint="eastAsia" w:hAnsi="宋体"/>
                <w:b/>
                <w:szCs w:val="21"/>
              </w:rPr>
              <w:t>意义：</w:t>
            </w:r>
          </w:p>
          <w:p>
            <w:pPr>
              <w:pStyle w:val="6"/>
              <w:adjustRightInd w:val="0"/>
              <w:spacing w:line="360" w:lineRule="auto"/>
              <w:contextualSpacing/>
              <w:rPr>
                <w:rFonts w:hAnsi="宋体"/>
                <w:szCs w:val="21"/>
              </w:rPr>
            </w:pPr>
            <w:r>
              <w:rPr>
                <w:rFonts w:hint="eastAsia" w:hAnsi="宋体"/>
                <w:szCs w:val="21"/>
              </w:rPr>
              <w:t>安徽省地方标准《</w:t>
            </w:r>
            <w:r>
              <w:rPr>
                <w:rFonts w:hint="eastAsia" w:hAnsi="宋体"/>
                <w:szCs w:val="21"/>
                <w:lang w:eastAsia="zh-CN"/>
              </w:rPr>
              <w:t>校园食材配送服务规范</w:t>
            </w:r>
            <w:r>
              <w:rPr>
                <w:rFonts w:hint="eastAsia" w:hAnsi="宋体"/>
                <w:szCs w:val="21"/>
              </w:rPr>
              <w:t>》的制定可以填补安徽省</w:t>
            </w:r>
            <w:r>
              <w:rPr>
                <w:rFonts w:hint="eastAsia" w:hAnsi="宋体"/>
                <w:szCs w:val="21"/>
                <w:lang w:eastAsia="zh-CN"/>
              </w:rPr>
              <w:t>校园食材配送服务</w:t>
            </w:r>
            <w:r>
              <w:rPr>
                <w:rFonts w:hint="eastAsia" w:hAnsi="宋体"/>
                <w:szCs w:val="21"/>
              </w:rPr>
              <w:t>领域标准的空白，有利于统一</w:t>
            </w:r>
            <w:r>
              <w:rPr>
                <w:rFonts w:hint="eastAsia" w:hAnsi="宋体"/>
                <w:szCs w:val="21"/>
                <w:lang w:eastAsia="zh-CN"/>
              </w:rPr>
              <w:t>安徽省</w:t>
            </w:r>
            <w:r>
              <w:rPr>
                <w:rFonts w:hint="eastAsia" w:hAnsi="宋体"/>
                <w:szCs w:val="21"/>
              </w:rPr>
              <w:t>校园食材配送服务流程，提升校园食材配送质量和效率，从源头保障校园食堂食材供应安全，建立学校食品安全长效机制，确保学校师生“舌尖上的安全”。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int="eastAsia" w:hAnsi="宋体"/>
                <w:b/>
                <w:bCs/>
                <w:szCs w:val="21"/>
              </w:rPr>
            </w:pPr>
            <w:r>
              <w:rPr>
                <w:rFonts w:hint="eastAsia" w:hAnsi="宋体"/>
                <w:b/>
                <w:bCs/>
                <w:szCs w:val="21"/>
              </w:rPr>
              <w:t>（一）制定原则</w:t>
            </w:r>
          </w:p>
          <w:p>
            <w:pPr>
              <w:pStyle w:val="6"/>
              <w:adjustRightInd w:val="0"/>
              <w:spacing w:line="360" w:lineRule="auto"/>
              <w:ind w:firstLine="0" w:firstLineChars="0"/>
              <w:contextualSpacing/>
              <w:rPr>
                <w:rFonts w:hint="eastAsia" w:hAnsi="宋体"/>
                <w:szCs w:val="21"/>
              </w:rPr>
            </w:pPr>
            <w:r>
              <w:rPr>
                <w:rFonts w:hint="eastAsia" w:hAnsi="宋体"/>
                <w:szCs w:val="21"/>
              </w:rPr>
              <w:t>1、科学实用原则。在尊重科学、紧密结合实践、广泛征求意见及调查研究的基础上，紧贴</w:t>
            </w:r>
            <w:r>
              <w:rPr>
                <w:rFonts w:hint="eastAsia" w:hAnsi="宋体"/>
                <w:szCs w:val="21"/>
                <w:lang w:eastAsia="zh-CN"/>
              </w:rPr>
              <w:t>技术评价内容</w:t>
            </w:r>
            <w:r>
              <w:rPr>
                <w:rFonts w:hint="eastAsia" w:hAnsi="宋体"/>
                <w:szCs w:val="21"/>
              </w:rPr>
              <w:t>，具有可操作性和实用性。</w:t>
            </w:r>
          </w:p>
          <w:p>
            <w:pPr>
              <w:pStyle w:val="6"/>
              <w:adjustRightInd w:val="0"/>
              <w:spacing w:line="360" w:lineRule="auto"/>
              <w:ind w:firstLine="0" w:firstLineChars="0"/>
              <w:contextualSpacing/>
              <w:rPr>
                <w:rFonts w:hint="eastAsia" w:hAnsi="宋体"/>
                <w:szCs w:val="21"/>
              </w:rPr>
            </w:pPr>
            <w:r>
              <w:rPr>
                <w:rFonts w:hint="eastAsia" w:hAnsi="宋体"/>
                <w:szCs w:val="21"/>
              </w:rPr>
              <w:t>2、确保质量和安全原则。以质量和安全为核心，积极参照和采用国家有关标准，符合我国现行有关法律、法规和相关的标准要求。</w:t>
            </w:r>
          </w:p>
          <w:p>
            <w:pPr>
              <w:pStyle w:val="6"/>
              <w:adjustRightInd w:val="0"/>
              <w:spacing w:line="360" w:lineRule="auto"/>
              <w:ind w:firstLine="0" w:firstLineChars="0"/>
              <w:contextualSpacing/>
              <w:rPr>
                <w:rFonts w:hint="eastAsia" w:hAnsi="宋体"/>
                <w:szCs w:val="21"/>
              </w:rPr>
            </w:pPr>
            <w:r>
              <w:rPr>
                <w:rFonts w:hint="eastAsia" w:hAnsi="宋体"/>
                <w:szCs w:val="21"/>
              </w:rPr>
              <w:t>3、遵循《中华人民共和国食品安全法》和《地方标准管理办法》，按照 GB/T 1.1-2020《标准化工作导则 第1部分：标准化文件的结构和起草规则》标准规定的规则编写。</w:t>
            </w:r>
          </w:p>
          <w:p>
            <w:pPr>
              <w:pStyle w:val="6"/>
              <w:adjustRightInd w:val="0"/>
              <w:spacing w:line="360" w:lineRule="auto"/>
              <w:ind w:firstLine="0" w:firstLineChars="0"/>
              <w:contextualSpacing/>
              <w:rPr>
                <w:rFonts w:hint="eastAsia" w:hAnsi="宋体"/>
                <w:b/>
                <w:bCs/>
                <w:szCs w:val="21"/>
              </w:rPr>
            </w:pPr>
            <w:r>
              <w:rPr>
                <w:rFonts w:hint="eastAsia" w:hAnsi="宋体"/>
                <w:b/>
                <w:bCs/>
                <w:szCs w:val="21"/>
                <w:lang w:eastAsia="zh-CN"/>
              </w:rPr>
              <w:t>（二）</w:t>
            </w:r>
            <w:r>
              <w:rPr>
                <w:rFonts w:hint="eastAsia" w:hAnsi="宋体"/>
                <w:b/>
                <w:bCs/>
                <w:szCs w:val="21"/>
              </w:rPr>
              <w:t>制定依据</w:t>
            </w:r>
          </w:p>
          <w:p>
            <w:pPr>
              <w:pStyle w:val="6"/>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int="eastAsia" w:hAnsi="宋体"/>
                <w:szCs w:val="21"/>
              </w:rPr>
            </w:pPr>
            <w:r>
              <w:rPr>
                <w:rFonts w:hint="eastAsia" w:hAnsi="宋体"/>
                <w:szCs w:val="21"/>
              </w:rPr>
              <w:t>GB 31621-2014《食品安全国家标准 食品经营过程卫生规范》</w:t>
            </w:r>
          </w:p>
          <w:p>
            <w:pPr>
              <w:pStyle w:val="6"/>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int="eastAsia" w:hAnsi="宋体"/>
                <w:szCs w:val="21"/>
              </w:rPr>
            </w:pPr>
            <w:r>
              <w:rPr>
                <w:rFonts w:hint="eastAsia" w:hAnsi="宋体"/>
                <w:szCs w:val="21"/>
              </w:rPr>
              <w:t>SB/T 10857-2012 《餐饮配送服务规范》</w:t>
            </w:r>
          </w:p>
          <w:p>
            <w:pPr>
              <w:pStyle w:val="6"/>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int="eastAsia" w:hAnsi="宋体" w:eastAsia="宋体"/>
                <w:szCs w:val="21"/>
                <w:lang w:eastAsia="zh-CN"/>
              </w:rPr>
            </w:pPr>
            <w:r>
              <w:rPr>
                <w:rFonts w:hint="eastAsia" w:hAnsi="宋体"/>
                <w:szCs w:val="21"/>
              </w:rPr>
              <w:t xml:space="preserve">GB/T 1.1-2020 </w:t>
            </w:r>
            <w:r>
              <w:rPr>
                <w:rFonts w:hint="eastAsia" w:hAnsi="宋体"/>
                <w:szCs w:val="21"/>
                <w:lang w:eastAsia="zh-CN"/>
              </w:rPr>
              <w:t>《</w:t>
            </w:r>
            <w:r>
              <w:rPr>
                <w:rFonts w:hint="eastAsia" w:hAnsi="宋体"/>
                <w:szCs w:val="21"/>
              </w:rPr>
              <w:t>标准化工作导则 第1部分：标准化文件的结构和起草规则</w:t>
            </w:r>
            <w:r>
              <w:rPr>
                <w:rFonts w:hint="eastAsia" w:hAnsi="宋体"/>
                <w:szCs w:val="21"/>
                <w:lang w:eastAsia="zh-CN"/>
              </w:rPr>
              <w:t>》</w:t>
            </w:r>
          </w:p>
          <w:p>
            <w:pPr>
              <w:pStyle w:val="6"/>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int="eastAsia" w:hAnsi="宋体"/>
                <w:szCs w:val="21"/>
              </w:rPr>
            </w:pPr>
            <w:r>
              <w:rPr>
                <w:rFonts w:hint="eastAsia" w:hAnsi="宋体"/>
                <w:szCs w:val="21"/>
              </w:rPr>
              <w:t>《安徽省学校食堂食品安全管理工作指南（试行）》</w:t>
            </w:r>
          </w:p>
          <w:p>
            <w:pPr>
              <w:pStyle w:val="6"/>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int="eastAsia" w:hAnsi="宋体"/>
                <w:szCs w:val="21"/>
              </w:rPr>
            </w:pPr>
            <w:r>
              <w:rPr>
                <w:rFonts w:hint="eastAsia" w:hAnsi="宋体"/>
                <w:szCs w:val="21"/>
              </w:rPr>
              <w:t>《中华人民共和国标准化法》</w:t>
            </w:r>
          </w:p>
          <w:p>
            <w:pPr>
              <w:pStyle w:val="6"/>
              <w:adjustRightInd w:val="0"/>
              <w:spacing w:line="360" w:lineRule="auto"/>
              <w:ind w:firstLine="0" w:firstLineChars="0"/>
              <w:contextualSpacing/>
              <w:rPr>
                <w:rFonts w:hint="eastAsia" w:hAnsi="宋体"/>
                <w:b/>
                <w:bCs/>
                <w:szCs w:val="21"/>
              </w:rPr>
            </w:pPr>
            <w:r>
              <w:rPr>
                <w:rFonts w:hint="eastAsia" w:hAnsi="宋体"/>
                <w:b/>
                <w:bCs/>
                <w:szCs w:val="21"/>
                <w:lang w:eastAsia="zh-CN"/>
              </w:rPr>
              <w:t>（三）</w:t>
            </w:r>
            <w:r>
              <w:rPr>
                <w:rFonts w:hint="eastAsia" w:hAnsi="宋体"/>
                <w:b/>
                <w:bCs/>
                <w:szCs w:val="21"/>
              </w:rPr>
              <w:t>与现行法律、法规、标准的关系</w:t>
            </w:r>
          </w:p>
          <w:p>
            <w:pPr>
              <w:pStyle w:val="6"/>
              <w:adjustRightInd w:val="0"/>
              <w:spacing w:line="360" w:lineRule="auto"/>
              <w:ind w:firstLine="420" w:firstLineChars="200"/>
              <w:contextualSpacing/>
              <w:rPr>
                <w:rFonts w:hAnsi="宋体"/>
                <w:szCs w:val="21"/>
              </w:rPr>
            </w:pPr>
            <w:r>
              <w:rPr>
                <w:rFonts w:hint="eastAsia" w:hAnsi="宋体"/>
                <w:szCs w:val="21"/>
              </w:rPr>
              <w:t>依据《中华人民共和国食品安全法》、《中华人民共和国标准化法》、国家市场监督管理总局办公厅发布《餐饮服务食品安全操作规范（2018 版）》以及《全省校园食品安全排查整治专项行动实施方案》（皖食安办函〔2023〕 115号）、《安徽省学校食堂食品安全管理工作指南（试行）》等相关政策的要求，结合《食品安全国家标准 餐饮服务通用卫生规范》（GB 31654）、《餐饮配送服务规范》（SB/T 10857）等标准和文件，以及安徽省校园食材配送服务管理现状制定，标准的内容符合强制性国家标准的要求，与现行有效的相关标准协调配套。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w:t>
            </w:r>
            <w:r>
              <w:rPr>
                <w:rFonts w:hint="eastAsia" w:hAnsi="宋体"/>
                <w:b/>
                <w:szCs w:val="21"/>
              </w:rPr>
              <w:t>详细说明</w:t>
            </w:r>
            <w:r>
              <w:rPr>
                <w:rFonts w:hint="eastAsia"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8" w:hRule="atLeast"/>
          <w:jc w:val="center"/>
        </w:trPr>
        <w:tc>
          <w:tcPr>
            <w:tcW w:w="9570" w:type="dxa"/>
            <w:gridSpan w:val="6"/>
            <w:vAlign w:val="center"/>
          </w:tcPr>
          <w:p>
            <w:pPr>
              <w:pStyle w:val="6"/>
              <w:adjustRightInd w:val="0"/>
              <w:spacing w:line="400" w:lineRule="atLeast"/>
              <w:ind w:firstLine="0" w:firstLineChars="0"/>
              <w:contextualSpacing/>
              <w:rPr>
                <w:rFonts w:hAnsi="宋体"/>
                <w:b/>
                <w:szCs w:val="21"/>
              </w:rPr>
            </w:pPr>
            <w:r>
              <w:rPr>
                <w:rFonts w:hint="eastAsia" w:hAnsi="宋体"/>
                <w:b/>
                <w:szCs w:val="21"/>
              </w:rPr>
              <w:t>主要条款：</w:t>
            </w:r>
          </w:p>
          <w:p>
            <w:pPr>
              <w:pStyle w:val="7"/>
              <w:ind w:firstLine="420"/>
            </w:pPr>
            <w:r>
              <w:rPr>
                <w:rFonts w:hint="eastAsia"/>
              </w:rPr>
              <w:t>本文件规定了校园食材配送服务的配送企业要求、供应商要求、食材处理、食材配送、服务</w:t>
            </w:r>
            <w:r>
              <w:t>保障和</w:t>
            </w:r>
            <w:r>
              <w:rPr>
                <w:rFonts w:hint="eastAsia"/>
              </w:rPr>
              <w:t>信息记录。</w:t>
            </w:r>
          </w:p>
          <w:p>
            <w:pPr>
              <w:ind w:firstLine="420" w:firstLineChars="200"/>
              <w:jc w:val="left"/>
              <w:rPr>
                <w:rFonts w:hint="eastAsia" w:ascii="宋体" w:hAnsi="宋体" w:eastAsia="宋体" w:cs="Times New Roman"/>
                <w:kern w:val="0"/>
                <w:sz w:val="21"/>
                <w:szCs w:val="21"/>
                <w:lang w:val="en-US" w:eastAsia="zh-CN" w:bidi="ar-SA"/>
              </w:rPr>
            </w:pPr>
            <w:r>
              <w:rPr>
                <w:rFonts w:hint="eastAsia"/>
              </w:rPr>
              <w:t>本文件适用于校园食材配送服务的管理。</w:t>
            </w:r>
          </w:p>
          <w:p>
            <w:pPr>
              <w:pStyle w:val="6"/>
              <w:adjustRightInd w:val="0"/>
              <w:spacing w:line="400" w:lineRule="atLeast"/>
              <w:ind w:firstLine="0" w:firstLineChars="0"/>
              <w:contextualSpacing/>
              <w:rPr>
                <w:rFonts w:hint="eastAsia" w:ascii="宋体" w:hAnsi="宋体" w:eastAsia="宋体" w:cs="Times New Roman"/>
                <w:b/>
                <w:szCs w:val="21"/>
                <w:lang w:val="en-US" w:eastAsia="zh-CN"/>
              </w:rPr>
            </w:pPr>
            <w:r>
              <w:rPr>
                <w:rFonts w:hint="eastAsia" w:ascii="宋体" w:hAnsi="宋体" w:eastAsia="宋体" w:cs="Times New Roman"/>
                <w:b/>
                <w:szCs w:val="21"/>
                <w:lang w:val="en-US" w:eastAsia="zh-CN"/>
              </w:rPr>
              <w:t>主要技术内容：</w:t>
            </w:r>
          </w:p>
          <w:p>
            <w:pPr>
              <w:pStyle w:val="7"/>
              <w:spacing w:line="360" w:lineRule="auto"/>
              <w:ind w:firstLine="420"/>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本标准主要参考了GB 31621-2014《食品安全国家标准 食品经营过程卫生规范》、SB/T 10857-2012 《餐饮配送服务规范》以及《安徽省学校食堂食品安全管理工作指南（试行）》等相关标准和文件，结合校园食材配送服务实际情况，同时采纳行业技术专家等意见，按照GB/T 1.1-2020 的要求，最终确定了标准的主要技术内容如下：</w:t>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（一）配送企业要求</w:t>
            </w:r>
            <w:r>
              <w:rPr>
                <w:rFonts w:hint="eastAsia" w:hAnsi="宋体"/>
                <w:color w:val="000000"/>
                <w:szCs w:val="21"/>
                <w:highlight w:val="none"/>
                <w:lang w:eastAsia="zh-CN"/>
              </w:rPr>
              <w:tab/>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1 基本要求；2 人员；3 环境及设备设施。</w:t>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（二）供应商要求</w:t>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1 供应商主体资质证明；2 供应商管理。</w:t>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（三）食材处理</w:t>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1 食材处理流程图；2 食材处理程序。</w:t>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（四）食材配送</w:t>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1 食材配送流程图；2 配送流程。</w:t>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（五）服务保障</w:t>
            </w:r>
            <w:r>
              <w:rPr>
                <w:rFonts w:hint="eastAsia" w:hAnsi="宋体"/>
                <w:color w:val="000000"/>
                <w:szCs w:val="21"/>
                <w:highlight w:val="none"/>
                <w:lang w:eastAsia="zh-CN"/>
              </w:rPr>
              <w:tab/>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1 投诉响应；2 评价与改进；3 追溯和召回。</w:t>
            </w:r>
          </w:p>
          <w:p>
            <w:pPr>
              <w:pStyle w:val="6"/>
              <w:adjustRightInd w:val="0"/>
              <w:spacing w:line="400" w:lineRule="atLeast"/>
              <w:ind w:firstLine="0" w:firstLineChars="0"/>
              <w:contextualSpacing/>
              <w:rPr>
                <w:rFonts w:hint="eastAsia" w:hAnsi="宋体"/>
                <w:color w:val="000000"/>
                <w:szCs w:val="21"/>
                <w:highlight w:val="none"/>
                <w:lang w:eastAsia="zh-CN"/>
              </w:rPr>
            </w:pPr>
            <w:r>
              <w:rPr>
                <w:rFonts w:hint="eastAsia" w:hAnsi="宋体"/>
                <w:color w:val="000000"/>
                <w:szCs w:val="21"/>
                <w:highlight w:val="none"/>
                <w:lang w:eastAsia="zh-CN"/>
              </w:rPr>
              <w:t xml:space="preserve">（六） 信息记录 </w:t>
            </w:r>
          </w:p>
          <w:p>
            <w:pPr>
              <w:pStyle w:val="6"/>
              <w:adjustRightInd w:val="0"/>
              <w:spacing w:line="400" w:lineRule="atLeast"/>
              <w:ind w:firstLine="0" w:firstLineChars="0"/>
              <w:contextualSpacing/>
              <w:rPr>
                <w:rFonts w:hAnsi="宋体"/>
                <w:b/>
                <w:szCs w:val="21"/>
              </w:rPr>
            </w:pPr>
            <w:r>
              <w:rPr>
                <w:rFonts w:hint="eastAsia" w:hAnsi="宋体"/>
                <w:b/>
                <w:szCs w:val="21"/>
              </w:rPr>
              <w:t>试验验证的论述：</w:t>
            </w:r>
          </w:p>
          <w:p>
            <w:pPr>
              <w:pStyle w:val="6"/>
              <w:adjustRightInd w:val="0"/>
              <w:spacing w:line="400" w:lineRule="atLeast"/>
              <w:ind w:firstLine="420" w:firstLineChars="200"/>
              <w:contextualSpacing/>
              <w:rPr>
                <w:rFonts w:hAnsi="宋体"/>
                <w:szCs w:val="21"/>
              </w:rPr>
            </w:pPr>
            <w:r>
              <w:rPr>
                <w:rFonts w:hint="eastAsia" w:hAnsi="宋体"/>
                <w:color w:val="auto"/>
                <w:szCs w:val="21"/>
                <w:highlight w:val="none"/>
              </w:rPr>
              <w:t>在研制过程中，标准起草工作组查阅大量资料，并通过实地调研，充分了解掌握我</w:t>
            </w:r>
            <w:r>
              <w:rPr>
                <w:rFonts w:hint="eastAsia" w:hAnsi="宋体"/>
                <w:color w:val="auto"/>
                <w:szCs w:val="21"/>
                <w:highlight w:val="none"/>
                <w:lang w:eastAsia="zh-CN"/>
              </w:rPr>
              <w:t>省校园食材配送服务</w:t>
            </w:r>
            <w:r>
              <w:rPr>
                <w:rFonts w:hint="eastAsia" w:hAnsi="宋体"/>
                <w:color w:val="auto"/>
                <w:szCs w:val="21"/>
                <w:highlight w:val="none"/>
                <w:lang w:val="en-US" w:eastAsia="zh-CN"/>
              </w:rPr>
              <w:t>管理</w:t>
            </w:r>
            <w:r>
              <w:rPr>
                <w:rFonts w:hint="eastAsia" w:hAnsi="宋体"/>
                <w:color w:val="auto"/>
                <w:szCs w:val="21"/>
                <w:highlight w:val="none"/>
              </w:rPr>
              <w:t>现状，兼顾效率和实施成本，对</w:t>
            </w:r>
            <w:r>
              <w:rPr>
                <w:rFonts w:hint="eastAsia" w:ascii="Times New Roman" w:eastAsia="宋体"/>
                <w:bCs/>
                <w:caps/>
                <w:color w:val="auto"/>
                <w:szCs w:val="21"/>
                <w:highlight w:val="none"/>
                <w:lang w:val="en-US" w:eastAsia="zh-CN"/>
              </w:rPr>
              <w:t>校园食材配送服务</w:t>
            </w:r>
            <w:r>
              <w:rPr>
                <w:rFonts w:hint="eastAsia" w:hAnsi="宋体"/>
                <w:color w:val="auto"/>
                <w:szCs w:val="21"/>
                <w:highlight w:val="none"/>
              </w:rPr>
              <w:t>进行统一要求，提高</w:t>
            </w:r>
            <w:r>
              <w:rPr>
                <w:rFonts w:hint="eastAsia" w:hAnsi="宋体"/>
                <w:color w:val="auto"/>
                <w:szCs w:val="21"/>
                <w:highlight w:val="none"/>
                <w:lang w:val="en-US" w:eastAsia="zh-CN"/>
              </w:rPr>
              <w:t>标准</w:t>
            </w:r>
            <w:r>
              <w:rPr>
                <w:rFonts w:hint="eastAsia" w:hAnsi="宋体"/>
                <w:color w:val="auto"/>
                <w:szCs w:val="21"/>
                <w:highlight w:val="none"/>
              </w:rPr>
              <w:t>的</w:t>
            </w:r>
            <w:r>
              <w:rPr>
                <w:rFonts w:hint="eastAsia" w:hAnsi="宋体"/>
                <w:color w:val="auto"/>
                <w:szCs w:val="21"/>
                <w:highlight w:val="none"/>
                <w:lang w:eastAsia="zh-CN"/>
              </w:rPr>
              <w:t>适用性</w:t>
            </w:r>
            <w:r>
              <w:rPr>
                <w:rFonts w:hint="eastAsia" w:hAnsi="宋体"/>
                <w:color w:val="auto"/>
                <w:szCs w:val="21"/>
                <w:highlight w:val="none"/>
              </w:rPr>
              <w:t>，为统一协调</w:t>
            </w:r>
            <w:r>
              <w:rPr>
                <w:rFonts w:hint="eastAsia" w:hAnsi="宋体"/>
                <w:color w:val="auto"/>
                <w:szCs w:val="21"/>
                <w:highlight w:val="none"/>
                <w:lang w:eastAsia="zh-CN"/>
              </w:rPr>
              <w:t>我省校园食材配送服务</w:t>
            </w:r>
            <w:r>
              <w:rPr>
                <w:rFonts w:hint="eastAsia" w:hAnsi="宋体"/>
                <w:color w:val="auto"/>
                <w:szCs w:val="21"/>
                <w:highlight w:val="none"/>
                <w:lang w:val="en-US" w:eastAsia="zh-CN"/>
              </w:rPr>
              <w:t>管理</w:t>
            </w:r>
            <w:r>
              <w:rPr>
                <w:rFonts w:hint="eastAsia" w:hAnsi="宋体"/>
                <w:color w:val="auto"/>
                <w:szCs w:val="21"/>
                <w:highlight w:val="none"/>
              </w:rPr>
              <w:t>提供标准支撑。另外，标准的发布实施将填补我</w:t>
            </w:r>
            <w:r>
              <w:rPr>
                <w:rFonts w:hint="eastAsia" w:hAnsi="宋体"/>
                <w:color w:val="auto"/>
                <w:szCs w:val="21"/>
                <w:highlight w:val="none"/>
                <w:lang w:eastAsia="zh-CN"/>
              </w:rPr>
              <w:t>省</w:t>
            </w:r>
            <w:r>
              <w:rPr>
                <w:rFonts w:hint="eastAsia" w:hAnsi="宋体"/>
                <w:color w:val="auto"/>
                <w:szCs w:val="21"/>
                <w:highlight w:val="none"/>
              </w:rPr>
              <w:t>在</w:t>
            </w:r>
            <w:r>
              <w:rPr>
                <w:rFonts w:hint="eastAsia" w:hAnsi="宋体"/>
                <w:color w:val="auto"/>
                <w:szCs w:val="21"/>
                <w:highlight w:val="none"/>
                <w:lang w:eastAsia="zh-CN"/>
              </w:rPr>
              <w:t>校园食材配送服务</w:t>
            </w:r>
            <w:r>
              <w:rPr>
                <w:rFonts w:hint="eastAsia" w:hAnsi="宋体"/>
                <w:color w:val="auto"/>
                <w:szCs w:val="21"/>
                <w:highlight w:val="none"/>
                <w:lang w:val="en-US" w:eastAsia="zh-CN"/>
              </w:rPr>
              <w:t>管理领域的</w:t>
            </w:r>
            <w:r>
              <w:rPr>
                <w:rFonts w:hint="eastAsia" w:hAnsi="宋体"/>
                <w:color w:val="auto"/>
                <w:szCs w:val="21"/>
                <w:highlight w:val="none"/>
              </w:rPr>
              <w:t>空白，具有良好的示范效应。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bookmarkStart w:id="0" w:name="_Toc464905613"/>
            <w:bookmarkStart w:id="1" w:name="_Toc464902852"/>
            <w:bookmarkStart w:id="2" w:name="_Toc464905557"/>
            <w:bookmarkStart w:id="3" w:name="_Toc464905809"/>
            <w:bookmarkStart w:id="4" w:name="_Toc465074266"/>
            <w:r>
              <w:rPr>
                <w:rFonts w:hint="eastAsia" w:hAnsi="宋体"/>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int="eastAsia" w:hAnsi="宋体" w:eastAsia="宋体"/>
                <w:szCs w:val="21"/>
                <w:lang w:eastAsia="zh-CN"/>
              </w:rPr>
            </w:pPr>
            <w:r>
              <w:rPr>
                <w:rFonts w:hint="eastAsia" w:hAnsi="宋体"/>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bookmarkStart w:id="5" w:name="_Toc464905810"/>
            <w:bookmarkStart w:id="6" w:name="_Toc464905614"/>
            <w:bookmarkStart w:id="7" w:name="_Toc464902853"/>
            <w:bookmarkStart w:id="8" w:name="_Toc465074267"/>
            <w:bookmarkStart w:id="9" w:name="_Toc464905558"/>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int="eastAsia" w:hAnsi="宋体" w:eastAsia="宋体"/>
                <w:szCs w:val="21"/>
                <w:lang w:eastAsia="zh-CN"/>
              </w:rPr>
            </w:pPr>
            <w:r>
              <w:rPr>
                <w:rFonts w:hint="eastAsia" w:hAnsi="宋体"/>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bookmarkStart w:id="10" w:name="_Toc464905559"/>
            <w:bookmarkStart w:id="11" w:name="_Toc465074268"/>
            <w:bookmarkStart w:id="12" w:name="_Toc464905811"/>
            <w:bookmarkStart w:id="13" w:name="_Toc464905615"/>
            <w:bookmarkStart w:id="14" w:name="_Toc464902854"/>
            <w:r>
              <w:rPr>
                <w:rFonts w:hint="eastAsia" w:hAnsi="宋体"/>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r>
              <w:rPr>
                <w:rFonts w:hint="eastAsia" w:ascii="Times New Roman"/>
                <w:color w:val="auto"/>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bookmarkStart w:id="15" w:name="_Toc464905560"/>
            <w:bookmarkStart w:id="16" w:name="_Toc464902855"/>
            <w:bookmarkStart w:id="17" w:name="_Toc464905812"/>
            <w:bookmarkStart w:id="18" w:name="_Toc465074269"/>
            <w:bookmarkStart w:id="19" w:name="_Toc464905616"/>
            <w:r>
              <w:rPr>
                <w:rFonts w:hint="eastAsia" w:hAnsi="宋体"/>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spacing w:line="360" w:lineRule="auto"/>
              <w:ind w:firstLine="420" w:firstLineChars="200"/>
              <w:jc w:val="left"/>
              <w:rPr>
                <w:rFonts w:hint="default" w:ascii="宋体" w:hAnsi="宋体" w:eastAsia="宋体" w:cs="Times New Roman"/>
                <w:color w:val="auto"/>
                <w:kern w:val="0"/>
                <w:sz w:val="21"/>
                <w:szCs w:val="21"/>
                <w:highlight w:val="none"/>
                <w:lang w:val="en-US" w:eastAsia="zh-CN" w:bidi="ar-SA"/>
              </w:rPr>
            </w:pPr>
            <w:r>
              <w:rPr>
                <w:rFonts w:hint="eastAsia" w:ascii="宋体" w:hAnsi="宋体" w:eastAsia="宋体" w:cs="Times New Roman"/>
                <w:color w:val="auto"/>
                <w:kern w:val="0"/>
                <w:sz w:val="21"/>
                <w:szCs w:val="21"/>
                <w:highlight w:val="none"/>
                <w:lang w:val="en-US" w:eastAsia="zh-CN" w:bidi="ar-SA"/>
              </w:rPr>
              <w:t>为使标准能切实发挥示范指导作用，</w:t>
            </w:r>
            <w:r>
              <w:rPr>
                <w:rFonts w:hint="default" w:ascii="宋体" w:hAnsi="宋体" w:eastAsia="宋体" w:cs="Times New Roman"/>
                <w:color w:val="auto"/>
                <w:kern w:val="0"/>
                <w:sz w:val="21"/>
                <w:szCs w:val="21"/>
                <w:highlight w:val="none"/>
                <w:lang w:val="en-US" w:eastAsia="zh-CN" w:bidi="ar-SA"/>
              </w:rPr>
              <w:t>保障标准实施效果</w:t>
            </w:r>
            <w:r>
              <w:rPr>
                <w:rFonts w:hint="eastAsia" w:ascii="宋体" w:hAnsi="宋体" w:eastAsia="宋体" w:cs="Times New Roman"/>
                <w:color w:val="auto"/>
                <w:kern w:val="0"/>
                <w:sz w:val="21"/>
                <w:szCs w:val="21"/>
                <w:highlight w:val="none"/>
                <w:lang w:val="en-US" w:eastAsia="zh-CN" w:bidi="ar-SA"/>
              </w:rPr>
              <w:t>，</w:t>
            </w:r>
            <w:r>
              <w:rPr>
                <w:rFonts w:hint="default" w:ascii="宋体" w:hAnsi="宋体" w:eastAsia="宋体" w:cs="Times New Roman"/>
                <w:color w:val="auto"/>
                <w:kern w:val="0"/>
                <w:sz w:val="21"/>
                <w:szCs w:val="21"/>
                <w:highlight w:val="none"/>
                <w:lang w:val="en-US" w:eastAsia="zh-CN" w:bidi="ar-SA"/>
              </w:rPr>
              <w:t>提高标准认知度，提升相关方应用标准的能力</w:t>
            </w:r>
            <w:r>
              <w:rPr>
                <w:rFonts w:hint="eastAsia" w:ascii="宋体" w:hAnsi="宋体" w:eastAsia="宋体" w:cs="Times New Roman"/>
                <w:color w:val="auto"/>
                <w:kern w:val="0"/>
                <w:sz w:val="21"/>
                <w:szCs w:val="21"/>
                <w:highlight w:val="none"/>
                <w:lang w:val="en-US" w:eastAsia="zh-CN" w:bidi="ar-SA"/>
              </w:rPr>
              <w:t>，主要措施如下：</w:t>
            </w:r>
          </w:p>
          <w:p>
            <w:pPr>
              <w:spacing w:line="360" w:lineRule="auto"/>
              <w:ind w:firstLine="420" w:firstLineChars="200"/>
              <w:jc w:val="left"/>
              <w:rPr>
                <w:rFonts w:hint="eastAsia" w:ascii="宋体" w:hAnsi="宋体" w:eastAsia="宋体" w:cs="Times New Roman"/>
                <w:color w:val="auto"/>
                <w:kern w:val="0"/>
                <w:sz w:val="21"/>
                <w:szCs w:val="21"/>
                <w:highlight w:val="none"/>
                <w:lang w:val="en-US" w:eastAsia="zh-CN" w:bidi="ar-SA"/>
              </w:rPr>
            </w:pPr>
            <w:r>
              <w:rPr>
                <w:rFonts w:hint="eastAsia" w:ascii="宋体" w:hAnsi="宋体" w:eastAsia="宋体" w:cs="Times New Roman"/>
                <w:color w:val="auto"/>
                <w:kern w:val="0"/>
                <w:sz w:val="21"/>
                <w:szCs w:val="21"/>
                <w:highlight w:val="none"/>
                <w:lang w:val="en-US" w:eastAsia="zh-CN" w:bidi="ar-SA"/>
              </w:rPr>
              <w:t>1.在学校每学期开学前召开食品安全知识警示会，对食堂监管人员及从业人员进行培训，并将此标准作为主要培训内容，同时进行案例讲解。</w:t>
            </w:r>
          </w:p>
          <w:p>
            <w:pPr>
              <w:spacing w:line="360" w:lineRule="auto"/>
              <w:ind w:firstLine="420" w:firstLineChars="200"/>
              <w:jc w:val="left"/>
              <w:rPr>
                <w:rFonts w:hint="eastAsia" w:ascii="宋体" w:hAnsi="宋体" w:eastAsia="宋体" w:cs="Times New Roman"/>
                <w:color w:val="auto"/>
                <w:kern w:val="0"/>
                <w:sz w:val="21"/>
                <w:szCs w:val="21"/>
                <w:highlight w:val="none"/>
                <w:lang w:val="en-US" w:eastAsia="zh-CN" w:bidi="ar-SA"/>
              </w:rPr>
            </w:pPr>
            <w:r>
              <w:rPr>
                <w:rFonts w:hint="eastAsia" w:ascii="宋体" w:hAnsi="宋体" w:eastAsia="宋体" w:cs="Times New Roman"/>
                <w:color w:val="auto"/>
                <w:kern w:val="0"/>
                <w:sz w:val="21"/>
                <w:szCs w:val="21"/>
                <w:highlight w:val="none"/>
                <w:lang w:val="en-US" w:eastAsia="zh-CN" w:bidi="ar-SA"/>
              </w:rPr>
              <w:t>2.将此标准上传至安徽省餐饮服务食品安全培训考核两库一平台，并将标准内容纳入培训考试题库。</w:t>
            </w:r>
          </w:p>
          <w:p>
            <w:pPr>
              <w:spacing w:line="360" w:lineRule="auto"/>
              <w:ind w:firstLine="420" w:firstLineChars="200"/>
              <w:jc w:val="left"/>
              <w:rPr>
                <w:rFonts w:hint="eastAsia" w:ascii="宋体" w:hAnsi="宋体" w:eastAsia="宋体" w:cs="Times New Roman"/>
                <w:color w:val="auto"/>
                <w:kern w:val="0"/>
                <w:sz w:val="21"/>
                <w:szCs w:val="21"/>
                <w:highlight w:val="none"/>
                <w:lang w:val="en-US" w:eastAsia="zh-CN" w:bidi="ar-SA"/>
              </w:rPr>
            </w:pPr>
            <w:r>
              <w:rPr>
                <w:rFonts w:hint="eastAsia" w:ascii="宋体" w:hAnsi="宋体" w:eastAsia="宋体" w:cs="Times New Roman"/>
                <w:color w:val="auto"/>
                <w:kern w:val="0"/>
                <w:sz w:val="21"/>
                <w:szCs w:val="21"/>
                <w:highlight w:val="none"/>
                <w:lang w:val="en-US" w:eastAsia="zh-CN" w:bidi="ar-SA"/>
              </w:rPr>
              <w:t>3.企业食品安全管理人员监督抽查考核指南，标准纳入考试内容。</w:t>
            </w:r>
          </w:p>
          <w:p>
            <w:pPr>
              <w:pStyle w:val="6"/>
              <w:adjustRightInd w:val="0"/>
              <w:spacing w:line="360" w:lineRule="auto"/>
              <w:ind w:firstLine="420" w:firstLineChars="200"/>
              <w:contextualSpacing/>
              <w:rPr>
                <w:rFonts w:hAnsi="宋体"/>
                <w:szCs w:val="21"/>
              </w:rPr>
            </w:pPr>
            <w:r>
              <w:rPr>
                <w:rFonts w:hint="eastAsia" w:ascii="宋体" w:hAnsi="宋体" w:eastAsia="宋体" w:cs="Times New Roman"/>
                <w:color w:val="auto"/>
                <w:kern w:val="0"/>
                <w:sz w:val="21"/>
                <w:szCs w:val="21"/>
                <w:highlight w:val="none"/>
                <w:lang w:val="en-US" w:eastAsia="zh-CN" w:bidi="ar-SA"/>
              </w:rPr>
              <w:t>4.将此标准的主要技术内容印成宣传册、宣传页，在“3·15”“食品质量月”等主要咨询活动中散发宣传。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bookmarkStart w:id="20" w:name="_Toc464905813"/>
            <w:bookmarkStart w:id="21" w:name="_Toc464905617"/>
            <w:bookmarkStart w:id="22" w:name="_Toc464905561"/>
            <w:bookmarkStart w:id="23" w:name="_Toc465074270"/>
            <w:bookmarkStart w:id="24" w:name="_Toc464902856"/>
            <w:r>
              <w:rPr>
                <w:rFonts w:hint="eastAsia" w:hAnsi="宋体"/>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int="eastAsia" w:hAnsi="宋体" w:eastAsia="宋体"/>
                <w:szCs w:val="21"/>
                <w:lang w:eastAsia="zh-CN"/>
              </w:rPr>
            </w:pPr>
            <w:r>
              <w:rPr>
                <w:rFonts w:hint="eastAsia" w:hAnsi="宋体"/>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bookmarkStart w:id="25" w:name="_Toc465074271"/>
            <w:bookmarkStart w:id="26" w:name="_Toc464905814"/>
            <w:bookmarkStart w:id="27" w:name="_Toc464902857"/>
            <w:bookmarkStart w:id="28" w:name="_Toc464905562"/>
            <w:bookmarkStart w:id="29" w:name="_Toc464905618"/>
            <w:r>
              <w:rPr>
                <w:rFonts w:hint="eastAsia" w:hAnsi="宋体"/>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6"/>
              <w:adjustRightInd w:val="0"/>
              <w:spacing w:line="360" w:lineRule="auto"/>
              <w:ind w:firstLine="0" w:firstLineChars="0"/>
              <w:contextualSpacing/>
              <w:rPr>
                <w:rFonts w:hAnsi="宋体"/>
                <w:szCs w:val="21"/>
              </w:rPr>
            </w:pPr>
            <w:r>
              <w:rPr>
                <w:rFonts w:hint="eastAsia"/>
                <w:lang w:val="en-US" w:eastAsia="zh-CN"/>
              </w:rPr>
              <w:t>无</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4ZmE2YTc4NjM1MDMzN2RhNjg3MTUyMWZmZWZjOGMifQ=="/>
  </w:docVars>
  <w:rsids>
    <w:rsidRoot w:val="72120C5A"/>
    <w:rsid w:val="029F13E0"/>
    <w:rsid w:val="0909601A"/>
    <w:rsid w:val="0A621FD8"/>
    <w:rsid w:val="3A724F84"/>
    <w:rsid w:val="46C420DB"/>
    <w:rsid w:val="4AE81E8A"/>
    <w:rsid w:val="4F9F204A"/>
    <w:rsid w:val="57092D17"/>
    <w:rsid w:val="5A1E1882"/>
    <w:rsid w:val="6057789C"/>
    <w:rsid w:val="61B90C2D"/>
    <w:rsid w:val="72120C5A"/>
    <w:rsid w:val="7C1F4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Indent"/>
    <w:basedOn w:val="1"/>
    <w:autoRedefine/>
    <w:qFormat/>
    <w:uiPriority w:val="6"/>
    <w:pPr>
      <w:spacing w:after="120"/>
      <w:ind w:left="420"/>
    </w:pPr>
    <w:rPr>
      <w:kern w:val="1"/>
    </w:rPr>
  </w:style>
  <w:style w:type="paragraph" w:styleId="3">
    <w:name w:val="Body Text First Indent 2"/>
    <w:basedOn w:val="2"/>
    <w:autoRedefine/>
    <w:qFormat/>
    <w:uiPriority w:val="0"/>
    <w:pPr>
      <w:spacing w:line="400" w:lineRule="exact"/>
      <w:ind w:left="480" w:firstLine="640" w:firstLineChars="200"/>
    </w:pPr>
  </w:style>
  <w:style w:type="paragraph" w:customStyle="1" w:styleId="6">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7">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
    <w:name w:val="正文表标题"/>
    <w:next w:val="6"/>
    <w:autoRedefine/>
    <w:qFormat/>
    <w:uiPriority w:val="0"/>
    <w:pPr>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4066</Words>
  <Characters>4423</Characters>
  <Lines>0</Lines>
  <Paragraphs>0</Paragraphs>
  <TotalTime>2</TotalTime>
  <ScaleCrop>false</ScaleCrop>
  <LinksUpToDate>false</LinksUpToDate>
  <CharactersWithSpaces>4438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2023-04-20T09:32:00Z</dcterms:created>
  <dc:creator>明之有道</dc:creator>
  <cp:lastModifiedBy>明之有道</cp:lastModifiedBy>
  <cp:lastPrinted>2023-05-08T02:26:00Z</cp:lastPrinted>
  <dcterms:modified xsi:type="dcterms:W3CDTF">2024-04-16T01:54:00Z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268FF30263FD4C5790B187B21E3F1A9D_11</vt:lpwstr>
  </property>
</Properties>
</file>