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hint="eastAsia" w:ascii="Times New Roman" w:hAnsi="Times New Roman" w:eastAsia="黑体" w:cs="Times New Roman"/>
                <w:sz w:val="21"/>
                <w:szCs w:val="21"/>
              </w:rPr>
              <w:t>11.</w:t>
            </w:r>
            <w:r>
              <w:rPr>
                <w:rFonts w:hint="eastAsia" w:ascii="Times New Roman" w:hAnsi="Times New Roman" w:eastAsia="黑体" w:cs="Times New Roman"/>
                <w:sz w:val="21"/>
                <w:szCs w:val="21"/>
                <w:lang w:val="en-US" w:eastAsia="zh-CN"/>
              </w:rPr>
              <w:t>020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hint="eastAsia" w:ascii="Times New Roman" w:hAnsi="Times New Roman" w:eastAsia="黑体" w:cs="Times New Roman"/>
                <w:sz w:val="21"/>
                <w:szCs w:val="21"/>
                <w:lang w:val="en-US" w:eastAsia="zh-CN"/>
              </w:rPr>
              <w:t>C 59</w:t>
            </w:r>
            <w:r>
              <w:rPr>
                <w:rFonts w:hint="eastAsia" w:ascii="Times New Roman" w:hAnsi="Times New Roman" w:eastAsia="黑体" w:cs="Times New Roman"/>
                <w:sz w:val="21"/>
                <w:szCs w:val="21"/>
              </w:rPr>
              <w:t xml:space="preserve"> </w:t>
            </w:r>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0" w:name="_Hlk26473981"/>
            <w:r>
              <w:drawing>
                <wp:inline distT="0" distB="0" distL="0" distR="0">
                  <wp:extent cx="796290" cy="397510"/>
                  <wp:effectExtent l="0" t="0" r="3810" b="2540"/>
                  <wp:docPr id="3"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true"/>
                          </pic:cNvPicPr>
                        </pic:nvPicPr>
                        <pic:blipFill>
                          <a:blip r:embed="rId17" cstate="print">
                            <a:extLst>
                              <a:ext uri="{28A0092B-C50C-407E-A947-70E740481C1C}">
                                <a14:useLocalDpi xmlns:a14="http://schemas.microsoft.com/office/drawing/2010/main" val="false"/>
                              </a:ext>
                            </a:extLst>
                          </a:blip>
                          <a:stretch>
                            <a:fillRect/>
                          </a:stretch>
                        </pic:blipFill>
                        <pic:spPr>
                          <a:xfrm>
                            <a:off x="0" y="0"/>
                            <a:ext cx="813958" cy="406373"/>
                          </a:xfrm>
                          <a:prstGeom prst="rect">
                            <a:avLst/>
                          </a:prstGeom>
                        </pic:spPr>
                      </pic:pic>
                    </a:graphicData>
                  </a:graphic>
                </wp:inline>
              </w:drawing>
            </w:r>
            <w:r>
              <w:rPr>
                <w:sz w:val="21"/>
                <w:szCs w:val="21"/>
              </w:rPr>
              <w:t xml:space="preserve"> </w:t>
            </w:r>
            <w:r>
              <w:rPr>
                <w:rFonts w:hint="eastAsia"/>
              </w:rPr>
              <w:t>34</w:t>
            </w:r>
          </w:p>
        </w:tc>
      </w:tr>
    </w:tbl>
    <w:p>
      <w:pPr>
        <w:pStyle w:val="50"/>
        <w:framePr w:w="9639" w:h="624" w:hRule="exact" w:hSpace="181" w:vSpace="181" w:hAnchor="page" w:x="1305" w:y="2269"/>
        <w:rPr>
          <w:rFonts w:ascii="黑体" w:hAnsi="黑体" w:eastAsia="黑体"/>
          <w:b w:val="0"/>
          <w:bCs w:val="0"/>
          <w:w w:val="100"/>
          <w:sz w:val="48"/>
          <w:szCs w:val="48"/>
        </w:rPr>
      </w:pPr>
      <w:r>
        <w:rPr>
          <w:rFonts w:hint="eastAsia" w:ascii="黑体" w:hAnsi="黑体" w:eastAsia="黑体"/>
          <w:b w:val="0"/>
          <w:bCs w:val="0"/>
          <w:w w:val="100"/>
          <w:sz w:val="48"/>
          <w:szCs w:val="48"/>
        </w:rPr>
        <w:t>安徽省地方标准</w:t>
      </w:r>
    </w:p>
    <w:bookmarkEnd w:id="0"/>
    <w:p>
      <w:pPr>
        <w:pStyle w:val="195"/>
      </w:pPr>
      <w:r>
        <w:rPr>
          <w:lang w:val="fr-FR"/>
        </w:rPr>
        <w:t>DB</w:t>
      </w:r>
      <w:r>
        <w:rPr>
          <w:sz w:val="15"/>
          <w:szCs w:val="15"/>
          <w:lang w:val="fr-FR"/>
        </w:rPr>
        <w:t xml:space="preserve"> </w:t>
      </w:r>
      <w:bookmarkStart w:id="1" w:name="文字1"/>
      <w:r>
        <w:rPr>
          <w:lang w:val="fr-FR"/>
        </w:rPr>
        <w:fldChar w:fldCharType="begin">
          <w:ffData>
            <w:name w:val="文字1"/>
            <w:enabled/>
            <w:calcOnExit w:val="0"/>
            <w:textInput>
              <w:default w:val="34/T"/>
            </w:textInput>
          </w:ffData>
        </w:fldChar>
      </w:r>
      <w:r>
        <w:rPr>
          <w:lang w:val="fr-FR"/>
        </w:rPr>
        <w:instrText xml:space="preserve">FORMTEXT</w:instrText>
      </w:r>
      <w:r>
        <w:rPr>
          <w:lang w:val="fr-FR"/>
        </w:rPr>
        <w:fldChar w:fldCharType="separate"/>
      </w:r>
      <w:r>
        <w:rPr>
          <w:lang w:val="fr-FR"/>
        </w:rPr>
        <w:t>34/T</w:t>
      </w:r>
      <w:r>
        <w:rPr>
          <w:lang w:val="fr-FR"/>
        </w:rPr>
        <w:fldChar w:fldCharType="end"/>
      </w:r>
      <w:bookmarkEnd w:id="1"/>
      <w:r>
        <w:rPr>
          <w:lang w:val="fr-FR"/>
        </w:rPr>
        <w:t xml:space="preserve"> </w:t>
      </w:r>
      <w:r>
        <w:fldChar w:fldCharType="begin">
          <w:ffData>
            <w:name w:val="NSTD_CODE_F"/>
            <w:enabled/>
            <w:calcOnExit w:val="0"/>
            <w:textInput>
              <w:default w:val="XXXX"/>
            </w:textInput>
          </w:ffData>
        </w:fldChar>
      </w:r>
      <w:bookmarkStart w:id="2" w:name="NSTD_CODE_F"/>
      <w:r>
        <w:rPr>
          <w:lang w:val="fr-FR"/>
        </w:rPr>
        <w:instrText xml:space="preserve"> FORMTEXT </w:instrText>
      </w:r>
      <w:r>
        <w:fldChar w:fldCharType="separate"/>
      </w:r>
      <w:r>
        <w:rPr>
          <w:lang w:val="fr-FR"/>
        </w:rPr>
        <w:t>XXXX</w:t>
      </w:r>
      <w:r>
        <w:fldChar w:fldCharType="end"/>
      </w:r>
      <w:bookmarkEnd w:id="2"/>
      <w:r>
        <w:rPr>
          <w:rFonts w:hAnsi="黑体"/>
          <w:lang w:val="fr-FR"/>
        </w:rPr>
        <w:t>—</w:t>
      </w:r>
      <w:r>
        <w:rPr>
          <w:rFonts w:hint="eastAsia"/>
        </w:rPr>
        <w:t>2024</w:t>
      </w:r>
    </w:p>
    <w:p>
      <w:pPr>
        <w:pStyle w:val="196"/>
        <w:rPr>
          <w:rFonts w:hAnsi="黑体"/>
        </w:rPr>
      </w:pPr>
      <w:r>
        <w:rPr>
          <w:rFonts w:hAnsi="黑体"/>
        </w:rPr>
        <w:fldChar w:fldCharType="begin">
          <w:ffData>
            <w:name w:val="OSTD_CODE"/>
            <w:enabled/>
            <w:calcOnExit w:val="0"/>
            <w:textInput/>
          </w:ffData>
        </w:fldChar>
      </w:r>
      <w:bookmarkStart w:id="3"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3"/>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Ang0mW2AAAAAwB&#10;AAAPAAAAAAAAAAEAIAAAADgAAABkcnMvZG93bnJldi54bWxQSwECFAAUAAAACACHTuJASfTgWswB&#10;AABhAwAADgAAAAAAAAABACAAAAA9AQAAZHJzL2Uyb0RvYy54bWxQSwUGAAAAAAYABgBZAQAAewUA&#10;AAAA&#10;">
                <v:fill on="f" focussize="0,0"/>
                <v:stroke color="#000000" joinstyle="round"/>
                <v:imagedata o:title=""/>
                <o:lock v:ext="edit" aspectratio="f"/>
              </v:line>
            </w:pict>
          </mc:Fallback>
        </mc:AlternateContent>
      </w:r>
    </w:p>
    <w:p>
      <w:pPr>
        <w:pStyle w:val="50"/>
        <w:framePr w:w="9639" w:h="6976" w:hRule="exact" w:hSpace="0" w:vSpace="0"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4" w:name="CSTD_NAME"/>
      <w:r>
        <w:instrText xml:space="preserve"> FORMTEXT </w:instrText>
      </w:r>
      <w:r>
        <w:fldChar w:fldCharType="separate"/>
      </w:r>
      <w:r>
        <w:rPr>
          <w:rFonts w:hint="eastAsia" w:ascii="黑体" w:hAnsi="黑体" w:eastAsia="黑体" w:cs="Times New Roman"/>
          <w:bCs/>
          <w:kern w:val="0"/>
          <w:sz w:val="52"/>
          <w:szCs w:val="20"/>
          <w:lang w:val="en-US" w:eastAsia="zh-CN" w:bidi="ar-SA"/>
        </w:rPr>
        <w:t>单采血浆集中化检测实验室建设规范</w:t>
      </w:r>
      <w:r>
        <w:fldChar w:fldCharType="end"/>
      </w:r>
      <w:bookmarkEnd w:id="4"/>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5"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Times New Roman" w:eastAsia="黑体" w:cs="Times New Roman"/>
          <w:kern w:val="0"/>
          <w:sz w:val="28"/>
          <w:szCs w:val="28"/>
          <w:lang w:val="en-US" w:eastAsia="zh-CN"/>
        </w:rPr>
        <w:t>Construction specifications for centralized testing laboratories for single plasma collection</w:t>
      </w:r>
      <w:r>
        <w:rPr>
          <w:rFonts w:ascii="黑体" w:hAnsi="黑体" w:eastAsia="黑体"/>
          <w:szCs w:val="28"/>
        </w:rPr>
        <w:fldChar w:fldCharType="end"/>
      </w:r>
      <w:bookmarkEnd w:id="5"/>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bookmarkStart w:id="6" w:name="下拉1"/>
      <w:r>
        <w:rPr>
          <w:rFonts w:hint="eastAsia" w:cs="Times New Roman"/>
          <w:sz w:val="24"/>
          <w:szCs w:val="28"/>
          <w:lang w:val="en-US" w:eastAsia="zh-CN" w:bidi="ar-SA"/>
        </w:rPr>
        <w:t>（征求意见稿）</w:t>
      </w:r>
      <w:bookmarkEnd w:id="6"/>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7"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7"/>
    </w:p>
    <w:p>
      <w:pPr>
        <w:pStyle w:val="125"/>
        <w:framePr w:w="9639" w:h="6974" w:hRule="exact" w:wrap="around" w:vAnchor="page" w:hAnchor="page" w:x="1419" w:y="6408" w:anchorLock="1"/>
        <w:spacing w:before="720" w:beforeLines="300" w:after="72" w:afterLines="30" w:line="240" w:lineRule="auto"/>
        <w:textAlignment w:val="bottom"/>
        <w:rPr>
          <w:b/>
          <w:sz w:val="21"/>
          <w:szCs w:val="28"/>
        </w:rPr>
      </w:pPr>
    </w:p>
    <w:p>
      <w:pPr>
        <w:pStyle w:val="193"/>
        <w:framePr w:y="14176"/>
      </w:pPr>
      <w:r>
        <w:rPr>
          <w:rFonts w:ascii="黑体"/>
        </w:rPr>
        <w:fldChar w:fldCharType="begin">
          <w:ffData>
            <w:name w:val="PLSH_DATE_Y"/>
            <w:enabled/>
            <w:calcOnExit w:val="0"/>
            <w:textInput>
              <w:default w:val="XXXX"/>
              <w:maxLength w:val="4"/>
            </w:textInput>
          </w:ffData>
        </w:fldChar>
      </w:r>
      <w:bookmarkStart w:id="8" w:name="PLSH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8"/>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9"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0"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rPr>
          <w:rFonts w:hint="eastAsia"/>
        </w:rPr>
        <w:t>发布</w:t>
      </w:r>
    </w:p>
    <w:p>
      <w:pPr>
        <w:pStyle w:val="194"/>
        <w:framePr w:y="14176"/>
      </w:pPr>
      <w:bookmarkStart w:id="11" w:name="CROT_DATE_Y"/>
      <w:r>
        <w:rPr>
          <w:rFonts w:ascii="黑体"/>
        </w:rPr>
        <w:fldChar w:fldCharType="begin">
          <w:ffData>
            <w:name w:val="CROT_DATE_Y"/>
            <w:enabled/>
            <w:calcOnExit w:val="0"/>
            <w:textInput>
              <w:default w:val="2024"/>
              <w:maxLength w:val="4"/>
            </w:textInput>
          </w:ffData>
        </w:fldChar>
      </w:r>
      <w:r>
        <w:rPr>
          <w:rFonts w:ascii="黑体"/>
        </w:rPr>
        <w:instrText xml:space="preserve">FORMTEXT</w:instrText>
      </w:r>
      <w:r>
        <w:rPr>
          <w:rFonts w:ascii="黑体"/>
        </w:rPr>
        <w:fldChar w:fldCharType="separate"/>
      </w:r>
      <w:r>
        <w:rPr>
          <w:rFonts w:ascii="黑体"/>
        </w:rPr>
        <w:t>2024</w:t>
      </w:r>
      <w:r>
        <w:rPr>
          <w:rFonts w:ascii="黑体"/>
        </w:rPr>
        <w:fldChar w:fldCharType="end"/>
      </w:r>
      <w:bookmarkEnd w:id="11"/>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2"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3"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实施</w:t>
      </w:r>
    </w:p>
    <w:p>
      <w:pPr>
        <w:pStyle w:val="151"/>
        <w:framePr w:h="584" w:hRule="exact" w:hSpace="181" w:vSpace="181" w:y="15027"/>
        <w:rPr>
          <w:rFonts w:hAnsi="黑体"/>
        </w:rPr>
      </w:pPr>
      <w:r>
        <w:rPr>
          <w:rFonts w:hAnsi="黑体"/>
          <w:w w:val="100"/>
          <w:sz w:val="28"/>
        </w:rPr>
        <w:fldChar w:fldCharType="begin">
          <w:ffData>
            <w:name w:val="fm"/>
            <w:enabled/>
            <w:calcOnExit w:val="0"/>
            <w:textInput/>
          </w:ffData>
        </w:fldChar>
      </w:r>
      <w:bookmarkStart w:id="14"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w:t>
      </w:r>
      <w:r>
        <w:rPr>
          <w:rFonts w:hAnsi="黑体"/>
          <w:w w:val="100"/>
          <w:sz w:val="28"/>
        </w:rPr>
        <w:t>市场监督管理局</w:t>
      </w:r>
      <w:r>
        <w:rPr>
          <w:rFonts w:hAnsi="黑体"/>
          <w:w w:val="100"/>
          <w:sz w:val="28"/>
        </w:rPr>
        <w:fldChar w:fldCharType="end"/>
      </w:r>
      <w:bookmarkEnd w:id="14"/>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6" w:type="first"/>
          <w:footerReference r:id="rId7" w:type="first"/>
          <w:headerReference r:id="rId5" w:type="default"/>
          <w:type w:val="continuous"/>
          <w:pgSz w:w="11906" w:h="16838"/>
          <w:pgMar w:top="-338" w:right="1134" w:bottom="1021" w:left="1134" w:header="0" w:footer="0" w:gutter="284"/>
          <w:pgNumType w:fmt="decimal"/>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2336"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2336;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rMxz71wAAAA4BAAAP&#10;AAAAAAAAAAEAIAAAADgAAABkcnMvZG93bnJldi54bWxQSwECFAAUAAAACACHTuJAEc9x0soBAABf&#10;AwAADgAAAAAAAAABACAAAAA8AQAAZHJzL2Uyb0RvYy54bWxQSwUGAAAAAAYABgBZAQAAeAUAAAAA&#10;">
                <v:fill on="f" focussize="0,0"/>
                <v:stroke color="#000000" joinstyle="round"/>
                <v:imagedata o:title=""/>
                <o:lock v:ext="edit" aspectratio="f"/>
                <w10:anchorlock/>
              </v:line>
            </w:pict>
          </mc:Fallback>
        </mc:AlternateContent>
      </w:r>
    </w:p>
    <w:p>
      <w:pPr>
        <w:pStyle w:val="89"/>
        <w:spacing w:before="900" w:after="468"/>
      </w:pPr>
      <w:bookmarkStart w:id="15" w:name="_Toc149731788"/>
      <w:bookmarkStart w:id="16" w:name="_Toc28214"/>
      <w:bookmarkStart w:id="17" w:name="_Toc5086"/>
      <w:bookmarkStart w:id="18" w:name="BookMark2"/>
      <w:r>
        <w:rPr>
          <w:spacing w:val="320"/>
        </w:rPr>
        <w:t>前</w:t>
      </w:r>
      <w:r>
        <w:t>言</w:t>
      </w:r>
      <w:bookmarkEnd w:id="15"/>
      <w:bookmarkEnd w:id="16"/>
      <w:bookmarkEnd w:id="17"/>
    </w:p>
    <w:p>
      <w:pPr>
        <w:pStyle w:val="56"/>
        <w:ind w:firstLine="420"/>
        <w:rPr>
          <w:rFonts w:hint="eastAsia" w:ascii="宋体" w:hAnsi="Times New Roman" w:eastAsia="宋体" w:cs="Times New Roman"/>
        </w:rPr>
      </w:pPr>
      <w:r>
        <w:rPr>
          <w:rFonts w:hint="eastAsia" w:ascii="宋体" w:hAnsi="Times New Roman" w:eastAsia="宋体" w:cs="Times New Roman"/>
        </w:rPr>
        <w:t>本文件按照GB/T 1.1-2020《标准化工作导则 第1部分：标准化文件的结构和起草规则》的规定起草。</w:t>
      </w:r>
    </w:p>
    <w:p>
      <w:pPr>
        <w:pStyle w:val="56"/>
        <w:ind w:firstLine="420"/>
        <w:rPr>
          <w:rFonts w:hint="eastAsia" w:ascii="宋体" w:hAnsi="Times New Roman" w:eastAsia="宋体" w:cs="Times New Roman"/>
        </w:rPr>
      </w:pPr>
      <w:r>
        <w:rPr>
          <w:rFonts w:hint="eastAsia" w:ascii="宋体" w:hAnsi="Times New Roman" w:eastAsia="宋体" w:cs="Times New Roman"/>
        </w:rPr>
        <w:t>请注意本文件的某些内容可能涉及专利。本文件的发布机构不承担识别专利的责任。</w:t>
      </w:r>
    </w:p>
    <w:p>
      <w:pPr>
        <w:pStyle w:val="56"/>
        <w:ind w:firstLine="420"/>
        <w:rPr>
          <w:rFonts w:hint="eastAsia" w:ascii="宋体" w:hAnsi="Times New Roman" w:eastAsia="宋体" w:cs="Times New Roman"/>
          <w:lang w:eastAsia="zh-CN"/>
        </w:rPr>
      </w:pPr>
      <w:r>
        <w:rPr>
          <w:rFonts w:hint="eastAsia" w:ascii="宋体" w:hAnsi="Times New Roman" w:eastAsia="宋体" w:cs="Times New Roman"/>
        </w:rPr>
        <w:t>本文件由安徽省</w:t>
      </w:r>
      <w:r>
        <w:rPr>
          <w:rFonts w:hint="eastAsia" w:ascii="宋体" w:hAnsi="Times New Roman" w:eastAsia="宋体" w:cs="Times New Roman"/>
          <w:lang w:eastAsia="zh-CN"/>
        </w:rPr>
        <w:t>血液管理中心提出。</w:t>
      </w:r>
    </w:p>
    <w:p>
      <w:pPr>
        <w:pStyle w:val="56"/>
        <w:ind w:firstLine="420"/>
        <w:rPr>
          <w:rFonts w:hint="eastAsia" w:ascii="宋体" w:hAnsi="Times New Roman" w:eastAsia="宋体" w:cs="Times New Roman"/>
        </w:rPr>
      </w:pPr>
      <w:r>
        <w:rPr>
          <w:rFonts w:hint="eastAsia" w:ascii="宋体" w:hAnsi="Times New Roman" w:eastAsia="宋体" w:cs="Times New Roman"/>
        </w:rPr>
        <w:t>本文件由</w:t>
      </w:r>
      <w:r>
        <w:rPr>
          <w:rFonts w:hint="eastAsia" w:ascii="宋体" w:hAnsi="Times New Roman" w:eastAsia="宋体" w:cs="Times New Roman"/>
          <w:lang w:eastAsia="zh-CN"/>
        </w:rPr>
        <w:t>安徽省</w:t>
      </w:r>
      <w:r>
        <w:rPr>
          <w:rFonts w:hint="eastAsia" w:ascii="宋体" w:hAnsi="Times New Roman" w:eastAsia="宋体" w:cs="Times New Roman"/>
        </w:rPr>
        <w:t>卫生健康委员会归口。</w:t>
      </w:r>
    </w:p>
    <w:p>
      <w:pPr>
        <w:pStyle w:val="56"/>
        <w:ind w:firstLine="420"/>
        <w:rPr>
          <w:rFonts w:hint="eastAsia" w:ascii="宋体" w:hAnsi="Times New Roman" w:eastAsia="宋体" w:cs="Times New Roman"/>
        </w:rPr>
      </w:pPr>
      <w:r>
        <w:rPr>
          <w:rFonts w:hint="eastAsia" w:ascii="宋体" w:hAnsi="Times New Roman" w:eastAsia="宋体" w:cs="Times New Roman"/>
        </w:rPr>
        <w:t>本文件起草单位：安徽省血液管理中心、安徽省血液中心（合肥市中心血站）、蚌埠市中心血站、安徽省输血协会、同路生物制药有限公司。</w:t>
      </w:r>
    </w:p>
    <w:p>
      <w:pPr>
        <w:pStyle w:val="56"/>
        <w:ind w:firstLine="420"/>
        <w:rPr>
          <w:rFonts w:hint="eastAsia" w:ascii="宋体" w:hAnsi="Times New Roman" w:eastAsia="宋体" w:cs="Times New Roman"/>
        </w:rPr>
      </w:pPr>
      <w:r>
        <w:rPr>
          <w:rFonts w:hint="eastAsia" w:ascii="宋体" w:hAnsi="Times New Roman" w:eastAsia="宋体" w:cs="Times New Roman"/>
        </w:rPr>
        <w:t>本文件主要起草人： 范文安、李瑞、郭晓婕、余加宏、潘健、段书炼、刘丽、张雅萍、吴君胜、吴义春。</w:t>
      </w:r>
    </w:p>
    <w:p>
      <w:pPr>
        <w:pStyle w:val="56"/>
        <w:ind w:firstLine="420"/>
      </w:pPr>
    </w:p>
    <w:p>
      <w:pPr>
        <w:pStyle w:val="56"/>
        <w:ind w:firstLine="420"/>
        <w:sectPr>
          <w:headerReference r:id="rId8" w:type="default"/>
          <w:footerReference r:id="rId10" w:type="default"/>
          <w:headerReference r:id="rId9" w:type="even"/>
          <w:footerReference r:id="rId11" w:type="even"/>
          <w:pgSz w:w="11906" w:h="16838"/>
          <w:pgMar w:top="1928" w:right="1134" w:bottom="1134" w:left="1134" w:header="1418" w:footer="1134" w:gutter="284"/>
          <w:pgNumType w:fmt="decimal" w:start="1"/>
          <w:cols w:space="425" w:num="1"/>
          <w:formProt w:val="0"/>
          <w:docGrid w:type="lines" w:linePitch="312" w:charSpace="0"/>
        </w:sectPr>
      </w:pPr>
    </w:p>
    <w:bookmarkEnd w:id="18"/>
    <w:p>
      <w:pPr>
        <w:spacing w:line="20" w:lineRule="exact"/>
        <w:jc w:val="center"/>
        <w:rPr>
          <w:rFonts w:ascii="黑体" w:hAnsi="黑体" w:eastAsia="黑体"/>
          <w:sz w:val="32"/>
          <w:szCs w:val="32"/>
        </w:rPr>
      </w:pPr>
      <w:bookmarkStart w:id="19" w:name="BookMark4"/>
    </w:p>
    <w:p>
      <w:pPr>
        <w:spacing w:line="20" w:lineRule="exact"/>
        <w:jc w:val="center"/>
        <w:rPr>
          <w:rFonts w:ascii="黑体" w:hAnsi="黑体" w:eastAsia="黑体"/>
          <w:sz w:val="32"/>
          <w:szCs w:val="32"/>
        </w:rPr>
      </w:pPr>
    </w:p>
    <w:sdt>
      <w:sdtPr>
        <w:rPr>
          <w:rFonts w:hint="eastAsia" w:cs="Times New Roman"/>
        </w:rPr>
        <w:tag w:val="NEW_STAND_NAME"/>
        <w:id w:val="595910757"/>
        <w:lock w:val="sdtLocked"/>
        <w:placeholder>
          <w:docPart w:val="24315E125E244DC7A90BFD99E575EBB8"/>
        </w:placeholder>
      </w:sdtPr>
      <w:sdtEndPr>
        <w:rPr>
          <w:rFonts w:hint="eastAsia" w:cs="Times New Roman"/>
        </w:rPr>
      </w:sdtEndPr>
      <w:sdtContent>
        <w:p>
          <w:pPr>
            <w:pStyle w:val="177"/>
            <w:spacing w:before="312" w:beforeLines="100" w:after="686" w:afterLines="220"/>
          </w:pPr>
          <w:bookmarkStart w:id="20" w:name="NEW_STAND_NAME"/>
          <w:r>
            <w:rPr>
              <w:rFonts w:hint="eastAsia" w:cs="Times New Roman"/>
            </w:rPr>
            <w:t>单采血浆集中化检测实验室建设规范</w:t>
          </w:r>
        </w:p>
      </w:sdtContent>
    </w:sdt>
    <w:bookmarkEnd w:id="20"/>
    <w:p>
      <w:pPr>
        <w:pStyle w:val="104"/>
        <w:spacing w:before="312" w:after="312"/>
      </w:pPr>
      <w:bookmarkStart w:id="21" w:name="_Toc26986771"/>
      <w:bookmarkStart w:id="22" w:name="_Toc2846"/>
      <w:bookmarkStart w:id="23" w:name="_Toc17233333"/>
      <w:bookmarkStart w:id="24" w:name="_Toc26718930"/>
      <w:bookmarkStart w:id="25" w:name="_Toc30086"/>
      <w:bookmarkStart w:id="26" w:name="_Toc26648465"/>
      <w:bookmarkStart w:id="27" w:name="_Toc17233325"/>
      <w:bookmarkStart w:id="28" w:name="_Toc26986530"/>
      <w:bookmarkStart w:id="29" w:name="_Toc149731789"/>
      <w:bookmarkStart w:id="30" w:name="_Toc24884218"/>
      <w:bookmarkStart w:id="31" w:name="_Toc24884211"/>
      <w:bookmarkStart w:id="32" w:name="_Toc97191423"/>
      <w:r>
        <w:rPr>
          <w:rFonts w:hint="eastAsia"/>
        </w:rPr>
        <w:t>范围</w:t>
      </w:r>
      <w:bookmarkEnd w:id="21"/>
      <w:bookmarkEnd w:id="22"/>
      <w:bookmarkEnd w:id="23"/>
      <w:bookmarkEnd w:id="24"/>
      <w:bookmarkEnd w:id="25"/>
      <w:bookmarkEnd w:id="26"/>
      <w:bookmarkEnd w:id="27"/>
      <w:bookmarkEnd w:id="28"/>
      <w:bookmarkEnd w:id="29"/>
      <w:bookmarkEnd w:id="30"/>
      <w:bookmarkEnd w:id="31"/>
      <w:bookmarkEnd w:id="32"/>
    </w:p>
    <w:p>
      <w:pPr>
        <w:pStyle w:val="56"/>
        <w:ind w:firstLine="420"/>
        <w:rPr>
          <w:rFonts w:hint="eastAsia" w:ascii="宋体" w:hAnsi="Times New Roman" w:eastAsia="宋体" w:cs="Times New Roman"/>
          <w:color w:val="auto"/>
          <w:kern w:val="0"/>
          <w:sz w:val="21"/>
          <w:szCs w:val="21"/>
          <w:u w:val="none"/>
        </w:rPr>
      </w:pPr>
      <w:bookmarkStart w:id="33" w:name="_Toc17233334"/>
      <w:bookmarkStart w:id="34" w:name="_Toc17233326"/>
      <w:bookmarkStart w:id="35" w:name="_Toc24884212"/>
      <w:bookmarkStart w:id="36" w:name="_Toc26648466"/>
      <w:bookmarkStart w:id="37" w:name="_Toc24884219"/>
      <w:r>
        <w:rPr>
          <w:rFonts w:hint="eastAsia" w:ascii="宋体" w:hAnsi="Times New Roman" w:eastAsia="宋体" w:cs="Times New Roman"/>
          <w:kern w:val="0"/>
          <w:sz w:val="21"/>
          <w:szCs w:val="21"/>
          <w:highlight w:val="none"/>
        </w:rPr>
        <w:t>本文</w:t>
      </w:r>
      <w:r>
        <w:rPr>
          <w:rFonts w:hint="eastAsia" w:ascii="宋体" w:hAnsi="Times New Roman" w:eastAsia="宋体" w:cs="Times New Roman"/>
          <w:kern w:val="0"/>
          <w:sz w:val="21"/>
          <w:szCs w:val="21"/>
        </w:rPr>
        <w:t>件</w:t>
      </w:r>
      <w:r>
        <w:rPr>
          <w:rFonts w:hint="eastAsia" w:ascii="宋体" w:hAnsi="Times New Roman" w:eastAsia="宋体" w:cs="Times New Roman"/>
          <w:kern w:val="0"/>
          <w:sz w:val="21"/>
          <w:szCs w:val="21"/>
          <w:lang w:val="en" w:eastAsia="zh-CN"/>
        </w:rPr>
        <w:t>规定了</w:t>
      </w:r>
      <w:r>
        <w:rPr>
          <w:rFonts w:hint="eastAsia" w:ascii="宋体" w:hAnsi="Times New Roman" w:eastAsia="宋体" w:cs="Times New Roman"/>
          <w:kern w:val="0"/>
          <w:sz w:val="21"/>
          <w:szCs w:val="21"/>
        </w:rPr>
        <w:t>单采血</w:t>
      </w:r>
      <w:r>
        <w:rPr>
          <w:rFonts w:hint="eastAsia" w:ascii="宋体" w:hAnsi="Times New Roman" w:eastAsia="宋体" w:cs="Times New Roman"/>
          <w:color w:val="auto"/>
          <w:kern w:val="0"/>
          <w:sz w:val="21"/>
          <w:szCs w:val="21"/>
          <w:u w:val="none"/>
        </w:rPr>
        <w:t>浆集中化检测实验室建设的基本要求、组织与人员、设备</w:t>
      </w:r>
      <w:r>
        <w:rPr>
          <w:rFonts w:hint="eastAsia" w:ascii="宋体" w:hAnsi="Times New Roman" w:eastAsia="宋体" w:cs="Times New Roman"/>
          <w:color w:val="auto"/>
          <w:kern w:val="0"/>
          <w:sz w:val="21"/>
          <w:szCs w:val="21"/>
          <w:u w:val="none"/>
          <w:lang w:eastAsia="zh-CN"/>
        </w:rPr>
        <w:t>与设施、试剂与耗材</w:t>
      </w:r>
      <w:r>
        <w:rPr>
          <w:rFonts w:hint="eastAsia" w:ascii="宋体" w:hAnsi="Times New Roman" w:eastAsia="宋体" w:cs="Times New Roman"/>
          <w:color w:val="auto"/>
          <w:kern w:val="0"/>
          <w:sz w:val="21"/>
          <w:szCs w:val="21"/>
          <w:u w:val="none"/>
        </w:rPr>
        <w:t>、标本</w:t>
      </w:r>
      <w:r>
        <w:rPr>
          <w:rFonts w:hint="eastAsia" w:ascii="宋体" w:hAnsi="Times New Roman" w:eastAsia="宋体" w:cs="Times New Roman"/>
          <w:color w:val="auto"/>
          <w:kern w:val="0"/>
          <w:sz w:val="21"/>
          <w:szCs w:val="21"/>
          <w:u w:val="none"/>
          <w:lang w:eastAsia="zh-CN"/>
        </w:rPr>
        <w:t>要求</w:t>
      </w:r>
      <w:r>
        <w:rPr>
          <w:rFonts w:hint="eastAsia" w:ascii="宋体" w:hAnsi="Times New Roman" w:eastAsia="宋体" w:cs="Times New Roman"/>
          <w:color w:val="auto"/>
          <w:kern w:val="0"/>
          <w:sz w:val="21"/>
          <w:szCs w:val="21"/>
          <w:u w:val="none"/>
        </w:rPr>
        <w:t>、检测项目和方法、</w:t>
      </w:r>
      <w:r>
        <w:rPr>
          <w:rFonts w:hint="eastAsia" w:ascii="宋体" w:hAnsi="Times New Roman" w:eastAsia="宋体" w:cs="Times New Roman"/>
          <w:color w:val="auto"/>
          <w:kern w:val="0"/>
          <w:sz w:val="21"/>
          <w:szCs w:val="21"/>
          <w:u w:val="none"/>
          <w:lang w:eastAsia="zh-CN"/>
        </w:rPr>
        <w:t>信息化和档案管理要求、安全卫生和应急要求、质量管理要求</w:t>
      </w:r>
      <w:r>
        <w:rPr>
          <w:rFonts w:hint="eastAsia" w:ascii="宋体" w:hAnsi="Times New Roman" w:eastAsia="宋体" w:cs="Times New Roman"/>
          <w:color w:val="auto"/>
          <w:kern w:val="0"/>
          <w:sz w:val="21"/>
          <w:szCs w:val="21"/>
          <w:u w:val="none"/>
        </w:rPr>
        <w:t>等内容。</w:t>
      </w:r>
    </w:p>
    <w:p>
      <w:pPr>
        <w:pStyle w:val="56"/>
        <w:ind w:firstLine="420"/>
      </w:pPr>
      <w:r>
        <w:rPr>
          <w:rFonts w:hint="eastAsia" w:ascii="宋体" w:hAnsi="Times New Roman" w:eastAsia="宋体" w:cs="Times New Roman"/>
          <w:color w:val="auto"/>
          <w:kern w:val="0"/>
          <w:sz w:val="21"/>
          <w:szCs w:val="21"/>
          <w:u w:val="none"/>
        </w:rPr>
        <w:t>本文件适用于单采血浆集中化检测实验室</w:t>
      </w:r>
      <w:r>
        <w:rPr>
          <w:rFonts w:hint="eastAsia" w:ascii="宋体" w:hAnsi="Times New Roman" w:eastAsia="宋体" w:cs="Times New Roman"/>
          <w:color w:val="auto"/>
          <w:kern w:val="0"/>
          <w:sz w:val="21"/>
          <w:szCs w:val="21"/>
          <w:u w:val="none"/>
          <w:lang w:eastAsia="zh-CN"/>
        </w:rPr>
        <w:t>建设以及各级卫生健康行政部门监管，其他</w:t>
      </w:r>
      <w:r>
        <w:rPr>
          <w:rFonts w:hint="eastAsia" w:ascii="宋体" w:hAnsi="Times New Roman" w:eastAsia="宋体" w:cs="Times New Roman"/>
          <w:color w:val="auto"/>
          <w:kern w:val="0"/>
          <w:sz w:val="21"/>
          <w:szCs w:val="21"/>
          <w:u w:val="none"/>
        </w:rPr>
        <w:t>单采血浆站检测实验室</w:t>
      </w:r>
      <w:r>
        <w:rPr>
          <w:rFonts w:hint="eastAsia" w:ascii="宋体" w:hAnsi="Times New Roman" w:eastAsia="宋体" w:cs="Times New Roman"/>
          <w:color w:val="auto"/>
          <w:kern w:val="0"/>
          <w:sz w:val="21"/>
          <w:szCs w:val="21"/>
          <w:u w:val="none"/>
          <w:lang w:eastAsia="zh-CN"/>
        </w:rPr>
        <w:t>建设可</w:t>
      </w:r>
      <w:r>
        <w:rPr>
          <w:rFonts w:hint="eastAsia" w:ascii="宋体" w:hAnsi="Times New Roman" w:eastAsia="宋体" w:cs="Times New Roman"/>
          <w:color w:val="auto"/>
          <w:kern w:val="0"/>
          <w:sz w:val="21"/>
          <w:szCs w:val="21"/>
          <w:u w:val="none"/>
        </w:rPr>
        <w:t>参照执行。</w:t>
      </w:r>
    </w:p>
    <w:p>
      <w:pPr>
        <w:pStyle w:val="104"/>
        <w:spacing w:before="312" w:after="312"/>
      </w:pPr>
      <w:bookmarkStart w:id="38" w:name="_Toc26718931"/>
      <w:bookmarkStart w:id="39" w:name="_Toc97191424"/>
      <w:bookmarkStart w:id="40" w:name="_Toc18278"/>
      <w:bookmarkStart w:id="41" w:name="_Toc14366"/>
      <w:bookmarkStart w:id="42" w:name="_Toc26986531"/>
      <w:bookmarkStart w:id="43" w:name="_Toc26986772"/>
      <w:bookmarkStart w:id="44" w:name="_Toc149731790"/>
      <w:r>
        <w:rPr>
          <w:rFonts w:hint="eastAsia"/>
        </w:rPr>
        <w:t>规范性引用文件</w:t>
      </w:r>
      <w:bookmarkEnd w:id="33"/>
      <w:bookmarkEnd w:id="34"/>
      <w:bookmarkEnd w:id="35"/>
      <w:bookmarkEnd w:id="36"/>
      <w:bookmarkEnd w:id="37"/>
      <w:bookmarkEnd w:id="38"/>
      <w:bookmarkEnd w:id="39"/>
      <w:bookmarkEnd w:id="40"/>
      <w:bookmarkEnd w:id="41"/>
      <w:bookmarkEnd w:id="42"/>
      <w:bookmarkEnd w:id="43"/>
      <w:bookmarkEnd w:id="44"/>
    </w:p>
    <w:p>
      <w:pPr>
        <w:pStyle w:val="56"/>
        <w:ind w:firstLine="420"/>
        <w:rPr>
          <w:rFonts w:hint="eastAsia" w:ascii="宋体" w:hAnsi="Times New Roman" w:eastAsia="宋体" w:cs="Times New Roman"/>
        </w:rPr>
      </w:pPr>
      <w:r>
        <w:rPr>
          <w:rFonts w:hint="eastAsia" w:ascii="宋体" w:hAnsi="Times New Roman" w:eastAsia="宋体" w:cs="Times New Roman"/>
        </w:rPr>
        <w:t>下列文件中的内容通过文中的规范性引用而构成本文件必不可少的条款。其中，注明日期的引用文件，仅该日期对应的版本适用于本文件；不注明日期的引用文件，其最新版本（包括所有的修改单）适用于本文件。</w:t>
      </w:r>
    </w:p>
    <w:p>
      <w:pPr>
        <w:pStyle w:val="56"/>
        <w:ind w:firstLine="420"/>
        <w:rPr>
          <w:rFonts w:hint="eastAsia" w:ascii="宋体" w:hAnsi="Times New Roman" w:eastAsia="宋体" w:cs="Times New Roman"/>
        </w:rPr>
      </w:pPr>
      <w:r>
        <w:rPr>
          <w:rFonts w:hint="eastAsia" w:ascii="宋体" w:hAnsi="Times New Roman" w:eastAsia="宋体" w:cs="Times New Roman"/>
        </w:rPr>
        <w:fldChar w:fldCharType="begin"/>
      </w:r>
      <w:r>
        <w:rPr>
          <w:rFonts w:hint="eastAsia" w:ascii="宋体" w:hAnsi="Times New Roman" w:eastAsia="宋体" w:cs="Times New Roman"/>
        </w:rPr>
        <w:instrText xml:space="preserve"> HYPERLINK "https://www.baidu.com/link?url=3cBXV8jeOBvLSC7qVeU8v9qaQgcmNWEAkFfjaIncKiBTtySXARxXZt2yekHZ2s8bsajGzYL-XWB6oTNOvoFi7_&amp;wd=&amp;eqid=856e366b000901c20000000660fa13e4" \t "https://www.baidu.com/_blank" </w:instrText>
      </w:r>
      <w:r>
        <w:rPr>
          <w:rFonts w:hint="eastAsia" w:ascii="宋体" w:hAnsi="Times New Roman" w:eastAsia="宋体" w:cs="Times New Roman"/>
        </w:rPr>
        <w:fldChar w:fldCharType="separate"/>
      </w:r>
      <w:r>
        <w:rPr>
          <w:rFonts w:hint="eastAsia" w:ascii="宋体" w:hAnsi="Times New Roman" w:eastAsia="宋体" w:cs="Times New Roman"/>
        </w:rPr>
        <w:t>GB 19489</w:t>
      </w:r>
      <w:r>
        <w:rPr>
          <w:rFonts w:hint="eastAsia" w:ascii="宋体" w:hAnsi="Times New Roman" w:eastAsia="宋体" w:cs="Times New Roman"/>
        </w:rPr>
        <w:fldChar w:fldCharType="end"/>
      </w:r>
      <w:r>
        <w:rPr>
          <w:rFonts w:hint="eastAsia" w:ascii="宋体" w:hAnsi="Times New Roman" w:eastAsia="宋体" w:cs="Times New Roman"/>
        </w:rPr>
        <w:t xml:space="preserve"> 实验室生物安全通用要求</w:t>
      </w:r>
    </w:p>
    <w:p>
      <w:pPr>
        <w:pStyle w:val="56"/>
        <w:ind w:firstLine="420"/>
        <w:rPr>
          <w:rFonts w:hint="eastAsia" w:ascii="宋体" w:hAnsi="Times New Roman" w:eastAsia="宋体" w:cs="Times New Roman"/>
        </w:rPr>
      </w:pPr>
      <w:r>
        <w:rPr>
          <w:rFonts w:hint="eastAsia" w:ascii="宋体" w:hAnsi="Times New Roman" w:eastAsia="宋体" w:cs="Times New Roman"/>
        </w:rPr>
        <w:fldChar w:fldCharType="begin"/>
      </w:r>
      <w:r>
        <w:rPr>
          <w:rFonts w:hint="eastAsia" w:ascii="宋体" w:hAnsi="Times New Roman" w:eastAsia="宋体" w:cs="Times New Roman"/>
        </w:rPr>
        <w:instrText xml:space="preserve"> HYPERLINK "https://www.baidu.com/link?url=3cBXV8jeOBvLSC7qVeU8v9qaQgcmNWEAkFfjaIncKiBTtySXARxXZt2yekHZ2s8bsajGzYL-XWB6oTNOvoFi7_&amp;wd=&amp;eqid=856e366b000901c20000000660fa13e4" \t "https://www.baidu.com/_blank" </w:instrText>
      </w:r>
      <w:r>
        <w:rPr>
          <w:rFonts w:hint="eastAsia" w:ascii="宋体" w:hAnsi="Times New Roman" w:eastAsia="宋体" w:cs="Times New Roman"/>
        </w:rPr>
        <w:fldChar w:fldCharType="separate"/>
      </w:r>
      <w:r>
        <w:rPr>
          <w:rFonts w:hint="eastAsia" w:ascii="宋体" w:hAnsi="Times New Roman" w:eastAsia="宋体" w:cs="Times New Roman"/>
        </w:rPr>
        <w:t>GB 5</w:t>
      </w:r>
      <w:r>
        <w:rPr>
          <w:rFonts w:hint="eastAsia" w:ascii="宋体" w:hAnsi="Times New Roman" w:eastAsia="宋体" w:cs="Times New Roman"/>
        </w:rPr>
        <w:fldChar w:fldCharType="end"/>
      </w:r>
      <w:r>
        <w:rPr>
          <w:rFonts w:hint="eastAsia" w:ascii="宋体" w:hAnsi="Times New Roman" w:eastAsia="宋体" w:cs="Times New Roman"/>
        </w:rPr>
        <w:t>0346 生物安全实验室建筑技术规范</w:t>
      </w:r>
    </w:p>
    <w:p>
      <w:pPr>
        <w:pStyle w:val="56"/>
        <w:ind w:firstLine="420"/>
        <w:rPr>
          <w:rFonts w:hint="eastAsia" w:ascii="宋体" w:hAnsi="Times New Roman" w:eastAsia="宋体" w:cs="Times New Roman"/>
        </w:rPr>
      </w:pPr>
      <w:r>
        <w:rPr>
          <w:rFonts w:hint="eastAsia" w:ascii="宋体" w:hAnsi="Times New Roman" w:eastAsia="宋体" w:cs="Times New Roman"/>
        </w:rPr>
        <w:t>WS 203 输血医学术语</w:t>
      </w:r>
    </w:p>
    <w:p>
      <w:pPr>
        <w:pStyle w:val="56"/>
        <w:ind w:firstLine="420"/>
        <w:rPr>
          <w:rFonts w:hint="default" w:ascii="宋体" w:hAnsi="Times New Roman" w:eastAsia="宋体" w:cs="Times New Roman"/>
        </w:rPr>
      </w:pPr>
      <w:r>
        <w:rPr>
          <w:rFonts w:hint="eastAsia" w:ascii="宋体" w:hAnsi="Times New Roman" w:eastAsia="宋体" w:cs="Times New Roman"/>
        </w:rPr>
        <w:t>WS 233 病原微生物实验室生物安全通用准则</w:t>
      </w:r>
    </w:p>
    <w:p>
      <w:pPr>
        <w:pStyle w:val="56"/>
        <w:ind w:firstLine="420"/>
        <w:rPr>
          <w:rFonts w:hint="eastAsia" w:ascii="宋体" w:hAnsi="Times New Roman" w:eastAsia="宋体" w:cs="Times New Roman"/>
          <w:highlight w:val="none"/>
        </w:rPr>
      </w:pPr>
      <w:r>
        <w:rPr>
          <w:rFonts w:hint="eastAsia" w:ascii="宋体" w:hAnsi="Times New Roman" w:eastAsia="宋体" w:cs="Times New Roman"/>
        </w:rPr>
        <w:t>WS/T 589 病原微生物实</w:t>
      </w:r>
      <w:r>
        <w:rPr>
          <w:rFonts w:hint="eastAsia" w:ascii="宋体" w:hAnsi="Times New Roman" w:eastAsia="宋体" w:cs="Times New Roman"/>
          <w:highlight w:val="none"/>
        </w:rPr>
        <w:t>验室生物安全标识</w:t>
      </w:r>
    </w:p>
    <w:p>
      <w:pPr>
        <w:pStyle w:val="56"/>
        <w:ind w:firstLine="420"/>
        <w:rPr>
          <w:rFonts w:hint="eastAsia" w:ascii="宋体" w:hAnsi="Times New Roman" w:eastAsia="宋体" w:cs="Times New Roman"/>
          <w:highlight w:val="none"/>
        </w:rPr>
      </w:pPr>
      <w:r>
        <w:rPr>
          <w:rFonts w:hint="default" w:ascii="宋体" w:hAnsi="Times New Roman" w:eastAsia="宋体" w:cs="Times New Roman"/>
          <w:highlight w:val="none"/>
          <w:lang w:val="en-US" w:eastAsia="zh-CN"/>
        </w:rPr>
        <w:t xml:space="preserve">WS/T </w:t>
      </w:r>
      <w:r>
        <w:rPr>
          <w:rFonts w:hint="eastAsia" w:ascii="宋体" w:hAnsi="Times New Roman" w:eastAsia="宋体" w:cs="Times New Roman"/>
          <w:highlight w:val="none"/>
          <w:lang w:val="en-US" w:eastAsia="zh-CN"/>
        </w:rPr>
        <w:t>786 单采血浆信息系统基本功能标准</w:t>
      </w:r>
      <w:r>
        <w:rPr>
          <w:rFonts w:hint="eastAsia" w:ascii="宋体" w:hAnsi="Times New Roman" w:eastAsia="宋体" w:cs="Times New Roman"/>
          <w:highlight w:val="none"/>
        </w:rPr>
        <w:t xml:space="preserve"> </w:t>
      </w:r>
    </w:p>
    <w:p>
      <w:pPr>
        <w:pStyle w:val="104"/>
        <w:spacing w:before="312" w:after="312"/>
        <w:rPr>
          <w:highlight w:val="none"/>
        </w:rPr>
      </w:pPr>
      <w:bookmarkStart w:id="45" w:name="_Toc149731791"/>
      <w:bookmarkStart w:id="46" w:name="_Toc24933"/>
      <w:bookmarkStart w:id="47" w:name="_Toc9770"/>
      <w:bookmarkStart w:id="48" w:name="_Toc97191425"/>
      <w:r>
        <w:rPr>
          <w:rFonts w:hint="eastAsia"/>
          <w:szCs w:val="21"/>
          <w:highlight w:val="none"/>
        </w:rPr>
        <w:t>术语和定义</w:t>
      </w:r>
      <w:bookmarkEnd w:id="45"/>
      <w:bookmarkEnd w:id="46"/>
      <w:bookmarkEnd w:id="47"/>
      <w:bookmarkEnd w:id="48"/>
    </w:p>
    <w:sdt>
      <w:sdtPr>
        <w:rPr>
          <w:highlight w:val="none"/>
        </w:rPr>
        <w:id w:val="-1909835108"/>
        <w:placeholder>
          <w:docPart w:val="1F07C7628AC34C30B7992F9FF51A6AF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highlight w:val="none"/>
        </w:rPr>
      </w:sdtEndPr>
      <w:sdtContent>
        <w:p>
          <w:pPr>
            <w:pStyle w:val="56"/>
            <w:ind w:firstLine="420"/>
            <w:rPr>
              <w:highlight w:val="none"/>
            </w:rPr>
          </w:pPr>
          <w:bookmarkStart w:id="49" w:name="_Toc26986532"/>
          <w:bookmarkEnd w:id="49"/>
          <w:r>
            <w:rPr>
              <w:rFonts w:hint="eastAsia"/>
              <w:highlight w:val="none"/>
            </w:rPr>
            <w:t>GB 19489、WS 233、WS 203界定的以及下列术语和定义适用于本文件。</w:t>
          </w:r>
        </w:p>
      </w:sdtContent>
    </w:sdt>
    <w:p>
      <w:pPr>
        <w:pStyle w:val="223"/>
        <w:spacing w:line="240" w:lineRule="auto"/>
        <w:ind w:left="420" w:hanging="420" w:hangingChars="200"/>
        <w:rPr>
          <w:rFonts w:hint="default" w:ascii="黑体" w:hAnsi="黑体" w:eastAsia="黑体" w:cs="Times New Roman"/>
          <w:kern w:val="0"/>
          <w:szCs w:val="20"/>
          <w:highlight w:val="none"/>
        </w:rPr>
      </w:pPr>
      <w:r>
        <w:rPr>
          <w:rFonts w:ascii="黑体" w:hAnsi="黑体" w:eastAsia="黑体"/>
          <w:highlight w:val="none"/>
        </w:rPr>
        <w:br w:type="textWrapping"/>
      </w:r>
      <w:r>
        <w:rPr>
          <w:rFonts w:hint="eastAsia" w:ascii="黑体" w:hAnsi="黑体" w:eastAsia="黑体" w:cs="Times New Roman"/>
          <w:kern w:val="0"/>
          <w:szCs w:val="20"/>
          <w:highlight w:val="none"/>
        </w:rPr>
        <w:t>单采血浆集中化检测实验室 centralized testing laboratory for apheresis plasma</w:t>
      </w:r>
    </w:p>
    <w:p>
      <w:pPr>
        <w:spacing w:line="240" w:lineRule="auto"/>
        <w:ind w:firstLine="420" w:firstLineChars="200"/>
        <w:rPr>
          <w:rFonts w:hint="eastAsia" w:ascii="宋体" w:hAnsi="宋体" w:eastAsia="宋体"/>
          <w:highlight w:val="none"/>
          <w:lang w:eastAsia="zh-CN"/>
        </w:rPr>
      </w:pPr>
      <w:r>
        <w:rPr>
          <w:rFonts w:hint="eastAsia" w:ascii="宋体" w:hAnsi="Times New Roman" w:eastAsia="宋体" w:cs="Times New Roman"/>
          <w:kern w:val="0"/>
          <w:sz w:val="21"/>
          <w:szCs w:val="21"/>
          <w:highlight w:val="none"/>
          <w:lang w:eastAsia="zh-CN"/>
        </w:rPr>
        <w:t>受</w:t>
      </w:r>
      <w:r>
        <w:rPr>
          <w:rFonts w:hint="eastAsia" w:ascii="宋体" w:hAnsi="Times New Roman" w:eastAsia="宋体" w:cs="Times New Roman"/>
          <w:kern w:val="0"/>
          <w:sz w:val="21"/>
          <w:szCs w:val="21"/>
          <w:highlight w:val="none"/>
        </w:rPr>
        <w:t>单采血浆站</w:t>
      </w:r>
      <w:r>
        <w:rPr>
          <w:rFonts w:hint="eastAsia" w:ascii="宋体" w:hAnsi="Times New Roman" w:eastAsia="宋体" w:cs="Times New Roman"/>
          <w:kern w:val="0"/>
          <w:sz w:val="21"/>
          <w:szCs w:val="21"/>
          <w:highlight w:val="none"/>
          <w:lang w:eastAsia="zh-CN"/>
        </w:rPr>
        <w:t>委托，以原料血浆为检测对象</w:t>
      </w:r>
      <w:r>
        <w:rPr>
          <w:rFonts w:hint="eastAsia" w:ascii="宋体" w:hAnsi="Times New Roman" w:cs="Times New Roman"/>
          <w:kern w:val="0"/>
          <w:sz w:val="21"/>
          <w:szCs w:val="21"/>
          <w:highlight w:val="none"/>
          <w:lang w:eastAsia="zh-CN"/>
        </w:rPr>
        <w:t>，按照国家规定的检测方法</w:t>
      </w:r>
      <w:r>
        <w:rPr>
          <w:rFonts w:hint="eastAsia" w:ascii="宋体" w:hAnsi="Times New Roman" w:eastAsia="宋体" w:cs="Times New Roman"/>
          <w:kern w:val="0"/>
          <w:sz w:val="21"/>
          <w:szCs w:val="21"/>
          <w:highlight w:val="none"/>
          <w:lang w:eastAsia="zh-CN"/>
        </w:rPr>
        <w:t>开展相关</w:t>
      </w:r>
      <w:r>
        <w:rPr>
          <w:rFonts w:hint="eastAsia" w:ascii="宋体" w:hAnsi="Times New Roman" w:cs="Times New Roman"/>
          <w:kern w:val="0"/>
          <w:sz w:val="21"/>
          <w:szCs w:val="21"/>
          <w:highlight w:val="none"/>
          <w:lang w:eastAsia="zh-CN"/>
        </w:rPr>
        <w:t>血浆</w:t>
      </w:r>
      <w:r>
        <w:rPr>
          <w:rFonts w:hint="eastAsia" w:ascii="宋体" w:hAnsi="Times New Roman" w:eastAsia="宋体" w:cs="Times New Roman"/>
          <w:kern w:val="0"/>
          <w:sz w:val="21"/>
          <w:szCs w:val="21"/>
          <w:highlight w:val="none"/>
          <w:lang w:eastAsia="zh-CN"/>
        </w:rPr>
        <w:t>检测</w:t>
      </w:r>
      <w:r>
        <w:rPr>
          <w:rFonts w:hint="eastAsia" w:ascii="宋体" w:hAnsi="Times New Roman" w:eastAsia="宋体" w:cs="Times New Roman"/>
          <w:kern w:val="0"/>
          <w:sz w:val="21"/>
          <w:szCs w:val="21"/>
          <w:highlight w:val="none"/>
        </w:rPr>
        <w:t>的实验</w:t>
      </w:r>
      <w:r>
        <w:rPr>
          <w:rFonts w:hint="eastAsia" w:ascii="宋体" w:hAnsi="Times New Roman" w:cs="Times New Roman"/>
          <w:kern w:val="0"/>
          <w:sz w:val="21"/>
          <w:szCs w:val="21"/>
          <w:highlight w:val="none"/>
          <w:lang w:eastAsia="zh-CN"/>
        </w:rPr>
        <w:t>机构（以下简称“实验室”）。</w:t>
      </w:r>
      <w:bookmarkStart w:id="77" w:name="_GoBack"/>
      <w:bookmarkEnd w:id="77"/>
    </w:p>
    <w:p>
      <w:pPr>
        <w:pStyle w:val="104"/>
        <w:spacing w:before="312" w:after="312"/>
        <w:rPr>
          <w:highlight w:val="none"/>
        </w:rPr>
      </w:pPr>
      <w:r>
        <w:rPr>
          <w:rFonts w:hint="eastAsia"/>
          <w:highlight w:val="none"/>
          <w:lang w:eastAsia="zh-CN"/>
        </w:rPr>
        <w:t>基本要求</w:t>
      </w:r>
    </w:p>
    <w:p>
      <w:pPr>
        <w:pStyle w:val="105"/>
        <w:spacing w:before="156" w:after="156"/>
        <w:rPr>
          <w:highlight w:val="none"/>
        </w:rPr>
      </w:pPr>
      <w:r>
        <w:rPr>
          <w:rFonts w:hint="eastAsia"/>
          <w:highlight w:val="none"/>
          <w:lang w:eastAsia="zh-CN"/>
        </w:rPr>
        <w:t>建筑</w:t>
      </w:r>
    </w:p>
    <w:p>
      <w:pPr>
        <w:pStyle w:val="165"/>
        <w:rPr>
          <w:rFonts w:hint="eastAsia" w:ascii="宋体" w:hAnsi="Times New Roman" w:eastAsia="宋体" w:cs="Times New Roman"/>
          <w:highlight w:val="none"/>
          <w:lang w:val="en-US" w:eastAsia="zh-CN"/>
        </w:rPr>
      </w:pPr>
      <w:r>
        <w:rPr>
          <w:rFonts w:hint="eastAsia" w:ascii="宋体" w:hAnsi="Times New Roman" w:eastAsia="宋体" w:cs="Times New Roman"/>
          <w:highlight w:val="none"/>
          <w:lang w:val="en-US" w:eastAsia="zh-CN"/>
        </w:rPr>
        <w:t>实验室选址、设计和建造应符合国家和地方建设规划，同时还应符合生物安全、环境保护和相关建筑技术规范等规定和要求。</w:t>
      </w:r>
    </w:p>
    <w:p>
      <w:pPr>
        <w:pStyle w:val="165"/>
        <w:rPr>
          <w:rFonts w:hint="eastAsia" w:ascii="宋体" w:hAnsi="Times New Roman" w:eastAsia="宋体" w:cs="Times New Roman"/>
          <w:highlight w:val="none"/>
          <w:lang w:val="en-US" w:eastAsia="zh-CN"/>
        </w:rPr>
      </w:pPr>
      <w:r>
        <w:rPr>
          <w:rFonts w:hint="eastAsia" w:ascii="宋体" w:hAnsi="Times New Roman" w:eastAsia="宋体" w:cs="Times New Roman"/>
          <w:highlight w:val="none"/>
          <w:lang w:val="en-US" w:eastAsia="zh-CN"/>
        </w:rPr>
        <w:t>实验室建筑、设施应符合</w:t>
      </w:r>
      <w:r>
        <w:rPr>
          <w:rFonts w:hint="eastAsia" w:ascii="宋体" w:hAnsi="Times New Roman" w:eastAsia="宋体" w:cs="Times New Roman"/>
          <w:highlight w:val="none"/>
        </w:rPr>
        <w:t>GB 50346、GB 19489</w:t>
      </w:r>
      <w:r>
        <w:rPr>
          <w:rFonts w:hint="eastAsia" w:ascii="宋体" w:hAnsi="Times New Roman" w:eastAsia="宋体" w:cs="Times New Roman"/>
          <w:highlight w:val="none"/>
          <w:lang w:eastAsia="zh-CN"/>
        </w:rPr>
        <w:t>及</w:t>
      </w:r>
      <w:r>
        <w:rPr>
          <w:rFonts w:hint="eastAsia" w:ascii="宋体" w:hAnsi="Times New Roman" w:eastAsia="宋体" w:cs="Times New Roman"/>
          <w:highlight w:val="none"/>
        </w:rPr>
        <w:t>WS 233</w:t>
      </w:r>
      <w:r>
        <w:rPr>
          <w:rFonts w:hint="eastAsia" w:ascii="宋体" w:hAnsi="Times New Roman" w:eastAsia="宋体" w:cs="Times New Roman"/>
          <w:highlight w:val="none"/>
          <w:lang w:val="en-US" w:eastAsia="zh-CN"/>
        </w:rPr>
        <w:t>中BSL-2级生物安全实验室的规定。</w:t>
      </w:r>
    </w:p>
    <w:p>
      <w:pPr>
        <w:pStyle w:val="105"/>
        <w:spacing w:before="156" w:after="156"/>
        <w:rPr>
          <w:highlight w:val="none"/>
        </w:rPr>
      </w:pPr>
      <w:r>
        <w:rPr>
          <w:rFonts w:hint="eastAsia" w:ascii="黑体" w:hAnsi="Times New Roman" w:eastAsia="黑体" w:cs="Times New Roman"/>
          <w:b w:val="0"/>
          <w:bCs w:val="0"/>
          <w:kern w:val="0"/>
          <w:sz w:val="21"/>
          <w:szCs w:val="21"/>
          <w:highlight w:val="none"/>
          <w:lang w:val="en-US" w:eastAsia="zh-CN"/>
        </w:rPr>
        <w:t>面积与布局</w:t>
      </w:r>
    </w:p>
    <w:p>
      <w:pPr>
        <w:pStyle w:val="165"/>
        <w:rPr>
          <w:rFonts w:hint="eastAsia" w:ascii="宋体" w:hAnsi="Times New Roman" w:eastAsia="宋体" w:cs="Times New Roman"/>
          <w:highlight w:val="none"/>
          <w:lang w:val="en-US" w:eastAsia="zh-CN"/>
        </w:rPr>
      </w:pPr>
      <w:r>
        <w:rPr>
          <w:rFonts w:hint="eastAsia" w:ascii="宋体" w:hAnsi="Times New Roman" w:eastAsia="宋体" w:cs="Times New Roman"/>
          <w:highlight w:val="none"/>
          <w:lang w:val="en-US" w:eastAsia="zh-CN"/>
        </w:rPr>
        <w:t>实验室面积应满足集中化检测和实验室发展需要，总面积不少于200平方米。开展血浆核酸检测的，应按照核酸检测要求独立建设相应实验区域。</w:t>
      </w:r>
    </w:p>
    <w:p>
      <w:pPr>
        <w:pStyle w:val="165"/>
        <w:rPr>
          <w:rFonts w:hint="eastAsia" w:ascii="宋体" w:hAnsi="Times New Roman" w:eastAsia="宋体" w:cs="Times New Roman"/>
          <w:highlight w:val="none"/>
          <w:lang w:val="en-US" w:eastAsia="zh-CN"/>
        </w:rPr>
      </w:pPr>
      <w:r>
        <w:rPr>
          <w:rFonts w:hint="eastAsia" w:ascii="宋体" w:hAnsi="Times New Roman" w:eastAsia="宋体" w:cs="Times New Roman"/>
          <w:highlight w:val="none"/>
          <w:lang w:val="en-US" w:eastAsia="zh-CN"/>
        </w:rPr>
        <w:t>实验室至少应设置业务区、综合办公区，其中业务区面积占比不少于80%。</w:t>
      </w:r>
    </w:p>
    <w:p>
      <w:pPr>
        <w:pStyle w:val="165"/>
        <w:rPr>
          <w:rFonts w:hint="eastAsia" w:ascii="宋体" w:hAnsi="Times New Roman" w:eastAsia="宋体" w:cs="Times New Roman"/>
          <w:highlight w:val="none"/>
          <w:lang w:val="en-US" w:eastAsia="zh-CN"/>
        </w:rPr>
      </w:pPr>
      <w:r>
        <w:rPr>
          <w:rFonts w:hint="eastAsia" w:ascii="宋体" w:hAnsi="Times New Roman" w:eastAsia="宋体" w:cs="Times New Roman"/>
          <w:highlight w:val="none"/>
          <w:lang w:val="en-US" w:eastAsia="zh-CN"/>
        </w:rPr>
        <w:t>业务区应分设检测前区、检测区和检测后区，各区域功能应满足集中化检测工作需要。</w:t>
      </w:r>
    </w:p>
    <w:p>
      <w:pPr>
        <w:pStyle w:val="165"/>
        <w:rPr>
          <w:rFonts w:hint="eastAsia" w:ascii="宋体" w:hAnsi="Times New Roman" w:eastAsia="宋体" w:cs="Times New Roman"/>
          <w:highlight w:val="none"/>
          <w:lang w:val="en-US" w:eastAsia="zh-CN"/>
        </w:rPr>
      </w:pPr>
      <w:r>
        <w:rPr>
          <w:rFonts w:hint="eastAsia" w:ascii="宋体" w:hAnsi="Times New Roman" w:eastAsia="宋体" w:cs="Times New Roman"/>
          <w:highlight w:val="none"/>
          <w:lang w:val="en-US" w:eastAsia="zh-CN"/>
        </w:rPr>
        <w:t>综合办公区包括办公室、会议室、信息系统机房、档案室及配电机房等，可由单采血浆站统一配置。</w:t>
      </w:r>
    </w:p>
    <w:p>
      <w:pPr>
        <w:pStyle w:val="105"/>
        <w:spacing w:before="156" w:after="156"/>
        <w:rPr>
          <w:rFonts w:hint="eastAsia" w:ascii="黑体" w:hAnsi="Times New Roman" w:eastAsia="黑体" w:cs="Times New Roman"/>
          <w:b w:val="0"/>
          <w:bCs w:val="0"/>
          <w:kern w:val="0"/>
          <w:sz w:val="21"/>
          <w:szCs w:val="21"/>
          <w:highlight w:val="none"/>
          <w:lang w:val="en-US" w:eastAsia="zh-CN"/>
        </w:rPr>
      </w:pPr>
      <w:r>
        <w:rPr>
          <w:rFonts w:hint="eastAsia" w:ascii="黑体" w:hAnsi="Times New Roman" w:eastAsia="黑体" w:cs="Times New Roman"/>
          <w:b w:val="0"/>
          <w:bCs w:val="0"/>
          <w:kern w:val="0"/>
          <w:sz w:val="21"/>
          <w:szCs w:val="21"/>
          <w:highlight w:val="none"/>
          <w:lang w:val="en-US" w:eastAsia="zh-CN"/>
        </w:rPr>
        <w:t>环境</w:t>
      </w:r>
    </w:p>
    <w:p>
      <w:pPr>
        <w:pStyle w:val="165"/>
        <w:rPr>
          <w:rFonts w:hint="eastAsia" w:ascii="宋体" w:hAnsi="Times New Roman" w:eastAsia="宋体" w:cs="Times New Roman"/>
          <w:highlight w:val="none"/>
          <w:lang w:val="en-US" w:eastAsia="zh-CN"/>
        </w:rPr>
      </w:pPr>
      <w:r>
        <w:rPr>
          <w:rFonts w:hint="eastAsia" w:ascii="宋体" w:hAnsi="Times New Roman" w:eastAsia="宋体" w:cs="Times New Roman"/>
          <w:highlight w:val="none"/>
          <w:lang w:val="en-US" w:eastAsia="zh-CN"/>
        </w:rPr>
        <w:t>实验室地面材料应防滑、抗菌、耐腐蚀、耐磨损，易冲洗。墙面和顶棚的材料、构造应抗菌、不起尘、不积灰、吸附性小、耐腐蚀、防水、易清洗。</w:t>
      </w:r>
    </w:p>
    <w:p>
      <w:pPr>
        <w:pStyle w:val="165"/>
        <w:rPr>
          <w:rFonts w:hint="eastAsia" w:ascii="宋体" w:hAnsi="Times New Roman" w:eastAsia="宋体" w:cs="Times New Roman"/>
          <w:highlight w:val="none"/>
          <w:lang w:val="en-US" w:eastAsia="zh-CN"/>
        </w:rPr>
      </w:pPr>
      <w:r>
        <w:rPr>
          <w:rFonts w:hint="eastAsia" w:ascii="宋体" w:hAnsi="Times New Roman" w:eastAsia="宋体" w:cs="Times New Roman"/>
          <w:highlight w:val="none"/>
          <w:lang w:val="en-US" w:eastAsia="zh-CN"/>
        </w:rPr>
        <w:t>实验室内应照明适宜，通风良好。配有环境温、湿度调节设施，持续监控记录环境温、湿度。</w:t>
      </w:r>
    </w:p>
    <w:p>
      <w:pPr>
        <w:pStyle w:val="104"/>
        <w:spacing w:before="312" w:after="312"/>
        <w:rPr>
          <w:highlight w:val="none"/>
        </w:rPr>
      </w:pPr>
      <w:r>
        <w:rPr>
          <w:rFonts w:hint="eastAsia"/>
          <w:highlight w:val="none"/>
          <w:lang w:eastAsia="zh-CN"/>
        </w:rPr>
        <w:t>组织与人员</w:t>
      </w:r>
    </w:p>
    <w:p>
      <w:pPr>
        <w:pStyle w:val="105"/>
        <w:spacing w:before="156" w:after="156"/>
        <w:rPr>
          <w:rFonts w:hint="eastAsia" w:ascii="黑体" w:hAnsi="Times New Roman" w:eastAsia="黑体" w:cs="Times New Roman"/>
          <w:b w:val="0"/>
          <w:bCs w:val="0"/>
          <w:kern w:val="0"/>
          <w:sz w:val="21"/>
          <w:szCs w:val="21"/>
          <w:highlight w:val="none"/>
          <w:lang w:val="en-US" w:eastAsia="zh-CN"/>
        </w:rPr>
      </w:pPr>
      <w:bookmarkStart w:id="50" w:name="_Toc149731797"/>
      <w:r>
        <w:rPr>
          <w:rFonts w:hint="eastAsia" w:ascii="黑体" w:hAnsi="Times New Roman" w:eastAsia="黑体" w:cs="Times New Roman"/>
          <w:b w:val="0"/>
          <w:bCs w:val="0"/>
          <w:kern w:val="0"/>
          <w:sz w:val="21"/>
          <w:szCs w:val="21"/>
          <w:highlight w:val="none"/>
          <w:lang w:val="en-US" w:eastAsia="zh-CN"/>
        </w:rPr>
        <w:t>组织</w:t>
      </w:r>
    </w:p>
    <w:bookmarkEnd w:id="50"/>
    <w:p>
      <w:pPr>
        <w:pStyle w:val="165"/>
        <w:rPr>
          <w:rFonts w:hint="eastAsia" w:ascii="宋体" w:hAnsi="Times New Roman" w:eastAsia="宋体" w:cs="Times New Roman"/>
          <w:highlight w:val="none"/>
          <w:lang w:val="en-US" w:eastAsia="zh-CN"/>
        </w:rPr>
      </w:pPr>
      <w:r>
        <w:rPr>
          <w:rFonts w:hint="eastAsia" w:ascii="宋体" w:hAnsi="Times New Roman" w:eastAsia="宋体" w:cs="Times New Roman"/>
          <w:highlight w:val="none"/>
          <w:lang w:val="en-US" w:eastAsia="zh-CN"/>
        </w:rPr>
        <w:t>实验室应通过省级卫生健康行政部门组织的技术审查和艾滋病筛查实验室验收，取得二级病原微生物实验室备案证明。</w:t>
      </w:r>
    </w:p>
    <w:p>
      <w:pPr>
        <w:pStyle w:val="165"/>
        <w:rPr>
          <w:rFonts w:hint="eastAsia" w:ascii="宋体" w:hAnsi="Times New Roman" w:eastAsia="宋体" w:cs="Times New Roman"/>
          <w:highlight w:val="none"/>
          <w:lang w:val="en-US" w:eastAsia="zh-CN"/>
        </w:rPr>
      </w:pPr>
      <w:r>
        <w:rPr>
          <w:rFonts w:hint="eastAsia" w:ascii="宋体" w:hAnsi="Times New Roman" w:eastAsia="宋体" w:cs="Times New Roman"/>
          <w:highlight w:val="none"/>
          <w:lang w:val="en-US" w:eastAsia="zh-CN"/>
        </w:rPr>
        <w:t>实验室应建立与集中化检测业务相适应的组织结构，明确实验室负责人与检测岗工作人员的职责权限。</w:t>
      </w:r>
    </w:p>
    <w:p>
      <w:pPr>
        <w:pStyle w:val="105"/>
        <w:spacing w:before="156" w:after="156"/>
        <w:rPr>
          <w:rFonts w:hint="eastAsia"/>
          <w:highlight w:val="none"/>
          <w:lang w:eastAsia="zh-CN"/>
        </w:rPr>
      </w:pPr>
      <w:r>
        <w:rPr>
          <w:rFonts w:hint="eastAsia"/>
          <w:highlight w:val="none"/>
          <w:lang w:eastAsia="zh-CN"/>
        </w:rPr>
        <w:t>人员</w:t>
      </w:r>
    </w:p>
    <w:p>
      <w:pPr>
        <w:pStyle w:val="165"/>
        <w:rPr>
          <w:rFonts w:hint="default" w:ascii="宋体" w:hAnsi="Times New Roman" w:eastAsia="宋体" w:cs="Times New Roman"/>
          <w:highlight w:val="none"/>
          <w:lang w:val="en-US" w:eastAsia="zh-CN"/>
        </w:rPr>
      </w:pPr>
      <w:bookmarkStart w:id="51" w:name="_Toc149731803"/>
      <w:r>
        <w:rPr>
          <w:rFonts w:hint="eastAsia" w:ascii="宋体" w:hAnsi="Times New Roman" w:eastAsia="宋体" w:cs="Times New Roman"/>
          <w:highlight w:val="none"/>
          <w:lang w:val="en-US" w:eastAsia="zh-CN"/>
        </w:rPr>
        <w:t>实验室应根据集中化检测工作需要配备检验专业技术人员，人员资质、能力应符合以下要求：</w:t>
      </w:r>
    </w:p>
    <w:p>
      <w:pPr>
        <w:pStyle w:val="174"/>
        <w:bidi w:val="0"/>
        <w:rPr>
          <w:rFonts w:hint="eastAsia" w:ascii="宋体" w:hAnsi="Times New Roman" w:eastAsia="宋体" w:cs="Times New Roman"/>
          <w:sz w:val="21"/>
          <w:highlight w:val="none"/>
          <w:lang w:val="en-US" w:eastAsia="zh-CN" w:bidi="ar-SA"/>
        </w:rPr>
      </w:pPr>
      <w:r>
        <w:rPr>
          <w:rFonts w:hint="eastAsia"/>
          <w:highlight w:val="none"/>
          <w:lang w:val="en-US" w:eastAsia="zh-CN"/>
        </w:rPr>
        <w:t>实</w:t>
      </w:r>
      <w:r>
        <w:rPr>
          <w:rFonts w:hint="eastAsia" w:ascii="宋体" w:hAnsi="Times New Roman" w:eastAsia="宋体" w:cs="Times New Roman"/>
          <w:sz w:val="21"/>
          <w:highlight w:val="none"/>
          <w:lang w:val="en-US" w:eastAsia="zh-CN" w:bidi="ar-SA"/>
        </w:rPr>
        <w:t xml:space="preserve">验室负责人应具有医学检验相关专业大学专科及以上学历，中级及以上技术职务任职资格，从事实验室相关工作5年（含）以上，具备指导血浆检测工作和开展实验室管理的工作能力。 </w:t>
      </w:r>
    </w:p>
    <w:p>
      <w:pPr>
        <w:pStyle w:val="174"/>
        <w:bidi w:val="0"/>
        <w:rPr>
          <w:rFonts w:hint="eastAsia" w:ascii="宋体" w:hAnsi="Times New Roman" w:eastAsia="宋体" w:cs="Times New Roman"/>
          <w:sz w:val="21"/>
          <w:highlight w:val="none"/>
          <w:lang w:val="en-US" w:eastAsia="zh-CN" w:bidi="ar-SA"/>
        </w:rPr>
      </w:pPr>
      <w:r>
        <w:rPr>
          <w:rFonts w:hint="eastAsia" w:ascii="宋体" w:hAnsi="Times New Roman" w:eastAsia="宋体" w:cs="Times New Roman"/>
          <w:sz w:val="21"/>
          <w:highlight w:val="none"/>
          <w:lang w:val="en-US" w:eastAsia="zh-CN" w:bidi="ar-SA"/>
        </w:rPr>
        <w:t>血液检测岗工作人员应具有医学检验相关专业中等专科及以上学历，初级及以上技术职务任职资格，具备开展相关检测和承担相应质量职责的工作能力。</w:t>
      </w:r>
    </w:p>
    <w:p>
      <w:pPr>
        <w:pStyle w:val="165"/>
        <w:rPr>
          <w:rFonts w:hint="eastAsia" w:ascii="宋体" w:hAnsi="Times New Roman" w:eastAsia="宋体" w:cs="Times New Roman"/>
          <w:highlight w:val="none"/>
          <w:lang w:val="en-US" w:eastAsia="zh-CN"/>
        </w:rPr>
      </w:pPr>
      <w:r>
        <w:rPr>
          <w:rFonts w:hint="eastAsia" w:ascii="宋体" w:hAnsi="Times New Roman" w:eastAsia="宋体" w:cs="Times New Roman"/>
          <w:highlight w:val="none"/>
          <w:lang w:val="en-US" w:eastAsia="zh-CN"/>
        </w:rPr>
        <w:t>检验专业技术人员不少于6人，检验专业技术人员中级职称以上人员比例应不低于30%。日检测量超过1000人份的，每增加300人份应增加1名检验专业技术人员。</w:t>
      </w:r>
    </w:p>
    <w:p>
      <w:pPr>
        <w:pStyle w:val="165"/>
        <w:rPr>
          <w:rFonts w:hint="eastAsia" w:ascii="宋体" w:hAnsi="Times New Roman" w:eastAsia="宋体" w:cs="Times New Roman"/>
          <w:highlight w:val="none"/>
          <w:lang w:val="en-US" w:eastAsia="zh-CN"/>
        </w:rPr>
      </w:pPr>
      <w:r>
        <w:rPr>
          <w:rFonts w:hint="eastAsia" w:ascii="宋体" w:hAnsi="Times New Roman" w:eastAsia="宋体" w:cs="Times New Roman"/>
          <w:highlight w:val="none"/>
          <w:lang w:val="en-US" w:eastAsia="zh-CN"/>
        </w:rPr>
        <w:t>应至少指定1名专职人员，协助实验室负责人开展质量管理工作。</w:t>
      </w:r>
    </w:p>
    <w:p>
      <w:pPr>
        <w:pStyle w:val="165"/>
        <w:rPr>
          <w:rFonts w:hint="eastAsia" w:ascii="宋体" w:hAnsi="Times New Roman" w:eastAsia="宋体" w:cs="Times New Roman"/>
          <w:highlight w:val="none"/>
          <w:lang w:val="en-US" w:eastAsia="zh-CN"/>
        </w:rPr>
      </w:pPr>
      <w:r>
        <w:rPr>
          <w:rFonts w:hint="eastAsia" w:ascii="宋体" w:hAnsi="Times New Roman" w:eastAsia="宋体" w:cs="Times New Roman"/>
          <w:highlight w:val="none"/>
          <w:lang w:val="en-US" w:eastAsia="zh-CN"/>
        </w:rPr>
        <w:t>实验室应对工作人员进行岗前培训和考核，合格后方可上岗。</w:t>
      </w:r>
    </w:p>
    <w:bookmarkEnd w:id="51"/>
    <w:p>
      <w:pPr>
        <w:pStyle w:val="104"/>
        <w:spacing w:before="312" w:after="312"/>
        <w:rPr>
          <w:highlight w:val="none"/>
        </w:rPr>
      </w:pPr>
      <w:r>
        <w:rPr>
          <w:rFonts w:hint="eastAsia" w:ascii="黑体" w:hAnsi="Times New Roman" w:eastAsia="黑体" w:cs="Times New Roman"/>
          <w:b w:val="0"/>
          <w:bCs w:val="0"/>
          <w:kern w:val="0"/>
          <w:sz w:val="21"/>
          <w:szCs w:val="21"/>
          <w:highlight w:val="none"/>
          <w:lang w:eastAsia="zh-CN"/>
        </w:rPr>
        <w:t>设备与设施</w:t>
      </w:r>
      <w:r>
        <w:rPr>
          <w:highlight w:val="none"/>
        </w:rPr>
        <w:tab/>
      </w:r>
    </w:p>
    <w:p>
      <w:pPr>
        <w:pStyle w:val="105"/>
        <w:spacing w:before="156" w:after="156"/>
        <w:rPr>
          <w:highlight w:val="none"/>
        </w:rPr>
      </w:pPr>
      <w:r>
        <w:rPr>
          <w:rFonts w:hint="eastAsia"/>
          <w:highlight w:val="none"/>
          <w:lang w:eastAsia="zh-CN"/>
        </w:rPr>
        <w:t>设备</w:t>
      </w:r>
    </w:p>
    <w:p>
      <w:pPr>
        <w:pStyle w:val="165"/>
        <w:rPr>
          <w:rFonts w:hint="eastAsia" w:ascii="宋体" w:hAnsi="Times New Roman" w:eastAsia="宋体" w:cs="Times New Roman"/>
          <w:highlight w:val="none"/>
        </w:rPr>
      </w:pPr>
      <w:r>
        <w:rPr>
          <w:rFonts w:hint="eastAsia" w:ascii="宋体" w:hAnsi="Times New Roman" w:eastAsia="宋体" w:cs="Times New Roman"/>
          <w:highlight w:val="none"/>
          <w:lang w:val="en-US" w:eastAsia="zh-CN"/>
        </w:rPr>
        <w:t>应配备与其检测任务量相适应的仪器设备，</w:t>
      </w:r>
      <w:r>
        <w:rPr>
          <w:rFonts w:hint="eastAsia" w:ascii="宋体" w:hAnsi="Times New Roman" w:eastAsia="宋体" w:cs="Times New Roman"/>
          <w:highlight w:val="none"/>
          <w:lang w:eastAsia="zh-CN"/>
        </w:rPr>
        <w:t>应</w:t>
      </w:r>
      <w:r>
        <w:rPr>
          <w:rFonts w:hint="eastAsia" w:ascii="宋体" w:hAnsi="Times New Roman" w:eastAsia="宋体" w:cs="Times New Roman"/>
          <w:highlight w:val="none"/>
        </w:rPr>
        <w:t>使用自动化检测设备，减少人工干预。</w:t>
      </w:r>
    </w:p>
    <w:p>
      <w:pPr>
        <w:pStyle w:val="165"/>
        <w:rPr>
          <w:rFonts w:hint="eastAsia" w:ascii="宋体" w:hAnsi="Times New Roman" w:eastAsia="宋体" w:cs="Times New Roman"/>
          <w:highlight w:val="none"/>
          <w:lang w:val="en-US" w:eastAsia="zh-CN"/>
        </w:rPr>
      </w:pPr>
      <w:r>
        <w:rPr>
          <w:rFonts w:hint="eastAsia" w:ascii="宋体" w:hAnsi="Times New Roman" w:eastAsia="宋体" w:cs="Times New Roman"/>
          <w:highlight w:val="none"/>
          <w:lang w:val="en-US" w:eastAsia="zh-CN"/>
        </w:rPr>
        <w:t>至少配备冷藏箱、离心机、微量加样枪、微量振荡器、全自动生化分析仪、全自动酶免仪、高压蒸汽灭菌器、全自动脱帽机、超纯水机、生物安全柜、试剂库、全自动血细胞分析仪、冰柜等设备设施，关键检测设备应配备应急备用设备和不间断电源（UPS）。</w:t>
      </w:r>
    </w:p>
    <w:p>
      <w:pPr>
        <w:pStyle w:val="165"/>
        <w:rPr>
          <w:rFonts w:hint="eastAsia" w:ascii="宋体" w:hAnsi="Times New Roman" w:eastAsia="宋体" w:cs="Times New Roman"/>
          <w:highlight w:val="none"/>
          <w:lang w:val="en-US" w:eastAsia="zh-CN"/>
        </w:rPr>
      </w:pPr>
      <w:r>
        <w:rPr>
          <w:rFonts w:hint="eastAsia" w:ascii="宋体" w:hAnsi="Times New Roman" w:eastAsia="宋体" w:cs="Times New Roman"/>
          <w:highlight w:val="none"/>
          <w:lang w:val="en-US" w:eastAsia="zh-CN"/>
        </w:rPr>
        <w:t>设备应符合国家相关标准，生产方和供应方应具有相关法定资质，设备所需耗材和常用配件应供应充足、易获得。</w:t>
      </w:r>
    </w:p>
    <w:p>
      <w:pPr>
        <w:pStyle w:val="165"/>
        <w:rPr>
          <w:rFonts w:hint="eastAsia" w:ascii="宋体" w:hAnsi="Times New Roman" w:eastAsia="宋体" w:cs="Times New Roman"/>
          <w:highlight w:val="none"/>
          <w:lang w:val="en-US" w:eastAsia="zh-CN"/>
        </w:rPr>
      </w:pPr>
      <w:r>
        <w:rPr>
          <w:rFonts w:hint="eastAsia" w:ascii="宋体" w:hAnsi="Times New Roman" w:eastAsia="宋体" w:cs="Times New Roman"/>
          <w:highlight w:val="none"/>
          <w:lang w:val="en-US" w:eastAsia="zh-CN"/>
        </w:rPr>
        <w:t>仪器设备的适用范围和精密度应符合工作和质量要求，相应设备应具备抗震防晒，抗电子干扰，稳压温度调节等功能。</w:t>
      </w:r>
    </w:p>
    <w:p>
      <w:pPr>
        <w:pStyle w:val="165"/>
        <w:rPr>
          <w:rFonts w:hint="eastAsia" w:ascii="宋体" w:hAnsi="Times New Roman" w:eastAsia="宋体" w:cs="Times New Roman"/>
          <w:highlight w:val="none"/>
          <w:lang w:val="en-US" w:eastAsia="zh-CN"/>
        </w:rPr>
      </w:pPr>
      <w:r>
        <w:rPr>
          <w:rFonts w:hint="eastAsia" w:ascii="宋体" w:hAnsi="Times New Roman" w:eastAsia="宋体" w:cs="Times New Roman"/>
          <w:highlight w:val="none"/>
          <w:lang w:val="en-US" w:eastAsia="zh-CN"/>
        </w:rPr>
        <w:t>属国家规定强制检定的计量器具应具备法定计量部门的检定合格证明。</w:t>
      </w:r>
    </w:p>
    <w:p>
      <w:pPr>
        <w:pStyle w:val="105"/>
        <w:spacing w:before="156" w:after="156"/>
        <w:rPr>
          <w:highlight w:val="none"/>
        </w:rPr>
      </w:pPr>
      <w:bookmarkStart w:id="52" w:name="_Toc7090"/>
      <w:bookmarkStart w:id="53" w:name="_Toc149731810"/>
      <w:bookmarkStart w:id="54" w:name="_Toc27331"/>
      <w:r>
        <w:rPr>
          <w:rFonts w:hint="eastAsia"/>
          <w:highlight w:val="none"/>
          <w:lang w:eastAsia="zh-CN"/>
        </w:rPr>
        <w:t>设施</w:t>
      </w:r>
      <w:bookmarkEnd w:id="52"/>
      <w:bookmarkEnd w:id="53"/>
      <w:bookmarkEnd w:id="54"/>
    </w:p>
    <w:p>
      <w:pPr>
        <w:pStyle w:val="165"/>
        <w:rPr>
          <w:rFonts w:hint="eastAsia" w:ascii="宋体" w:hAnsi="Times New Roman" w:eastAsia="宋体" w:cs="Times New Roman"/>
          <w:highlight w:val="none"/>
          <w:lang w:val="en-US" w:eastAsia="zh-CN"/>
        </w:rPr>
      </w:pPr>
      <w:r>
        <w:rPr>
          <w:rFonts w:hint="eastAsia" w:ascii="宋体" w:hAnsi="Times New Roman" w:eastAsia="宋体" w:cs="Times New Roman"/>
          <w:highlight w:val="none"/>
          <w:lang w:val="en-US" w:eastAsia="zh-CN"/>
        </w:rPr>
        <w:t>应配备符合国家相关规定的供电、消防、污水处理、医疗废物处理等设备设施。</w:t>
      </w:r>
    </w:p>
    <w:p>
      <w:pPr>
        <w:pStyle w:val="165"/>
        <w:rPr>
          <w:rFonts w:hint="eastAsia" w:ascii="宋体" w:hAnsi="Times New Roman" w:eastAsia="宋体" w:cs="Times New Roman"/>
          <w:highlight w:val="none"/>
          <w:lang w:val="en-US" w:eastAsia="zh-CN"/>
        </w:rPr>
      </w:pPr>
      <w:r>
        <w:rPr>
          <w:rFonts w:hint="eastAsia" w:ascii="宋体" w:hAnsi="Times New Roman" w:eastAsia="宋体" w:cs="Times New Roman"/>
          <w:highlight w:val="none"/>
          <w:lang w:val="en-US" w:eastAsia="zh-CN"/>
        </w:rPr>
        <w:t>实验室应配置视频监控系统，监控视频保存时间不少于28天。</w:t>
      </w:r>
    </w:p>
    <w:p>
      <w:pPr>
        <w:pStyle w:val="104"/>
        <w:spacing w:before="312" w:after="312"/>
        <w:rPr>
          <w:highlight w:val="none"/>
        </w:rPr>
      </w:pPr>
      <w:r>
        <w:rPr>
          <w:rFonts w:hint="eastAsia" w:ascii="黑体" w:hAnsi="Times New Roman" w:eastAsia="黑体" w:cs="Times New Roman"/>
          <w:b w:val="0"/>
          <w:bCs w:val="0"/>
          <w:kern w:val="0"/>
          <w:sz w:val="21"/>
          <w:szCs w:val="21"/>
          <w:highlight w:val="none"/>
          <w:lang w:val="en-US" w:eastAsia="zh-CN"/>
        </w:rPr>
        <w:t>试剂与耗材</w:t>
      </w:r>
    </w:p>
    <w:p>
      <w:pPr>
        <w:pStyle w:val="162"/>
        <w:bidi w:val="0"/>
        <w:rPr>
          <w:rFonts w:hint="eastAsia"/>
          <w:lang w:val="en-US" w:eastAsia="zh-CN"/>
        </w:rPr>
      </w:pPr>
      <w:bookmarkStart w:id="55" w:name="_Toc23100"/>
      <w:bookmarkStart w:id="56" w:name="_Toc26405"/>
      <w:r>
        <w:rPr>
          <w:rFonts w:hint="eastAsia"/>
          <w:lang w:val="en-US" w:eastAsia="zh-CN"/>
        </w:rPr>
        <w:t>实验室选用的试剂与耗材应符合国家相关标准，其生产方和供应方应具有相关法定资质，有充分的外部供给和质量保证服务。</w:t>
      </w:r>
    </w:p>
    <w:p>
      <w:pPr>
        <w:pStyle w:val="162"/>
        <w:bidi w:val="0"/>
        <w:rPr>
          <w:rFonts w:hint="eastAsia"/>
          <w:lang w:val="en-US" w:eastAsia="zh-CN"/>
        </w:rPr>
      </w:pPr>
      <w:r>
        <w:rPr>
          <w:rFonts w:hint="eastAsia"/>
          <w:lang w:val="en-US" w:eastAsia="zh-CN"/>
        </w:rPr>
        <w:t>应选择经中国食品药品检定研究院批签发的血源筛查体外诊断试剂。</w:t>
      </w:r>
    </w:p>
    <w:p>
      <w:pPr>
        <w:pStyle w:val="162"/>
        <w:bidi w:val="0"/>
        <w:rPr>
          <w:rFonts w:hint="eastAsia" w:asciiTheme="minorEastAsia" w:hAnsiTheme="minorEastAsia" w:cstheme="minorEastAsia"/>
          <w:kern w:val="0"/>
          <w:sz w:val="21"/>
          <w:szCs w:val="21"/>
          <w:lang w:val="en-US" w:eastAsia="zh-CN"/>
        </w:rPr>
      </w:pPr>
      <w:r>
        <w:rPr>
          <w:rFonts w:hint="eastAsia"/>
          <w:lang w:val="en-US" w:eastAsia="zh-CN"/>
        </w:rPr>
        <w:t>应制定试剂和耗材的最低库存量，至少满足14天检测工作需求。</w:t>
      </w:r>
    </w:p>
    <w:p>
      <w:pPr>
        <w:pStyle w:val="162"/>
        <w:bidi w:val="0"/>
        <w:rPr>
          <w:rFonts w:hint="eastAsia" w:ascii="宋体" w:hAnsi="Times New Roman" w:eastAsia="宋体" w:cs="Times New Roman"/>
          <w:sz w:val="21"/>
          <w:highlight w:val="none"/>
          <w:lang w:val="en-US" w:eastAsia="zh-CN" w:bidi="ar-SA"/>
        </w:rPr>
      </w:pPr>
      <w:r>
        <w:rPr>
          <w:rFonts w:hint="eastAsia" w:ascii="宋体" w:hAnsi="Times New Roman" w:eastAsia="宋体" w:cs="Times New Roman"/>
          <w:highlight w:val="none"/>
          <w:lang w:val="en-US" w:eastAsia="zh-CN"/>
        </w:rPr>
        <w:t>室内质控品性能应满足以下要求：</w:t>
      </w:r>
    </w:p>
    <w:p>
      <w:pPr>
        <w:pStyle w:val="235"/>
        <w:keepNext w:val="0"/>
        <w:keepLines w:val="0"/>
        <w:pageBreakBefore w:val="0"/>
        <w:widowControl w:val="0"/>
        <w:numPr>
          <w:ilvl w:val="2"/>
          <w:numId w:val="33"/>
        </w:numPr>
        <w:tabs>
          <w:tab w:val="left" w:pos="709"/>
        </w:tabs>
        <w:kinsoku/>
        <w:wordWrap/>
        <w:overflowPunct/>
        <w:topLinePunct w:val="0"/>
        <w:autoSpaceDE w:val="0"/>
        <w:autoSpaceDN w:val="0"/>
        <w:bidi w:val="0"/>
        <w:adjustRightInd/>
        <w:snapToGrid/>
        <w:spacing w:line="240" w:lineRule="auto"/>
        <w:ind w:left="992" w:hanging="283" w:firstLineChars="0"/>
        <w:textAlignment w:val="auto"/>
        <w:rPr>
          <w:rFonts w:hint="eastAsia" w:ascii="宋体" w:hAnsi="Times New Roman"/>
          <w:kern w:val="0"/>
          <w:szCs w:val="21"/>
          <w:lang w:val="en-US" w:eastAsia="zh-CN"/>
        </w:rPr>
      </w:pPr>
      <w:r>
        <w:rPr>
          <w:rFonts w:hint="eastAsia" w:ascii="宋体" w:hAnsi="Times New Roman"/>
          <w:kern w:val="0"/>
          <w:szCs w:val="21"/>
          <w:lang w:val="en-US" w:eastAsia="zh-CN"/>
        </w:rPr>
        <w:t>应为第三方提供的、使用适宜基质的质控品</w:t>
      </w:r>
      <w:r>
        <w:rPr>
          <w:rFonts w:hint="eastAsia" w:ascii="宋体" w:hAnsi="Times New Roman"/>
          <w:kern w:val="0"/>
          <w:szCs w:val="21"/>
        </w:rPr>
        <w:t>；</w:t>
      </w:r>
    </w:p>
    <w:p>
      <w:pPr>
        <w:pStyle w:val="235"/>
        <w:keepNext w:val="0"/>
        <w:keepLines w:val="0"/>
        <w:pageBreakBefore w:val="0"/>
        <w:widowControl w:val="0"/>
        <w:numPr>
          <w:ilvl w:val="2"/>
          <w:numId w:val="33"/>
        </w:numPr>
        <w:tabs>
          <w:tab w:val="left" w:pos="709"/>
        </w:tabs>
        <w:kinsoku/>
        <w:wordWrap/>
        <w:overflowPunct/>
        <w:topLinePunct w:val="0"/>
        <w:autoSpaceDE w:val="0"/>
        <w:autoSpaceDN w:val="0"/>
        <w:bidi w:val="0"/>
        <w:adjustRightInd/>
        <w:snapToGrid/>
        <w:spacing w:line="240" w:lineRule="auto"/>
        <w:ind w:left="992" w:hanging="283" w:firstLineChars="0"/>
        <w:textAlignment w:val="auto"/>
        <w:rPr>
          <w:rFonts w:hint="eastAsia" w:ascii="宋体" w:hAnsi="Times New Roman"/>
          <w:kern w:val="0"/>
          <w:szCs w:val="21"/>
          <w:lang w:val="en-US" w:eastAsia="zh-CN"/>
        </w:rPr>
      </w:pPr>
      <w:r>
        <w:rPr>
          <w:rFonts w:hint="eastAsia" w:ascii="宋体" w:hAnsi="Times New Roman"/>
          <w:kern w:val="0"/>
          <w:szCs w:val="21"/>
          <w:lang w:val="en-US" w:eastAsia="zh-CN"/>
        </w:rPr>
        <w:t>质控品目标检测物的含量应当呈弱阳性（S/CO值为2~5）</w:t>
      </w:r>
      <w:r>
        <w:rPr>
          <w:rFonts w:hint="eastAsia" w:ascii="宋体" w:hAnsi="Times New Roman"/>
          <w:kern w:val="0"/>
          <w:szCs w:val="21"/>
        </w:rPr>
        <w:t>；</w:t>
      </w:r>
      <w:r>
        <w:rPr>
          <w:rFonts w:hint="default" w:ascii="宋体" w:hAnsi="Times New Roman"/>
          <w:kern w:val="0"/>
          <w:szCs w:val="21"/>
          <w:lang w:val="en" w:eastAsia="zh-CN"/>
        </w:rPr>
        <w:t xml:space="preserve"> </w:t>
      </w:r>
    </w:p>
    <w:p>
      <w:pPr>
        <w:pStyle w:val="235"/>
        <w:keepNext w:val="0"/>
        <w:keepLines w:val="0"/>
        <w:pageBreakBefore w:val="0"/>
        <w:widowControl w:val="0"/>
        <w:numPr>
          <w:ilvl w:val="2"/>
          <w:numId w:val="33"/>
        </w:numPr>
        <w:tabs>
          <w:tab w:val="left" w:pos="709"/>
        </w:tabs>
        <w:kinsoku/>
        <w:wordWrap/>
        <w:overflowPunct/>
        <w:topLinePunct w:val="0"/>
        <w:autoSpaceDE w:val="0"/>
        <w:autoSpaceDN w:val="0"/>
        <w:bidi w:val="0"/>
        <w:adjustRightInd/>
        <w:snapToGrid/>
        <w:spacing w:line="240" w:lineRule="auto"/>
        <w:ind w:left="992" w:hanging="283" w:firstLineChars="0"/>
        <w:textAlignment w:val="auto"/>
        <w:rPr>
          <w:rFonts w:hint="eastAsia" w:ascii="宋体" w:hAnsi="Times New Roman"/>
          <w:kern w:val="0"/>
          <w:szCs w:val="21"/>
          <w:lang w:val="en-US" w:eastAsia="zh-CN"/>
        </w:rPr>
      </w:pPr>
      <w:r>
        <w:rPr>
          <w:rFonts w:hint="eastAsia" w:ascii="宋体" w:hAnsi="Times New Roman"/>
          <w:kern w:val="0"/>
          <w:szCs w:val="21"/>
          <w:lang w:val="en-US" w:eastAsia="zh-CN"/>
        </w:rPr>
        <w:t>用量值表示样品性质的质控品，其量值应具有溯源性。</w:t>
      </w:r>
    </w:p>
    <w:bookmarkEnd w:id="55"/>
    <w:bookmarkEnd w:id="56"/>
    <w:p>
      <w:pPr>
        <w:pStyle w:val="104"/>
        <w:spacing w:before="312" w:after="312"/>
      </w:pPr>
      <w:r>
        <w:rPr>
          <w:rFonts w:hint="eastAsia"/>
          <w:lang w:eastAsia="zh-CN"/>
        </w:rPr>
        <w:t>标本要求</w:t>
      </w:r>
    </w:p>
    <w:p>
      <w:pPr>
        <w:pStyle w:val="105"/>
        <w:spacing w:before="156" w:after="156"/>
        <w:rPr>
          <w:highlight w:val="none"/>
        </w:rPr>
      </w:pPr>
      <w:r>
        <w:rPr>
          <w:rFonts w:hint="eastAsia"/>
          <w:highlight w:val="none"/>
          <w:lang w:eastAsia="zh-CN"/>
        </w:rPr>
        <w:t>质量要求</w:t>
      </w:r>
    </w:p>
    <w:p>
      <w:pPr>
        <w:pStyle w:val="165"/>
        <w:ind w:firstLine="0"/>
        <w:rPr>
          <w:rFonts w:hint="eastAsia" w:ascii="宋体" w:hAnsi="Times New Roman" w:eastAsia="宋体" w:cs="Times New Roman"/>
          <w:highlight w:val="none"/>
          <w:lang w:val="en"/>
        </w:rPr>
      </w:pPr>
      <w:bookmarkStart w:id="57" w:name="_Toc9827"/>
      <w:bookmarkStart w:id="58" w:name="_Toc1898"/>
      <w:bookmarkStart w:id="59" w:name="_Toc149731837"/>
      <w:r>
        <w:rPr>
          <w:rFonts w:hint="eastAsia" w:ascii="宋体" w:hAnsi="Times New Roman" w:eastAsia="宋体" w:cs="Times New Roman"/>
          <w:highlight w:val="none"/>
          <w:lang w:val="en" w:eastAsia="zh-CN"/>
        </w:rPr>
        <w:t>标本含量应充足，</w:t>
      </w:r>
      <w:r>
        <w:rPr>
          <w:rFonts w:hint="eastAsia" w:ascii="宋体" w:hAnsi="Times New Roman" w:eastAsia="宋体" w:cs="Times New Roman"/>
          <w:highlight w:val="none"/>
          <w:lang w:val="en-US" w:eastAsia="zh-CN"/>
        </w:rPr>
        <w:t>无脂血、溶血或稀释，</w:t>
      </w:r>
      <w:r>
        <w:rPr>
          <w:rFonts w:hint="eastAsia" w:ascii="宋体" w:hAnsi="Times New Roman" w:eastAsia="宋体" w:cs="Times New Roman"/>
          <w:highlight w:val="none"/>
          <w:lang w:val="en" w:eastAsia="zh-CN"/>
        </w:rPr>
        <w:t>满足</w:t>
      </w:r>
      <w:r>
        <w:rPr>
          <w:rFonts w:hint="eastAsia" w:ascii="宋体" w:hAnsi="Times New Roman" w:eastAsia="宋体" w:cs="Times New Roman"/>
          <w:highlight w:val="none"/>
          <w:lang w:val="en"/>
        </w:rPr>
        <w:t>检测</w:t>
      </w:r>
      <w:r>
        <w:rPr>
          <w:rFonts w:hint="eastAsia" w:ascii="宋体" w:hAnsi="Times New Roman" w:eastAsia="宋体" w:cs="Times New Roman"/>
          <w:highlight w:val="none"/>
          <w:lang w:val="en" w:eastAsia="zh-CN"/>
        </w:rPr>
        <w:t>需要</w:t>
      </w:r>
      <w:r>
        <w:rPr>
          <w:rFonts w:hint="eastAsia" w:ascii="宋体" w:hAnsi="Times New Roman" w:eastAsia="宋体" w:cs="Times New Roman"/>
          <w:highlight w:val="none"/>
          <w:lang w:val="en"/>
        </w:rPr>
        <w:t>。</w:t>
      </w:r>
    </w:p>
    <w:p>
      <w:pPr>
        <w:pStyle w:val="165"/>
        <w:ind w:firstLine="0"/>
        <w:rPr>
          <w:rFonts w:hint="eastAsia" w:ascii="宋体" w:hAnsi="Times New Roman" w:eastAsia="宋体" w:cs="Times New Roman"/>
          <w:highlight w:val="none"/>
          <w:lang w:val="en" w:eastAsia="zh-CN"/>
        </w:rPr>
      </w:pPr>
      <w:r>
        <w:rPr>
          <w:rFonts w:hint="eastAsia" w:ascii="宋体" w:hAnsi="Times New Roman" w:eastAsia="宋体" w:cs="Times New Roman"/>
          <w:highlight w:val="none"/>
          <w:lang w:val="en"/>
        </w:rPr>
        <w:t>标本管</w:t>
      </w:r>
      <w:r>
        <w:rPr>
          <w:rFonts w:hint="eastAsia" w:ascii="宋体" w:hAnsi="Times New Roman" w:eastAsia="宋体" w:cs="Times New Roman"/>
          <w:highlight w:val="none"/>
          <w:lang w:val="en" w:eastAsia="zh-CN"/>
        </w:rPr>
        <w:t>选用应符合相应</w:t>
      </w:r>
      <w:r>
        <w:rPr>
          <w:rFonts w:hint="eastAsia" w:ascii="宋体" w:hAnsi="Times New Roman" w:eastAsia="宋体" w:cs="Times New Roman"/>
          <w:highlight w:val="none"/>
          <w:lang w:val="en"/>
        </w:rPr>
        <w:t>试验</w:t>
      </w:r>
      <w:r>
        <w:rPr>
          <w:rFonts w:hint="eastAsia" w:ascii="宋体" w:hAnsi="Times New Roman" w:eastAsia="宋体" w:cs="Times New Roman"/>
          <w:highlight w:val="none"/>
          <w:lang w:val="en" w:eastAsia="zh-CN"/>
        </w:rPr>
        <w:t>仪器</w:t>
      </w:r>
      <w:r>
        <w:rPr>
          <w:rFonts w:hint="eastAsia" w:ascii="宋体" w:hAnsi="Times New Roman" w:eastAsia="宋体" w:cs="Times New Roman"/>
          <w:highlight w:val="none"/>
          <w:lang w:val="en"/>
        </w:rPr>
        <w:t>的技术要求</w:t>
      </w:r>
      <w:r>
        <w:rPr>
          <w:rFonts w:hint="eastAsia" w:ascii="宋体" w:hAnsi="Times New Roman" w:eastAsia="宋体" w:cs="Times New Roman"/>
          <w:highlight w:val="none"/>
          <w:lang w:val="en" w:eastAsia="zh-CN"/>
        </w:rPr>
        <w:t>。</w:t>
      </w:r>
    </w:p>
    <w:bookmarkEnd w:id="57"/>
    <w:bookmarkEnd w:id="58"/>
    <w:bookmarkEnd w:id="59"/>
    <w:p>
      <w:pPr>
        <w:pStyle w:val="105"/>
        <w:spacing w:before="156" w:after="156"/>
        <w:rPr>
          <w:rFonts w:ascii="Times New Roman"/>
          <w:kern w:val="2"/>
          <w:szCs w:val="21"/>
          <w:highlight w:val="none"/>
        </w:rPr>
      </w:pPr>
      <w:r>
        <w:rPr>
          <w:rFonts w:hint="eastAsia"/>
          <w:highlight w:val="none"/>
          <w:lang w:eastAsia="zh-CN"/>
        </w:rPr>
        <w:t>标签和包装</w:t>
      </w:r>
    </w:p>
    <w:p>
      <w:pPr>
        <w:pStyle w:val="165"/>
        <w:ind w:firstLine="0"/>
        <w:rPr>
          <w:rFonts w:hint="default" w:ascii="宋体" w:hAnsi="Times New Roman" w:eastAsia="宋体" w:cs="Times New Roman"/>
          <w:highlight w:val="none"/>
          <w:lang w:val="en" w:eastAsia="zh-CN"/>
        </w:rPr>
      </w:pPr>
      <w:bookmarkStart w:id="60" w:name="_Toc17890"/>
      <w:bookmarkStart w:id="61" w:name="_Toc16563"/>
      <w:bookmarkStart w:id="62" w:name="_Toc149731838"/>
      <w:r>
        <w:rPr>
          <w:rFonts w:hint="eastAsia" w:ascii="宋体" w:hAnsi="Times New Roman" w:eastAsia="宋体" w:cs="Times New Roman"/>
          <w:highlight w:val="none"/>
          <w:lang w:val="en" w:eastAsia="zh-CN"/>
        </w:rPr>
        <w:t>标本</w:t>
      </w:r>
      <w:r>
        <w:rPr>
          <w:rFonts w:hint="eastAsia" w:ascii="宋体" w:hAnsi="Times New Roman" w:eastAsia="宋体" w:cs="Times New Roman"/>
          <w:highlight w:val="none"/>
          <w:lang w:val="en-US" w:eastAsia="zh-CN"/>
        </w:rPr>
        <w:t>标签应清晰完整，粘贴牢固，标签条码应满足以信息化方式录入标本信息的要求。</w:t>
      </w:r>
    </w:p>
    <w:p>
      <w:pPr>
        <w:pStyle w:val="165"/>
        <w:ind w:firstLine="0"/>
        <w:rPr>
          <w:rFonts w:hint="eastAsia" w:ascii="宋体" w:hAnsi="Times New Roman" w:eastAsia="宋体" w:cs="Times New Roman"/>
          <w:highlight w:val="none"/>
          <w:lang w:val="en-US" w:eastAsia="zh-CN"/>
        </w:rPr>
      </w:pPr>
      <w:r>
        <w:rPr>
          <w:rFonts w:hint="eastAsia" w:ascii="宋体" w:hAnsi="Times New Roman" w:eastAsia="宋体" w:cs="Times New Roman"/>
          <w:highlight w:val="none"/>
          <w:lang w:val="en-US" w:eastAsia="zh-CN"/>
        </w:rPr>
        <w:t>标本包装内附</w:t>
      </w:r>
      <w:r>
        <w:rPr>
          <w:rFonts w:hint="default" w:ascii="宋体" w:hAnsi="Times New Roman" w:eastAsia="宋体" w:cs="Times New Roman"/>
          <w:highlight w:val="none"/>
          <w:lang w:val="en-US" w:eastAsia="zh-CN"/>
        </w:rPr>
        <w:t>单采血浆信息系统生成</w:t>
      </w:r>
      <w:r>
        <w:rPr>
          <w:rFonts w:hint="eastAsia" w:ascii="宋体" w:hAnsi="Times New Roman" w:eastAsia="宋体" w:cs="Times New Roman"/>
          <w:highlight w:val="none"/>
          <w:lang w:val="en-US" w:eastAsia="zh-CN"/>
        </w:rPr>
        <w:t>的</w:t>
      </w:r>
      <w:r>
        <w:rPr>
          <w:rFonts w:hint="default" w:ascii="宋体" w:hAnsi="Times New Roman" w:eastAsia="宋体" w:cs="Times New Roman"/>
          <w:highlight w:val="none"/>
          <w:lang w:val="en-US" w:eastAsia="zh-CN"/>
        </w:rPr>
        <w:t>标本清单，包括血浆采集日期、标本编码、标本数量等，</w:t>
      </w:r>
      <w:r>
        <w:rPr>
          <w:rFonts w:hint="eastAsia" w:ascii="宋体" w:hAnsi="Times New Roman" w:eastAsia="宋体" w:cs="Times New Roman"/>
          <w:highlight w:val="none"/>
          <w:lang w:val="en-US" w:eastAsia="zh-CN"/>
        </w:rPr>
        <w:t>清单信息可</w:t>
      </w:r>
      <w:r>
        <w:rPr>
          <w:rFonts w:hint="default" w:ascii="宋体" w:hAnsi="Times New Roman" w:eastAsia="宋体" w:cs="Times New Roman"/>
          <w:highlight w:val="none"/>
          <w:lang w:val="en-US" w:eastAsia="zh-CN"/>
        </w:rPr>
        <w:t>通过单采血浆信息系统传输至检测实验室。</w:t>
      </w:r>
    </w:p>
    <w:p>
      <w:pPr>
        <w:pStyle w:val="165"/>
        <w:ind w:firstLine="0"/>
        <w:rPr>
          <w:rFonts w:hint="default" w:ascii="宋体" w:hAnsi="Times New Roman" w:eastAsia="宋体" w:cs="Times New Roman"/>
          <w:highlight w:val="none"/>
          <w:lang w:val="en-US" w:eastAsia="zh-CN"/>
        </w:rPr>
      </w:pPr>
      <w:r>
        <w:rPr>
          <w:rFonts w:hint="eastAsia" w:ascii="宋体" w:hAnsi="Times New Roman" w:eastAsia="宋体" w:cs="Times New Roman"/>
          <w:highlight w:val="none"/>
          <w:lang w:val="en" w:eastAsia="zh-CN"/>
        </w:rPr>
        <w:t>标本包装应密封，满足防水、稳固和易于消毒处理的要求。</w:t>
      </w:r>
    </w:p>
    <w:bookmarkEnd w:id="60"/>
    <w:bookmarkEnd w:id="61"/>
    <w:bookmarkEnd w:id="62"/>
    <w:p>
      <w:pPr>
        <w:pStyle w:val="105"/>
        <w:spacing w:before="156" w:after="156"/>
        <w:rPr>
          <w:highlight w:val="none"/>
        </w:rPr>
      </w:pPr>
      <w:r>
        <w:rPr>
          <w:rFonts w:hint="eastAsia"/>
          <w:highlight w:val="none"/>
          <w:lang w:eastAsia="zh-CN"/>
        </w:rPr>
        <w:t>标本运输要求</w:t>
      </w:r>
    </w:p>
    <w:p>
      <w:pPr>
        <w:pStyle w:val="165"/>
        <w:ind w:firstLine="0"/>
        <w:rPr>
          <w:rFonts w:hint="eastAsia" w:ascii="宋体" w:hAnsi="Times New Roman" w:eastAsia="宋体" w:cs="Times New Roman"/>
          <w:highlight w:val="none"/>
          <w:lang w:val="en" w:eastAsia="zh-CN"/>
        </w:rPr>
      </w:pPr>
      <w:bookmarkStart w:id="63" w:name="_Toc6239"/>
      <w:bookmarkStart w:id="64" w:name="_Toc17751"/>
      <w:bookmarkStart w:id="65" w:name="_Toc149731839"/>
      <w:r>
        <w:rPr>
          <w:rFonts w:hint="eastAsia" w:ascii="宋体" w:hAnsi="Times New Roman" w:eastAsia="宋体" w:cs="Times New Roman"/>
          <w:highlight w:val="none"/>
          <w:lang w:val="en" w:eastAsia="zh-CN"/>
        </w:rPr>
        <w:t>采集血浆后 72 小时内完成检测的标本可采用 2～8℃条件下运输，并最晚在血浆采集后次日运送至检测实验室。</w:t>
      </w:r>
    </w:p>
    <w:p>
      <w:pPr>
        <w:pStyle w:val="165"/>
        <w:ind w:firstLine="0"/>
        <w:rPr>
          <w:rFonts w:hint="eastAsia" w:asciiTheme="minorEastAsia" w:hAnsiTheme="minorEastAsia" w:cstheme="minorEastAsia"/>
          <w:color w:val="000000"/>
          <w:kern w:val="0"/>
          <w:sz w:val="21"/>
          <w:szCs w:val="21"/>
          <w:highlight w:val="none"/>
          <w:lang w:val="en"/>
        </w:rPr>
      </w:pPr>
      <w:r>
        <w:rPr>
          <w:rFonts w:hint="eastAsia" w:ascii="宋体" w:hAnsi="Times New Roman" w:eastAsia="宋体" w:cs="Times New Roman"/>
          <w:highlight w:val="none"/>
          <w:lang w:val="en-US" w:eastAsia="zh-CN"/>
        </w:rPr>
        <w:t>超过</w:t>
      </w:r>
      <w:r>
        <w:rPr>
          <w:rFonts w:hint="eastAsia" w:ascii="宋体" w:hAnsi="Times New Roman" w:eastAsia="宋体" w:cs="Times New Roman"/>
          <w:highlight w:val="none"/>
          <w:lang w:val="en" w:eastAsia="zh-CN"/>
        </w:rPr>
        <w:t>72 小时检测的标本应</w:t>
      </w:r>
      <w:r>
        <w:rPr>
          <w:rFonts w:hint="eastAsia" w:ascii="宋体" w:hAnsi="Times New Roman" w:eastAsia="宋体" w:cs="Times New Roman"/>
          <w:highlight w:val="none"/>
          <w:lang w:val="en-US" w:eastAsia="zh-CN"/>
        </w:rPr>
        <w:t>在</w:t>
      </w:r>
      <w:r>
        <w:rPr>
          <w:rFonts w:hint="eastAsia" w:ascii="宋体" w:hAnsi="Times New Roman" w:eastAsia="宋体" w:cs="Times New Roman"/>
          <w:highlight w:val="none"/>
          <w:lang w:val="en" w:eastAsia="zh-CN"/>
        </w:rPr>
        <w:t>-20℃以下冻存，以冷冻状态运输。</w:t>
      </w:r>
    </w:p>
    <w:bookmarkEnd w:id="63"/>
    <w:bookmarkEnd w:id="64"/>
    <w:bookmarkEnd w:id="65"/>
    <w:p>
      <w:pPr>
        <w:pStyle w:val="104"/>
        <w:spacing w:before="312" w:after="312"/>
        <w:rPr>
          <w:rStyle w:val="234"/>
          <w:rFonts w:hint="default"/>
          <w:lang w:val="en-US" w:eastAsia="zh-CN"/>
        </w:rPr>
      </w:pPr>
      <w:r>
        <w:rPr>
          <w:rFonts w:hint="eastAsia"/>
          <w:highlight w:val="none"/>
          <w:lang w:eastAsia="zh-CN"/>
        </w:rPr>
        <w:t>检测项目和方法</w:t>
      </w:r>
      <w:bookmarkStart w:id="66" w:name="_Toc20922"/>
      <w:bookmarkStart w:id="67" w:name="_Toc149731840"/>
      <w:bookmarkStart w:id="68" w:name="_Toc8111"/>
    </w:p>
    <w:p>
      <w:pPr>
        <w:pStyle w:val="162"/>
        <w:bidi w:val="0"/>
        <w:rPr>
          <w:rFonts w:hint="eastAsia" w:ascii="宋体" w:hAnsi="Times New Roman" w:eastAsia="宋体" w:cs="Times New Roman"/>
          <w:lang w:val="en-US" w:eastAsia="zh-CN"/>
        </w:rPr>
      </w:pPr>
      <w:r>
        <w:rPr>
          <w:rFonts w:hint="eastAsia" w:ascii="宋体" w:hAnsi="Times New Roman" w:eastAsia="宋体" w:cs="Times New Roman"/>
          <w:lang w:val="en-US" w:eastAsia="zh-CN"/>
        </w:rPr>
        <w:t>实验室至少应对原料血浆开展以下检测项目：</w:t>
      </w:r>
    </w:p>
    <w:p>
      <w:pPr>
        <w:pStyle w:val="174"/>
        <w:numPr>
          <w:ilvl w:val="0"/>
          <w:numId w:val="0"/>
        </w:numPr>
        <w:bidi w:val="0"/>
        <w:ind w:firstLine="420" w:firstLineChars="200"/>
        <w:rPr>
          <w:rStyle w:val="234"/>
          <w:rFonts w:hint="default"/>
          <w:lang w:val="en-US" w:eastAsia="zh-CN"/>
        </w:rPr>
      </w:pPr>
      <w:r>
        <w:rPr>
          <w:rStyle w:val="234"/>
          <w:rFonts w:hint="default"/>
          <w:lang w:val="en" w:eastAsia="zh-CN"/>
        </w:rPr>
        <w:t xml:space="preserve">a)   </w:t>
      </w:r>
      <w:r>
        <w:rPr>
          <w:rStyle w:val="234"/>
          <w:rFonts w:hint="eastAsia"/>
          <w:lang w:val="en-US" w:eastAsia="zh-CN"/>
        </w:rPr>
        <w:t>血清/血浆总蛋白含量；</w:t>
      </w:r>
    </w:p>
    <w:p>
      <w:pPr>
        <w:pStyle w:val="174"/>
        <w:bidi w:val="0"/>
        <w:rPr>
          <w:rStyle w:val="234"/>
          <w:rFonts w:hint="default"/>
          <w:lang w:val="en-US" w:eastAsia="zh-CN"/>
        </w:rPr>
      </w:pPr>
      <w:r>
        <w:rPr>
          <w:rStyle w:val="234"/>
          <w:rFonts w:hint="eastAsia"/>
          <w:lang w:val="en-US" w:eastAsia="zh-CN"/>
        </w:rPr>
        <w:t xml:space="preserve">丙氨酸氨基转移酶（ALT）； </w:t>
      </w:r>
    </w:p>
    <w:p>
      <w:pPr>
        <w:pStyle w:val="174"/>
        <w:bidi w:val="0"/>
        <w:rPr>
          <w:rStyle w:val="234"/>
          <w:rFonts w:hint="default"/>
          <w:lang w:val="en-US" w:eastAsia="zh-CN"/>
        </w:rPr>
      </w:pPr>
      <w:r>
        <w:rPr>
          <w:rStyle w:val="234"/>
          <w:rFonts w:hint="eastAsia"/>
          <w:lang w:val="en-US" w:eastAsia="zh-CN"/>
        </w:rPr>
        <w:t>乙型肝炎病毒表面抗原（HBsAg）；</w:t>
      </w:r>
    </w:p>
    <w:p>
      <w:pPr>
        <w:pStyle w:val="174"/>
        <w:bidi w:val="0"/>
        <w:rPr>
          <w:rStyle w:val="234"/>
          <w:rFonts w:hint="default"/>
          <w:lang w:val="en-US" w:eastAsia="zh-CN"/>
        </w:rPr>
      </w:pPr>
      <w:r>
        <w:rPr>
          <w:rStyle w:val="234"/>
          <w:rFonts w:hint="eastAsia"/>
          <w:lang w:val="en-US" w:eastAsia="zh-CN"/>
        </w:rPr>
        <w:t>丙型肝炎病毒抗体（HCV抗体）；</w:t>
      </w:r>
    </w:p>
    <w:p>
      <w:pPr>
        <w:pStyle w:val="174"/>
        <w:bidi w:val="0"/>
        <w:rPr>
          <w:rStyle w:val="234"/>
          <w:rFonts w:hint="default"/>
          <w:lang w:val="en-US" w:eastAsia="zh-CN"/>
        </w:rPr>
      </w:pPr>
      <w:r>
        <w:rPr>
          <w:rStyle w:val="234"/>
          <w:rFonts w:hint="eastAsia"/>
          <w:lang w:val="en-US" w:eastAsia="zh-CN"/>
        </w:rPr>
        <w:t xml:space="preserve">人类免疫缺陷病毒（HIV-1和HIV-2）抗体或抗原抗体联合检测； </w:t>
      </w:r>
    </w:p>
    <w:p>
      <w:pPr>
        <w:pStyle w:val="174"/>
        <w:bidi w:val="0"/>
        <w:rPr>
          <w:rStyle w:val="234"/>
          <w:rFonts w:hint="default"/>
          <w:lang w:val="en-US" w:eastAsia="zh-CN"/>
        </w:rPr>
      </w:pPr>
      <w:r>
        <w:rPr>
          <w:rStyle w:val="234"/>
          <w:rFonts w:hint="eastAsia"/>
          <w:lang w:val="en-US" w:eastAsia="zh-CN"/>
        </w:rPr>
        <w:t>梅毒螺旋体(TP)抗体；</w:t>
      </w:r>
    </w:p>
    <w:p>
      <w:pPr>
        <w:pStyle w:val="174"/>
        <w:bidi w:val="0"/>
        <w:rPr>
          <w:rStyle w:val="234"/>
          <w:rFonts w:hint="default"/>
          <w:lang w:val="en-US" w:eastAsia="zh-CN"/>
        </w:rPr>
      </w:pPr>
      <w:r>
        <w:rPr>
          <w:rStyle w:val="234"/>
          <w:rFonts w:hint="eastAsia"/>
          <w:lang w:val="en-US" w:eastAsia="zh-CN"/>
        </w:rPr>
        <w:t>开展特免等其他检测项目的可通过委托检测协议规定。</w:t>
      </w:r>
    </w:p>
    <w:p>
      <w:pPr>
        <w:pStyle w:val="162"/>
        <w:bidi w:val="0"/>
        <w:rPr>
          <w:rFonts w:hint="eastAsia" w:ascii="宋体" w:hAnsi="Times New Roman" w:eastAsia="宋体" w:cs="Times New Roman"/>
          <w:lang w:val="en-US" w:eastAsia="zh-CN"/>
        </w:rPr>
      </w:pPr>
      <w:r>
        <w:rPr>
          <w:rFonts w:hint="eastAsia" w:ascii="宋体" w:hAnsi="Times New Roman" w:eastAsia="宋体" w:cs="Times New Roman"/>
          <w:lang w:val="en-US" w:eastAsia="zh-CN"/>
        </w:rPr>
        <w:t>检测方法应符合《单采血浆站技术操作规程》的相关要求，宜选取检测窗口期较短、灵敏度较高的检测试剂和检测方法。</w:t>
      </w:r>
    </w:p>
    <w:p>
      <w:pPr>
        <w:pStyle w:val="162"/>
        <w:bidi w:val="0"/>
        <w:rPr>
          <w:rFonts w:hint="eastAsia" w:ascii="宋体" w:hAnsi="Times New Roman" w:eastAsia="宋体" w:cs="Times New Roman"/>
          <w:lang w:val="en-US" w:eastAsia="zh-CN"/>
        </w:rPr>
      </w:pPr>
      <w:r>
        <w:rPr>
          <w:rFonts w:hint="eastAsia" w:ascii="宋体" w:hAnsi="Times New Roman" w:eastAsia="宋体" w:cs="Times New Roman"/>
          <w:lang w:val="en-US" w:eastAsia="zh-CN"/>
        </w:rPr>
        <w:t>实验室应根据地方传染病流行状况和卫生健康行政部门的要求增加地方性、时限性血液检测项目。</w:t>
      </w:r>
    </w:p>
    <w:bookmarkEnd w:id="66"/>
    <w:bookmarkEnd w:id="67"/>
    <w:bookmarkEnd w:id="68"/>
    <w:p>
      <w:pPr>
        <w:pStyle w:val="104"/>
        <w:spacing w:before="312" w:after="312"/>
      </w:pPr>
      <w:r>
        <w:rPr>
          <w:rFonts w:hint="eastAsia" w:ascii="黑体" w:hAnsi="Times New Roman" w:eastAsia="黑体" w:cs="Times New Roman"/>
          <w:b w:val="0"/>
          <w:bCs w:val="0"/>
          <w:kern w:val="0"/>
          <w:sz w:val="21"/>
          <w:szCs w:val="21"/>
          <w:lang w:eastAsia="zh-CN"/>
        </w:rPr>
        <w:t>信息化和档案管理要求</w:t>
      </w:r>
    </w:p>
    <w:p>
      <w:pPr>
        <w:pStyle w:val="105"/>
        <w:spacing w:before="156" w:after="156"/>
      </w:pPr>
      <w:r>
        <w:rPr>
          <w:rFonts w:hint="eastAsia" w:ascii="黑体" w:hAnsi="Times New Roman" w:eastAsia="黑体" w:cs="Times New Roman"/>
          <w:b w:val="0"/>
          <w:bCs w:val="0"/>
          <w:kern w:val="0"/>
          <w:sz w:val="21"/>
          <w:szCs w:val="21"/>
          <w:lang w:val="en-US" w:eastAsia="zh-CN"/>
        </w:rPr>
        <w:t>信息化建设</w:t>
      </w:r>
    </w:p>
    <w:p>
      <w:pPr>
        <w:pStyle w:val="165"/>
        <w:ind w:firstLine="0"/>
        <w:rPr>
          <w:rFonts w:hint="eastAsia" w:ascii="宋体" w:hAnsi="Times New Roman" w:eastAsia="宋体" w:cs="Times New Roman"/>
          <w:highlight w:val="none"/>
          <w:lang w:val="en-US" w:eastAsia="zh-CN"/>
        </w:rPr>
      </w:pPr>
      <w:bookmarkStart w:id="69" w:name="_Toc9094"/>
      <w:bookmarkStart w:id="70" w:name="_Toc149731854"/>
      <w:bookmarkStart w:id="71" w:name="_Toc10603"/>
      <w:r>
        <w:rPr>
          <w:rFonts w:hint="eastAsia" w:ascii="宋体" w:hAnsi="Times New Roman" w:eastAsia="宋体" w:cs="Times New Roman"/>
        </w:rPr>
        <w:t>实</w:t>
      </w:r>
      <w:r>
        <w:rPr>
          <w:rFonts w:hint="eastAsia" w:ascii="宋体" w:hAnsi="Times New Roman" w:eastAsia="宋体" w:cs="Times New Roman"/>
          <w:highlight w:val="none"/>
          <w:lang w:val="en" w:eastAsia="zh-CN"/>
        </w:rPr>
        <w:t>验室应建立信息管理系统，功能应符合《单采血浆站实验室质量管理规范》和</w:t>
      </w:r>
      <w:r>
        <w:rPr>
          <w:rFonts w:hint="eastAsia" w:ascii="宋体" w:hAnsi="Times New Roman" w:eastAsia="宋体" w:cs="Times New Roman"/>
          <w:highlight w:val="none"/>
          <w:lang w:val="en-US" w:eastAsia="zh-CN"/>
        </w:rPr>
        <w:t>WS 786</w:t>
      </w:r>
      <w:r>
        <w:rPr>
          <w:rFonts w:hint="eastAsia" w:ascii="宋体" w:hAnsi="Times New Roman" w:eastAsia="宋体" w:cs="Times New Roman"/>
          <w:highlight w:val="none"/>
          <w:lang w:val="en" w:eastAsia="zh-CN"/>
        </w:rPr>
        <w:t>等关于信息系统的要求，实现血浆检测全</w:t>
      </w:r>
      <w:r>
        <w:rPr>
          <w:rFonts w:hint="eastAsia" w:ascii="宋体" w:hAnsi="Times New Roman" w:eastAsia="宋体" w:cs="Times New Roman"/>
          <w:highlight w:val="none"/>
          <w:lang w:val="zh-TW" w:eastAsia="zh-TW"/>
        </w:rPr>
        <w:t>过</w:t>
      </w:r>
      <w:r>
        <w:rPr>
          <w:rFonts w:hint="eastAsia" w:ascii="宋体" w:hAnsi="Times New Roman" w:eastAsia="宋体" w:cs="Times New Roman"/>
          <w:highlight w:val="none"/>
          <w:lang w:val="en" w:eastAsia="zh-CN"/>
        </w:rPr>
        <w:t>程可追溯、可</w:t>
      </w:r>
      <w:r>
        <w:rPr>
          <w:rFonts w:hint="eastAsia" w:ascii="宋体" w:hAnsi="Times New Roman" w:eastAsia="宋体" w:cs="Times New Roman"/>
          <w:highlight w:val="none"/>
          <w:lang w:val="en-US" w:eastAsia="zh-CN"/>
        </w:rPr>
        <w:t>控制。</w:t>
      </w:r>
    </w:p>
    <w:p>
      <w:pPr>
        <w:pStyle w:val="165"/>
        <w:ind w:firstLine="0"/>
        <w:rPr>
          <w:rFonts w:hint="eastAsia" w:ascii="宋体" w:hAnsi="Times New Roman" w:eastAsia="宋体" w:cs="Times New Roman"/>
          <w:highlight w:val="none"/>
          <w:lang w:val="en-US" w:eastAsia="zh-CN"/>
        </w:rPr>
      </w:pPr>
      <w:r>
        <w:rPr>
          <w:rFonts w:hint="eastAsia" w:ascii="宋体" w:hAnsi="Times New Roman" w:eastAsia="宋体" w:cs="Times New Roman"/>
          <w:highlight w:val="none"/>
          <w:lang w:val="en-US" w:eastAsia="zh-CN"/>
        </w:rPr>
        <w:t>信息管理系统应与送检方联网，满足标本信息和检测结果等信息的交换和传输需要。</w:t>
      </w:r>
    </w:p>
    <w:p>
      <w:pPr>
        <w:pStyle w:val="165"/>
        <w:ind w:firstLine="0"/>
        <w:rPr>
          <w:rFonts w:hint="eastAsia" w:ascii="宋体" w:hAnsi="Times New Roman" w:eastAsia="宋体" w:cs="Times New Roman"/>
          <w:highlight w:val="none"/>
          <w:lang w:val="en-US" w:eastAsia="zh-CN"/>
        </w:rPr>
      </w:pPr>
      <w:r>
        <w:rPr>
          <w:rFonts w:hint="eastAsia" w:ascii="宋体" w:hAnsi="Times New Roman" w:eastAsia="宋体" w:cs="Times New Roman"/>
          <w:highlight w:val="none"/>
          <w:lang w:val="en-US" w:eastAsia="zh-CN"/>
        </w:rPr>
        <w:t>信息管理系统应具备根据检测时间、标本来源、检测项目及检测结果等条件对试验数据汇总与分析的功能。</w:t>
      </w:r>
    </w:p>
    <w:p>
      <w:pPr>
        <w:pStyle w:val="165"/>
        <w:ind w:firstLine="0"/>
        <w:rPr>
          <w:rFonts w:hint="eastAsia" w:ascii="宋体" w:hAnsi="Times New Roman" w:eastAsia="宋体" w:cs="Times New Roman"/>
          <w:highlight w:val="none"/>
          <w:lang w:val="en-US" w:eastAsia="zh-CN"/>
        </w:rPr>
      </w:pPr>
      <w:r>
        <w:rPr>
          <w:rFonts w:hint="eastAsia" w:ascii="宋体" w:hAnsi="Times New Roman" w:eastAsia="宋体" w:cs="Times New Roman"/>
          <w:highlight w:val="none"/>
          <w:lang w:val="en-US" w:eastAsia="zh-CN"/>
        </w:rPr>
        <w:t>信息管理系统应通过网络安全二级（或以上）等级保护测评。</w:t>
      </w:r>
    </w:p>
    <w:p>
      <w:pPr>
        <w:pStyle w:val="165"/>
        <w:ind w:firstLine="0"/>
        <w:rPr>
          <w:rFonts w:hint="eastAsia" w:ascii="宋体" w:hAnsi="Times New Roman" w:eastAsia="宋体" w:cs="Times New Roman"/>
          <w:highlight w:val="none"/>
          <w:lang w:val="en-US" w:eastAsia="zh-CN"/>
        </w:rPr>
      </w:pPr>
      <w:r>
        <w:rPr>
          <w:rFonts w:hint="eastAsia" w:ascii="宋体" w:hAnsi="Times New Roman" w:eastAsia="宋体" w:cs="Times New Roman"/>
          <w:highlight w:val="none"/>
          <w:lang w:val="en-US" w:eastAsia="zh-CN"/>
        </w:rPr>
        <w:t>信息管理系统投入使用前，应对相关功能进行验证，内容至少包括信息交换与传输、数据备份与还原、账户与权限管理等。</w:t>
      </w:r>
    </w:p>
    <w:bookmarkEnd w:id="69"/>
    <w:bookmarkEnd w:id="70"/>
    <w:bookmarkEnd w:id="71"/>
    <w:p>
      <w:pPr>
        <w:pStyle w:val="105"/>
        <w:spacing w:before="156" w:after="156"/>
      </w:pPr>
      <w:r>
        <w:rPr>
          <w:rFonts w:hint="eastAsia" w:ascii="黑体" w:hAnsi="Times New Roman" w:eastAsia="黑体" w:cs="Times New Roman"/>
          <w:b w:val="0"/>
          <w:bCs w:val="0"/>
          <w:kern w:val="0"/>
          <w:sz w:val="21"/>
          <w:szCs w:val="21"/>
          <w:lang w:val="en" w:eastAsia="zh-CN"/>
        </w:rPr>
        <w:t xml:space="preserve"> 档案管理要求</w:t>
      </w:r>
    </w:p>
    <w:p>
      <w:pPr>
        <w:pStyle w:val="165"/>
        <w:ind w:firstLine="0"/>
        <w:rPr>
          <w:rFonts w:hint="eastAsia" w:ascii="宋体" w:hAnsi="Times New Roman" w:eastAsia="宋体" w:cs="Times New Roman"/>
          <w:highlight w:val="none"/>
          <w:lang w:val="en" w:eastAsia="zh-CN"/>
        </w:rPr>
      </w:pPr>
      <w:bookmarkStart w:id="72" w:name="_Toc149731856"/>
      <w:r>
        <w:rPr>
          <w:rFonts w:hint="eastAsia" w:ascii="宋体" w:hAnsi="Times New Roman" w:eastAsia="宋体" w:cs="Times New Roman"/>
          <w:highlight w:val="none"/>
          <w:lang w:val="en" w:eastAsia="zh-CN"/>
        </w:rPr>
        <w:t>应设置专门的业务档案存放场所并指定专人管理。</w:t>
      </w:r>
    </w:p>
    <w:p>
      <w:pPr>
        <w:pStyle w:val="165"/>
        <w:ind w:firstLine="0"/>
        <w:rPr>
          <w:rFonts w:hint="eastAsia" w:ascii="宋体" w:hAnsi="Times New Roman" w:eastAsia="宋体" w:cs="Times New Roman"/>
          <w:highlight w:val="none"/>
          <w:lang w:val="en" w:eastAsia="zh-CN"/>
        </w:rPr>
      </w:pPr>
      <w:r>
        <w:rPr>
          <w:rFonts w:hint="eastAsia" w:ascii="宋体" w:hAnsi="Times New Roman" w:eastAsia="宋体" w:cs="Times New Roman"/>
          <w:highlight w:val="none"/>
          <w:lang w:val="en" w:eastAsia="zh-CN"/>
        </w:rPr>
        <w:t>档案内容应涵盖与实验室集中化检测活动有关的原始记录、数据和文件资料。</w:t>
      </w:r>
    </w:p>
    <w:p>
      <w:pPr>
        <w:pStyle w:val="165"/>
        <w:ind w:firstLine="0"/>
        <w:rPr>
          <w:rFonts w:hint="eastAsia" w:ascii="宋体" w:hAnsi="Times New Roman" w:eastAsia="宋体" w:cs="Times New Roman"/>
          <w:highlight w:val="none"/>
          <w:lang w:val="en" w:eastAsia="zh-CN"/>
        </w:rPr>
      </w:pPr>
      <w:r>
        <w:rPr>
          <w:rFonts w:hint="eastAsia" w:ascii="宋体" w:hAnsi="Times New Roman" w:eastAsia="宋体" w:cs="Times New Roman"/>
          <w:highlight w:val="none"/>
          <w:lang w:val="en-US" w:eastAsia="zh-CN"/>
        </w:rPr>
        <w:t>实验室和档案管理部门</w:t>
      </w:r>
      <w:r>
        <w:rPr>
          <w:rFonts w:hint="eastAsia" w:ascii="宋体" w:hAnsi="Times New Roman" w:eastAsia="宋体" w:cs="Times New Roman"/>
          <w:highlight w:val="none"/>
          <w:lang w:val="en" w:eastAsia="zh-CN"/>
        </w:rPr>
        <w:t>应对血浆标本信息、检测结果等内容保密，相关管理和技术人员应签署保密责任书，防止相关信息泄露。</w:t>
      </w:r>
    </w:p>
    <w:p>
      <w:pPr>
        <w:pStyle w:val="104"/>
        <w:spacing w:before="312" w:after="312"/>
        <w:rPr>
          <w:rFonts w:hint="eastAsia" w:ascii="黑体" w:hAnsi="Times New Roman" w:eastAsia="黑体" w:cs="Times New Roman"/>
          <w:b w:val="0"/>
          <w:bCs w:val="0"/>
          <w:kern w:val="0"/>
          <w:sz w:val="21"/>
          <w:szCs w:val="21"/>
          <w:lang w:eastAsia="zh-CN"/>
        </w:rPr>
      </w:pPr>
      <w:r>
        <w:rPr>
          <w:rFonts w:hint="eastAsia" w:ascii="黑体" w:hAnsi="Times New Roman" w:eastAsia="黑体" w:cs="Times New Roman"/>
          <w:b w:val="0"/>
          <w:bCs w:val="0"/>
          <w:kern w:val="0"/>
          <w:sz w:val="21"/>
          <w:szCs w:val="21"/>
          <w:lang w:eastAsia="zh-CN"/>
        </w:rPr>
        <w:t>安全卫生和应急要求</w:t>
      </w:r>
    </w:p>
    <w:p>
      <w:pPr>
        <w:pStyle w:val="162"/>
        <w:bidi w:val="0"/>
        <w:rPr>
          <w:rFonts w:hint="eastAsia" w:ascii="宋体" w:hAnsi="Times New Roman" w:eastAsia="宋体" w:cs="Times New Roman"/>
          <w:lang w:val="en-US" w:eastAsia="zh-CN"/>
        </w:rPr>
      </w:pPr>
      <w:r>
        <w:rPr>
          <w:rFonts w:hint="eastAsia" w:ascii="宋体" w:hAnsi="Times New Roman" w:eastAsia="宋体" w:cs="Times New Roman"/>
          <w:lang w:val="en-US" w:eastAsia="zh-CN"/>
        </w:rPr>
        <w:t>实验室应按照环境保护、职业防护和生物安全等相关要求，实施安全与卫生管理，保证工作场所的安全与卫生。</w:t>
      </w:r>
    </w:p>
    <w:p>
      <w:pPr>
        <w:pStyle w:val="162"/>
        <w:bidi w:val="0"/>
        <w:rPr>
          <w:rFonts w:hint="eastAsia" w:ascii="宋体" w:hAnsi="Times New Roman" w:eastAsia="宋体" w:cs="Times New Roman"/>
          <w:lang w:val="en-US" w:eastAsia="zh-CN"/>
        </w:rPr>
      </w:pPr>
      <w:r>
        <w:rPr>
          <w:rFonts w:hint="eastAsia" w:ascii="宋体" w:hAnsi="Times New Roman" w:eastAsia="宋体" w:cs="Times New Roman"/>
          <w:lang w:val="en-US" w:eastAsia="zh-CN"/>
        </w:rPr>
        <w:t>定期组织工作人员，开展有关突发事件的模拟演练。</w:t>
      </w:r>
    </w:p>
    <w:p>
      <w:pPr>
        <w:pStyle w:val="162"/>
        <w:bidi w:val="0"/>
        <w:rPr>
          <w:rFonts w:hint="eastAsia" w:ascii="宋体" w:hAnsi="Times New Roman" w:eastAsia="宋体" w:cs="Times New Roman"/>
          <w:lang w:val="en-US" w:eastAsia="zh-CN"/>
        </w:rPr>
      </w:pPr>
      <w:r>
        <w:rPr>
          <w:rFonts w:hint="eastAsia" w:ascii="宋体" w:hAnsi="Times New Roman" w:eastAsia="宋体" w:cs="Times New Roman"/>
          <w:lang w:val="en-US" w:eastAsia="zh-CN"/>
        </w:rPr>
        <w:t>业务区应控制外来人员进入，外来人员应经登记授权后方可进入，限制非授权人员进入实验室。</w:t>
      </w:r>
    </w:p>
    <w:p>
      <w:pPr>
        <w:pStyle w:val="162"/>
        <w:bidi w:val="0"/>
        <w:rPr>
          <w:rFonts w:hint="eastAsia" w:ascii="宋体" w:hAnsi="Times New Roman" w:eastAsia="宋体" w:cs="Times New Roman"/>
          <w:lang w:val="en-US" w:eastAsia="zh-CN"/>
        </w:rPr>
      </w:pPr>
      <w:r>
        <w:rPr>
          <w:rFonts w:hint="eastAsia" w:ascii="宋体" w:hAnsi="Times New Roman" w:eastAsia="宋体" w:cs="Times New Roman"/>
          <w:lang w:val="en-US" w:eastAsia="zh-CN"/>
        </w:rPr>
        <w:t>配备充足有效的安全卫生、防护和急救设备设施，按WS 589要求设置安全警示标识。</w:t>
      </w:r>
    </w:p>
    <w:p>
      <w:pPr>
        <w:pStyle w:val="162"/>
        <w:bidi w:val="0"/>
        <w:rPr>
          <w:rFonts w:hint="eastAsia" w:ascii="宋体" w:hAnsi="Times New Roman" w:eastAsia="宋体" w:cs="Times New Roman"/>
          <w:lang w:val="en-US" w:eastAsia="zh-CN"/>
        </w:rPr>
      </w:pPr>
      <w:r>
        <w:rPr>
          <w:rFonts w:hint="eastAsia" w:ascii="宋体" w:hAnsi="Times New Roman" w:eastAsia="宋体" w:cs="Times New Roman"/>
          <w:lang w:val="en-US" w:eastAsia="zh-CN"/>
        </w:rPr>
        <w:t>医疗废物收集和处置应按《医疗废物管理条例》的规定执行。</w:t>
      </w:r>
    </w:p>
    <w:p>
      <w:pPr>
        <w:pStyle w:val="104"/>
        <w:spacing w:before="312" w:after="312"/>
        <w:rPr>
          <w:rFonts w:hint="default" w:ascii="黑体" w:hAnsi="Times New Roman" w:eastAsia="黑体" w:cs="Times New Roman"/>
          <w:b w:val="0"/>
          <w:bCs w:val="0"/>
          <w:kern w:val="0"/>
          <w:sz w:val="21"/>
          <w:szCs w:val="21"/>
          <w:lang w:val="en-US" w:eastAsia="zh-CN"/>
        </w:rPr>
      </w:pPr>
      <w:r>
        <w:rPr>
          <w:rFonts w:hint="eastAsia" w:ascii="黑体" w:hAnsi="Times New Roman" w:eastAsia="黑体" w:cs="Times New Roman"/>
          <w:b w:val="0"/>
          <w:bCs w:val="0"/>
          <w:kern w:val="0"/>
          <w:sz w:val="21"/>
          <w:szCs w:val="21"/>
          <w:lang w:val="en-US" w:eastAsia="zh-CN"/>
        </w:rPr>
        <w:t>质量管理要求</w:t>
      </w:r>
    </w:p>
    <w:p>
      <w:pPr>
        <w:pStyle w:val="162"/>
        <w:bidi w:val="0"/>
        <w:rPr>
          <w:rFonts w:hint="eastAsia" w:ascii="宋体" w:hAnsi="Times New Roman" w:eastAsia="宋体" w:cs="Times New Roman"/>
          <w:lang w:val="en-US" w:eastAsia="zh-CN"/>
        </w:rPr>
      </w:pPr>
      <w:r>
        <w:rPr>
          <w:rFonts w:hint="eastAsia" w:ascii="宋体" w:hAnsi="Times New Roman" w:eastAsia="宋体" w:cs="Times New Roman"/>
          <w:lang w:val="en-US" w:eastAsia="zh-CN"/>
        </w:rPr>
        <w:t>实验室应建立质量管理体系，实施质量监控和持续改进。</w:t>
      </w:r>
    </w:p>
    <w:p>
      <w:pPr>
        <w:pStyle w:val="162"/>
        <w:bidi w:val="0"/>
        <w:rPr>
          <w:rFonts w:hint="eastAsia" w:ascii="宋体" w:hAnsi="Times New Roman" w:eastAsia="宋体" w:cs="Times New Roman"/>
          <w:lang w:val="en-US" w:eastAsia="zh-CN"/>
        </w:rPr>
      </w:pPr>
      <w:r>
        <w:rPr>
          <w:rFonts w:hint="eastAsia" w:ascii="宋体" w:hAnsi="Times New Roman" w:eastAsia="宋体" w:cs="Times New Roman"/>
          <w:lang w:val="en-US" w:eastAsia="zh-CN"/>
        </w:rPr>
        <w:t>应参加省级及以上室间质量评价机构组织的室间质量评价工作，分析室间质量评价结果并提出改进措施。</w:t>
      </w:r>
    </w:p>
    <w:p>
      <w:pPr>
        <w:pStyle w:val="162"/>
        <w:bidi w:val="0"/>
        <w:rPr>
          <w:rFonts w:hint="eastAsia" w:ascii="宋体" w:hAnsi="Times New Roman" w:eastAsia="宋体" w:cs="Times New Roman"/>
          <w:lang w:val="en-US" w:eastAsia="zh-CN"/>
        </w:rPr>
      </w:pPr>
      <w:r>
        <w:rPr>
          <w:rFonts w:hint="eastAsia" w:ascii="宋体" w:hAnsi="Times New Roman" w:eastAsia="宋体" w:cs="Times New Roman"/>
          <w:lang w:val="en-US" w:eastAsia="zh-CN"/>
        </w:rPr>
        <w:t>应定期开展自检、管理评审，主动接受卫生健康行政部门的监督检查、技术审查和送检方所属的血液制品生产单位的质量监督和审核。</w:t>
      </w:r>
    </w:p>
    <w:p>
      <w:pPr>
        <w:pStyle w:val="162"/>
        <w:bidi w:val="0"/>
        <w:rPr>
          <w:rFonts w:hint="eastAsia" w:ascii="宋体" w:hAnsi="Times New Roman" w:eastAsia="宋体" w:cs="Times New Roman"/>
          <w:lang w:val="en-US" w:eastAsia="zh-CN"/>
        </w:rPr>
      </w:pPr>
      <w:r>
        <w:rPr>
          <w:rFonts w:hint="eastAsia" w:ascii="宋体" w:hAnsi="Times New Roman" w:eastAsia="宋体" w:cs="Times New Roman"/>
          <w:lang w:val="en-US" w:eastAsia="zh-CN"/>
        </w:rPr>
        <w:t>应制定实验室应急预案，明确在标本管理、检测过程、检测报告传输等关键环节和关键设备出现突发情况的应对处置措施。</w:t>
      </w:r>
    </w:p>
    <w:p>
      <w:pPr>
        <w:pStyle w:val="162"/>
        <w:bidi w:val="0"/>
        <w:rPr>
          <w:rFonts w:hint="eastAsia" w:ascii="宋体" w:hAnsi="Times New Roman" w:eastAsia="宋体" w:cs="Times New Roman"/>
          <w:lang w:val="en-US" w:eastAsia="zh-CN"/>
        </w:rPr>
      </w:pPr>
      <w:r>
        <w:rPr>
          <w:rFonts w:hint="eastAsia" w:ascii="宋体" w:hAnsi="Times New Roman" w:eastAsia="宋体" w:cs="Times New Roman"/>
          <w:lang w:val="en-US" w:eastAsia="zh-CN"/>
        </w:rPr>
        <w:t>发现重大质量问题时，应通报送检方并及时报告所在地卫生健康行政部门。</w:t>
      </w:r>
    </w:p>
    <w:p>
      <w:pPr>
        <w:pStyle w:val="165"/>
        <w:numPr>
          <w:ilvl w:val="3"/>
          <w:numId w:val="0"/>
        </w:numPr>
        <w:ind w:leftChars="0"/>
        <w:rPr>
          <w:rFonts w:hint="eastAsia" w:ascii="宋体" w:hAnsi="Times New Roman" w:eastAsia="宋体" w:cs="Times New Roman"/>
          <w:highlight w:val="none"/>
          <w:lang w:val="en" w:eastAsia="zh-CN"/>
        </w:rPr>
      </w:pPr>
    </w:p>
    <w:bookmarkEnd w:id="19"/>
    <w:bookmarkEnd w:id="72"/>
    <w:p>
      <w:pPr>
        <w:pStyle w:val="198"/>
        <w:rPr>
          <w:vanish w:val="0"/>
        </w:rPr>
      </w:pPr>
      <w:bookmarkStart w:id="73" w:name="BookMark5"/>
    </w:p>
    <w:p>
      <w:pPr>
        <w:pStyle w:val="199"/>
        <w:rPr>
          <w:vanish w:val="0"/>
        </w:rPr>
      </w:pPr>
    </w:p>
    <w:p>
      <w:pPr>
        <w:pStyle w:val="63"/>
        <w:spacing w:after="156"/>
      </w:pPr>
      <w:bookmarkStart w:id="74" w:name="_Toc26365"/>
      <w:bookmarkStart w:id="75" w:name="_Toc3271"/>
      <w:r>
        <w:rPr>
          <w:spacing w:val="105"/>
        </w:rPr>
        <w:t>参考文</w:t>
      </w:r>
      <w:r>
        <w:t>献</w:t>
      </w:r>
      <w:bookmarkEnd w:id="74"/>
      <w:bookmarkEnd w:id="75"/>
    </w:p>
    <w:p>
      <w:pPr>
        <w:pStyle w:val="56"/>
        <w:ind w:firstLine="420"/>
        <w:rPr>
          <w:rFonts w:hint="default" w:eastAsia="宋体"/>
          <w:lang w:val="en-US" w:eastAsia="zh-CN"/>
        </w:rPr>
      </w:pPr>
      <w:r>
        <w:rPr>
          <w:rFonts w:hint="eastAsia"/>
          <w:lang w:val="en-US" w:eastAsia="zh-CN"/>
        </w:rPr>
        <w:t xml:space="preserve">[1]  </w:t>
      </w:r>
      <w:r>
        <w:rPr>
          <w:rFonts w:hint="eastAsia" w:ascii="宋体" w:eastAsia="宋体"/>
          <w:lang w:val="en-US" w:eastAsia="zh-CN"/>
        </w:rPr>
        <w:t>单采血浆站实验室质量管理规范（国卫办医发〔2022〕3号）</w:t>
      </w:r>
    </w:p>
    <w:p>
      <w:pPr>
        <w:pStyle w:val="56"/>
        <w:ind w:firstLine="420"/>
        <w:rPr>
          <w:rFonts w:hint="eastAsia"/>
        </w:rPr>
      </w:pPr>
      <w:r>
        <w:rPr>
          <w:rFonts w:hint="eastAsia"/>
        </w:rPr>
        <w:t>[</w:t>
      </w:r>
      <w:r>
        <w:rPr>
          <w:rFonts w:hint="eastAsia"/>
          <w:lang w:val="en-US" w:eastAsia="zh-CN"/>
        </w:rPr>
        <w:t>2</w:t>
      </w:r>
      <w:r>
        <w:rPr>
          <w:rFonts w:hint="eastAsia"/>
        </w:rPr>
        <w:t xml:space="preserve">]  </w:t>
      </w:r>
      <w:r>
        <w:rPr>
          <w:rFonts w:hint="eastAsia" w:ascii="宋体" w:eastAsia="宋体"/>
          <w:lang w:val="en-US" w:eastAsia="zh-CN"/>
        </w:rPr>
        <w:t>单采血浆站技术操作规程（国卫办医函〔2022〕222号）</w:t>
      </w:r>
    </w:p>
    <w:p>
      <w:pPr>
        <w:pStyle w:val="56"/>
        <w:ind w:firstLine="420"/>
        <w:rPr>
          <w:rFonts w:hint="eastAsia"/>
        </w:rPr>
      </w:pPr>
      <w:r>
        <w:rPr>
          <w:rFonts w:hint="eastAsia"/>
        </w:rPr>
        <w:t>[</w:t>
      </w:r>
      <w:r>
        <w:rPr>
          <w:rFonts w:hint="eastAsia"/>
          <w:lang w:val="en-US" w:eastAsia="zh-CN"/>
        </w:rPr>
        <w:t>3</w:t>
      </w:r>
      <w:r>
        <w:rPr>
          <w:rFonts w:hint="eastAsia"/>
        </w:rPr>
        <w:t xml:space="preserve">]  </w:t>
      </w:r>
      <w:r>
        <w:rPr>
          <w:rFonts w:hint="eastAsia" w:ascii="宋体" w:eastAsia="宋体"/>
          <w:lang w:val="en-US" w:eastAsia="zh-CN"/>
        </w:rPr>
        <w:t>医疗废物管理条例 （中华人民共和国国务院令第380号）</w:t>
      </w:r>
    </w:p>
    <w:bookmarkEnd w:id="73"/>
    <w:p>
      <w:pPr>
        <w:jc w:val="center"/>
        <w:rPr>
          <w:rFonts w:ascii="宋体" w:hAnsi="Times New Roman"/>
          <w:szCs w:val="20"/>
        </w:rPr>
      </w:pPr>
      <w:bookmarkStart w:id="76" w:name="BookMark8"/>
      <w:r>
        <w:rPr>
          <w:rFonts w:ascii="宋体" w:hAnsi="Times New Roman"/>
          <w:szCs w:val="20"/>
        </w:rPr>
        <w:drawing>
          <wp:inline distT="0" distB="0" distL="0" distR="0">
            <wp:extent cx="1485900" cy="317500"/>
            <wp:effectExtent l="0" t="0" r="0" b="6350"/>
            <wp:docPr id="10" name="图片 10"/>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a:blip r:embed="rId18">
                      <a:extLst>
                        <a:ext uri="{28A0092B-C50C-407E-A947-70E740481C1C}">
                          <a14:useLocalDpi xmlns:a14="http://schemas.microsoft.com/office/drawing/2010/main" val="false"/>
                        </a:ext>
                      </a:extLst>
                    </a:blip>
                    <a:stretch>
                      <a:fillRect/>
                    </a:stretch>
                  </pic:blipFill>
                  <pic:spPr>
                    <a:xfrm>
                      <a:off x="0" y="0"/>
                      <a:ext cx="1485900" cy="317500"/>
                    </a:xfrm>
                    <a:prstGeom prst="rect">
                      <a:avLst/>
                    </a:prstGeom>
                  </pic:spPr>
                </pic:pic>
              </a:graphicData>
            </a:graphic>
          </wp:inline>
        </w:drawing>
      </w:r>
      <w:bookmarkEnd w:id="76"/>
    </w:p>
    <w:sectPr>
      <w:headerReference r:id="rId12" w:type="default"/>
      <w:footerReference r:id="rId14" w:type="default"/>
      <w:headerReference r:id="rId13" w:type="even"/>
      <w:footerReference r:id="rId15" w:type="even"/>
      <w:pgSz w:w="11906" w:h="16838"/>
      <w:pgMar w:top="1928" w:right="1134" w:bottom="1134" w:left="1134" w:header="1418" w:footer="1134" w:gutter="284"/>
      <w:pgNumType w:fmt="decimal"/>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0000000000000000000"/>
    <w:charset w:val="86"/>
    <w:family w:val="auto"/>
    <w:pitch w:val="default"/>
    <w:sig w:usb0="00000000" w:usb1="00000000" w:usb2="00000000" w:usb3="00000000" w:csb0="00000000"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圆B5"/>
    <w:panose1 w:val="02010600030101010101"/>
    <w:charset w:val="86"/>
    <w:family w:val="auto"/>
    <w:pitch w:val="default"/>
    <w:sig w:usb0="00000000" w:usb1="00000000" w:usb2="00000016" w:usb3="00000000" w:csb0="0004000F" w:csb1="00000000"/>
  </w:font>
  <w:font w:name="等线 Light">
    <w:altName w:val="汉仪中圆B5"/>
    <w:panose1 w:val="02010600030101010101"/>
    <w:charset w:val="86"/>
    <w:family w:val="auto"/>
    <w:pitch w:val="default"/>
    <w:sig w:usb0="00000000" w:usb1="00000000" w:usb2="00000016" w:usb3="00000000" w:csb0="0004000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DejaVu Math TeX Gyre">
    <w:panose1 w:val="02000503000000000000"/>
    <w:charset w:val="00"/>
    <w:family w:val="auto"/>
    <w:pitch w:val="default"/>
    <w:sig w:usb0="A10000EF" w:usb1="4201F9EE" w:usb2="02000000" w:usb3="00000000" w:csb0="60000193" w:csb1="0DD40000"/>
  </w:font>
  <w:font w:name="Noto Sans CJK JP Bold">
    <w:panose1 w:val="020B0800000000000000"/>
    <w:charset w:val="86"/>
    <w:family w:val="auto"/>
    <w:pitch w:val="default"/>
    <w:sig w:usb0="30000003" w:usb1="2BDF3C10" w:usb2="00000016" w:usb3="00000000" w:csb0="602E0107" w:csb1="00000000"/>
  </w:font>
  <w:font w:name="等线">
    <w:altName w:val="汉仪仿宋S"/>
    <w:panose1 w:val="00000000000000000000"/>
    <w:charset w:val="00"/>
    <w:family w:val="auto"/>
    <w:pitch w:val="default"/>
    <w:sig w:usb0="00000000" w:usb1="00000000" w:usb2="00000000" w:usb3="00000000" w:csb0="00000000" w:csb1="00000000"/>
  </w:font>
  <w:font w:name="汉仪仿宋S">
    <w:panose1 w:val="00020600040101000101"/>
    <w:charset w:val="86"/>
    <w:family w:val="auto"/>
    <w:pitch w:val="default"/>
    <w:sig w:usb0="A00002BF" w:usb1="38CF7CFA" w:usb2="00000016" w:usb3="00000000" w:csb0="0004009F"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tabs>
        <w:tab w:val="left" w:pos="3470"/>
        <w:tab w:val="right" w:pos="9247"/>
      </w:tabs>
      <w:jc w:val="left"/>
    </w:pPr>
    <w:r>
      <w:rPr>
        <w:sz w:val="18"/>
      </w:rP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Paf7QUdAgAAKwQAAA4AAAAAAAAAAQAgAAAANQEAAGRycy9lMm9Eb2MueG1sUEsF&#10;BgAAAAAGAAYAWQEAAMQFA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rPr>
        <w:sz w:val="18"/>
      </w:rP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Crcv4UdAgAAKwQAAA4AAAAAAAAAAQAgAAAANQEAAGRycy9lMm9Eb2MueG1sUEsF&#10;BgAAAAAGAAYAWQEAAMQFA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rPr>
        <w:rFonts w:hint="default"/>
        <w:lang w:val="en-US" w:eastAsia="zh-CN"/>
      </w:rPr>
    </w:pPr>
    <w:r>
      <w:rPr>
        <w:sz w:val="18"/>
      </w:rPr>
      <mc:AlternateContent>
        <mc:Choice Requires="wps">
          <w:drawing>
            <wp:anchor distT="0" distB="0" distL="114300" distR="114300" simplePos="0" relativeHeight="251672576" behindDoc="0" locked="0" layoutInCell="1" allowOverlap="1">
              <wp:simplePos x="0" y="0"/>
              <wp:positionH relativeFrom="margin">
                <wp:align>outside</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257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AQdMEAdAgAAKwQAAA4AAAAAAAAAAQAgAAAANQEAAGRycy9lMm9Eb2MueG1sUEsF&#10;BgAAAAAGAAYAWQEAAMQFA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val="en-US" w:eastAsia="zh-CN"/>
      </w:rPr>
      <w:t>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rPr>
        <w:sz w:val="18"/>
      </w:rPr>
      <mc:AlternateContent>
        <mc:Choice Requires="wps">
          <w:drawing>
            <wp:anchor distT="0" distB="0" distL="114300" distR="114300" simplePos="0" relativeHeight="251673600" behindDoc="0" locked="0" layoutInCell="1" allowOverlap="1">
              <wp:simplePos x="0" y="0"/>
              <wp:positionH relativeFrom="margin">
                <wp:align>outside</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360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PMpAKUdAgAAKwQAAA4AAAAAAAAAAQAgAAAANQEAAGRycy9lMm9Eb2MueG1sUEsF&#10;BgAAAAAGAAYAWQEAAMQFA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34/T XXXX—2024</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34/T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jc w:val="left"/>
    </w:pPr>
    <w:r>
      <w:fldChar w:fldCharType="begin"/>
    </w:r>
    <w:r>
      <w:instrText xml:space="preserve"> STYLEREF  标准文件_文件编号  \* MERGEFORMAT </w:instrText>
    </w:r>
    <w:r>
      <w:fldChar w:fldCharType="separate"/>
    </w:r>
    <w:r>
      <w:t>DB 34/T XXXX—2024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34/T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suff w:val="nothing"/>
      <w:lvlText w:val="%1　"/>
      <w:lvlJc w:val="left"/>
      <w:pPr>
        <w:ind w:left="142" w:firstLine="0"/>
      </w:pPr>
      <w:rPr>
        <w:rFonts w:hint="eastAsia" w:ascii="黑体" w:hAnsi="Times New Roman" w:eastAsia="黑体"/>
        <w:b w:val="0"/>
        <w:i w:val="0"/>
        <w:sz w:val="21"/>
        <w:szCs w:val="21"/>
      </w:rPr>
    </w:lvl>
    <w:lvl w:ilvl="1" w:tentative="0">
      <w:start w:val="1"/>
      <w:numFmt w:val="decimal"/>
      <w:pStyle w:val="232"/>
      <w:suff w:val="nothing"/>
      <w:lvlText w:val="%1.%2　"/>
      <w:lvlJc w:val="left"/>
      <w:pPr>
        <w:ind w:left="567"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suff w:val="nothing"/>
      <w:lvlText w:val="%1.%2.%3　"/>
      <w:lvlJc w:val="left"/>
      <w:pPr>
        <w:ind w:left="142"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6F6664E8"/>
    <w:multiLevelType w:val="multilevel"/>
    <w:tmpl w:val="6F6664E8"/>
    <w:lvl w:ilvl="0" w:tentative="0">
      <w:start w:val="1"/>
      <w:numFmt w:val="decimal"/>
      <w:lvlText w:val="%1"/>
      <w:lvlJc w:val="left"/>
      <w:pPr>
        <w:ind w:left="658" w:hanging="542"/>
      </w:pPr>
      <w:rPr>
        <w:rFonts w:hint="default"/>
        <w:w w:val="102"/>
      </w:rPr>
    </w:lvl>
    <w:lvl w:ilvl="1" w:tentative="0">
      <w:start w:val="1"/>
      <w:numFmt w:val="decimal"/>
      <w:lvlText w:val="%1.%2"/>
      <w:lvlJc w:val="left"/>
      <w:pPr>
        <w:ind w:left="961" w:hanging="858"/>
      </w:pPr>
      <w:rPr>
        <w:rFonts w:hint="default"/>
        <w:w w:val="109"/>
      </w:rPr>
    </w:lvl>
    <w:lvl w:ilvl="2" w:tentative="0">
      <w:start w:val="1"/>
      <w:numFmt w:val="lowerLetter"/>
      <w:lvlText w:val="%3)"/>
      <w:lvlJc w:val="left"/>
      <w:pPr>
        <w:ind w:left="1585" w:hanging="717"/>
      </w:pPr>
      <w:rPr>
        <w:rFonts w:hint="default"/>
        <w:w w:val="100"/>
      </w:rPr>
    </w:lvl>
    <w:lvl w:ilvl="3" w:tentative="0">
      <w:start w:val="0"/>
      <w:numFmt w:val="bullet"/>
      <w:lvlText w:val="•"/>
      <w:lvlJc w:val="left"/>
      <w:pPr>
        <w:ind w:left="960" w:hanging="717"/>
      </w:pPr>
      <w:rPr>
        <w:rFonts w:hint="default"/>
      </w:rPr>
    </w:lvl>
    <w:lvl w:ilvl="4" w:tentative="0">
      <w:start w:val="0"/>
      <w:numFmt w:val="bullet"/>
      <w:lvlText w:val="•"/>
      <w:lvlJc w:val="left"/>
      <w:pPr>
        <w:ind w:left="1580" w:hanging="717"/>
      </w:pPr>
      <w:rPr>
        <w:rFonts w:hint="default"/>
      </w:rPr>
    </w:lvl>
    <w:lvl w:ilvl="5" w:tentative="0">
      <w:start w:val="0"/>
      <w:numFmt w:val="bullet"/>
      <w:lvlText w:val="•"/>
      <w:lvlJc w:val="left"/>
      <w:pPr>
        <w:ind w:left="3993" w:hanging="717"/>
      </w:pPr>
      <w:rPr>
        <w:rFonts w:hint="default"/>
      </w:rPr>
    </w:lvl>
    <w:lvl w:ilvl="6" w:tentative="0">
      <w:start w:val="0"/>
      <w:numFmt w:val="bullet"/>
      <w:lvlText w:val="•"/>
      <w:lvlJc w:val="left"/>
      <w:pPr>
        <w:ind w:left="6406" w:hanging="717"/>
      </w:pPr>
      <w:rPr>
        <w:rFonts w:hint="default"/>
      </w:rPr>
    </w:lvl>
    <w:lvl w:ilvl="7" w:tentative="0">
      <w:start w:val="0"/>
      <w:numFmt w:val="bullet"/>
      <w:lvlText w:val="•"/>
      <w:lvlJc w:val="left"/>
      <w:pPr>
        <w:ind w:left="8820" w:hanging="717"/>
      </w:pPr>
      <w:rPr>
        <w:rFonts w:hint="default"/>
      </w:rPr>
    </w:lvl>
    <w:lvl w:ilvl="8" w:tentative="0">
      <w:start w:val="0"/>
      <w:numFmt w:val="bullet"/>
      <w:lvlText w:val="•"/>
      <w:lvlJc w:val="left"/>
      <w:pPr>
        <w:ind w:left="11233" w:hanging="717"/>
      </w:pPr>
      <w:rPr>
        <w:rFonts w:hint="default"/>
      </w:rPr>
    </w:lvl>
  </w:abstractNum>
  <w:abstractNum w:abstractNumId="32">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2"/>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attachedTemplate r:id="rId1"/>
  <w:documentProtection w:edit="forms" w:enforcement="0"/>
  <w:defaultTabStop w:val="420"/>
  <w:evenAndOddHeaders w:val="true"/>
  <w:drawingGridHorizontalSpacing w:val="105"/>
  <w:drawingGridVerticalSpacing w:val="156"/>
  <w:displayHorizontalDrawingGridEvery w:val="1"/>
  <w:displayVerticalDrawingGridEvery w:val="1"/>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MwZjZjY2UyNGZkZDY0MDI3ZmNmYmUwMGQ3ODgxMzIifQ=="/>
  </w:docVars>
  <w:rsids>
    <w:rsidRoot w:val="0021403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399F"/>
    <w:rsid w:val="00067F1E"/>
    <w:rsid w:val="00071CC0"/>
    <w:rsid w:val="00073C8C"/>
    <w:rsid w:val="00077B64"/>
    <w:rsid w:val="00080A1C"/>
    <w:rsid w:val="00082317"/>
    <w:rsid w:val="00083D2C"/>
    <w:rsid w:val="0008615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281"/>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072ED"/>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5351"/>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039"/>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08D0"/>
    <w:rsid w:val="00281BB8"/>
    <w:rsid w:val="00281E9E"/>
    <w:rsid w:val="00282405"/>
    <w:rsid w:val="00285170"/>
    <w:rsid w:val="00285361"/>
    <w:rsid w:val="00292D60"/>
    <w:rsid w:val="00293B30"/>
    <w:rsid w:val="00294D34"/>
    <w:rsid w:val="00294E3B"/>
    <w:rsid w:val="00296193"/>
    <w:rsid w:val="00296C66"/>
    <w:rsid w:val="00296EBE"/>
    <w:rsid w:val="002974E3"/>
    <w:rsid w:val="00297CF0"/>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04DB"/>
    <w:rsid w:val="002F30E0"/>
    <w:rsid w:val="002F35E4"/>
    <w:rsid w:val="002F3730"/>
    <w:rsid w:val="002F38E1"/>
    <w:rsid w:val="002F7AF6"/>
    <w:rsid w:val="00300E63"/>
    <w:rsid w:val="00302F5F"/>
    <w:rsid w:val="0030441D"/>
    <w:rsid w:val="00306063"/>
    <w:rsid w:val="00313B85"/>
    <w:rsid w:val="00317988"/>
    <w:rsid w:val="00321387"/>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2E4C"/>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176F1"/>
    <w:rsid w:val="00432DAA"/>
    <w:rsid w:val="00434305"/>
    <w:rsid w:val="00435DF7"/>
    <w:rsid w:val="0044083F"/>
    <w:rsid w:val="00441AE7"/>
    <w:rsid w:val="00442781"/>
    <w:rsid w:val="00445574"/>
    <w:rsid w:val="004467FB"/>
    <w:rsid w:val="00452D6B"/>
    <w:rsid w:val="00454484"/>
    <w:rsid w:val="0045517B"/>
    <w:rsid w:val="0046375D"/>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1F53"/>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3770"/>
    <w:rsid w:val="0058409C"/>
    <w:rsid w:val="00584262"/>
    <w:rsid w:val="00586630"/>
    <w:rsid w:val="00587ADD"/>
    <w:rsid w:val="00591C38"/>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545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78A"/>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546"/>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69B9"/>
    <w:rsid w:val="006F03A8"/>
    <w:rsid w:val="006F2ACA"/>
    <w:rsid w:val="006F2ADC"/>
    <w:rsid w:val="006F2BFE"/>
    <w:rsid w:val="006F31E9"/>
    <w:rsid w:val="006F6284"/>
    <w:rsid w:val="007002C5"/>
    <w:rsid w:val="00701B6D"/>
    <w:rsid w:val="00704387"/>
    <w:rsid w:val="00707669"/>
    <w:rsid w:val="00711CBA"/>
    <w:rsid w:val="00711FB5"/>
    <w:rsid w:val="00712A01"/>
    <w:rsid w:val="00714F58"/>
    <w:rsid w:val="00722FBF"/>
    <w:rsid w:val="00722FC2"/>
    <w:rsid w:val="00724879"/>
    <w:rsid w:val="00724E1B"/>
    <w:rsid w:val="00725949"/>
    <w:rsid w:val="00727FA2"/>
    <w:rsid w:val="007322D9"/>
    <w:rsid w:val="007324F7"/>
    <w:rsid w:val="00732BC0"/>
    <w:rsid w:val="0073720F"/>
    <w:rsid w:val="00737796"/>
    <w:rsid w:val="007402CA"/>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5ED7"/>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28F6"/>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13A"/>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4612"/>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167F"/>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26E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0CD2"/>
    <w:rsid w:val="00B939B1"/>
    <w:rsid w:val="00B96D40"/>
    <w:rsid w:val="00B97386"/>
    <w:rsid w:val="00BA263B"/>
    <w:rsid w:val="00BA42B2"/>
    <w:rsid w:val="00BA58D4"/>
    <w:rsid w:val="00BA5B9E"/>
    <w:rsid w:val="00BA67C3"/>
    <w:rsid w:val="00BA7C9A"/>
    <w:rsid w:val="00BB203B"/>
    <w:rsid w:val="00BB5F8F"/>
    <w:rsid w:val="00BB657A"/>
    <w:rsid w:val="00BC1A4E"/>
    <w:rsid w:val="00BC4790"/>
    <w:rsid w:val="00BC5DC7"/>
    <w:rsid w:val="00BC6B8B"/>
    <w:rsid w:val="00BC73D8"/>
    <w:rsid w:val="00BC7627"/>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677"/>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02F"/>
    <w:rsid w:val="00D11272"/>
    <w:rsid w:val="00D126F5"/>
    <w:rsid w:val="00D1489E"/>
    <w:rsid w:val="00D20737"/>
    <w:rsid w:val="00D21E81"/>
    <w:rsid w:val="00D223DE"/>
    <w:rsid w:val="00D25E37"/>
    <w:rsid w:val="00D2661A"/>
    <w:rsid w:val="00D26B17"/>
    <w:rsid w:val="00D27582"/>
    <w:rsid w:val="00D27EC4"/>
    <w:rsid w:val="00D32719"/>
    <w:rsid w:val="00D33333"/>
    <w:rsid w:val="00D33457"/>
    <w:rsid w:val="00D34FCC"/>
    <w:rsid w:val="00D352A2"/>
    <w:rsid w:val="00D3660F"/>
    <w:rsid w:val="00D4162B"/>
    <w:rsid w:val="00D4514F"/>
    <w:rsid w:val="00D451E2"/>
    <w:rsid w:val="00D45E89"/>
    <w:rsid w:val="00D45E8D"/>
    <w:rsid w:val="00D466AE"/>
    <w:rsid w:val="00D4734F"/>
    <w:rsid w:val="00D51BF3"/>
    <w:rsid w:val="00D66846"/>
    <w:rsid w:val="00D675FB"/>
    <w:rsid w:val="00D70526"/>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0EEB"/>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86D"/>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3776"/>
    <w:rsid w:val="00EB5EDF"/>
    <w:rsid w:val="00EB60FE"/>
    <w:rsid w:val="00EB74DB"/>
    <w:rsid w:val="00EC081F"/>
    <w:rsid w:val="00EC5359"/>
    <w:rsid w:val="00EC562A"/>
    <w:rsid w:val="00EC595E"/>
    <w:rsid w:val="00ED067A"/>
    <w:rsid w:val="00ED2B50"/>
    <w:rsid w:val="00ED743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3930"/>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0E03"/>
    <w:rsid w:val="00FF3E7D"/>
    <w:rsid w:val="00FF5B99"/>
    <w:rsid w:val="00FF730C"/>
    <w:rsid w:val="00FF73F4"/>
    <w:rsid w:val="00FF7CE4"/>
    <w:rsid w:val="00FF7E39"/>
    <w:rsid w:val="010158D6"/>
    <w:rsid w:val="010D520E"/>
    <w:rsid w:val="011C5888"/>
    <w:rsid w:val="014001AC"/>
    <w:rsid w:val="018069E6"/>
    <w:rsid w:val="019C26CF"/>
    <w:rsid w:val="019D55FE"/>
    <w:rsid w:val="01D54D98"/>
    <w:rsid w:val="020B0B1E"/>
    <w:rsid w:val="022711E6"/>
    <w:rsid w:val="026C4FD1"/>
    <w:rsid w:val="02783976"/>
    <w:rsid w:val="02A36C44"/>
    <w:rsid w:val="03353310"/>
    <w:rsid w:val="03353615"/>
    <w:rsid w:val="03547F3F"/>
    <w:rsid w:val="036F2FCB"/>
    <w:rsid w:val="037B371D"/>
    <w:rsid w:val="039E740C"/>
    <w:rsid w:val="03B66504"/>
    <w:rsid w:val="040A4AA1"/>
    <w:rsid w:val="041D47D5"/>
    <w:rsid w:val="04310280"/>
    <w:rsid w:val="049D1BA3"/>
    <w:rsid w:val="05145BD8"/>
    <w:rsid w:val="057448C8"/>
    <w:rsid w:val="05D435B9"/>
    <w:rsid w:val="06127C3D"/>
    <w:rsid w:val="066E57BB"/>
    <w:rsid w:val="06715FD2"/>
    <w:rsid w:val="067B1C86"/>
    <w:rsid w:val="069F3BC7"/>
    <w:rsid w:val="06F55595"/>
    <w:rsid w:val="072D4D2F"/>
    <w:rsid w:val="072E6CF9"/>
    <w:rsid w:val="079678D0"/>
    <w:rsid w:val="080F08D8"/>
    <w:rsid w:val="08974B53"/>
    <w:rsid w:val="09016473"/>
    <w:rsid w:val="0959014C"/>
    <w:rsid w:val="09880942"/>
    <w:rsid w:val="099A2423"/>
    <w:rsid w:val="09C3197A"/>
    <w:rsid w:val="0A1E4E03"/>
    <w:rsid w:val="0A3C34DB"/>
    <w:rsid w:val="0A462F89"/>
    <w:rsid w:val="0A7039F0"/>
    <w:rsid w:val="0AAB0D8C"/>
    <w:rsid w:val="0B071D3B"/>
    <w:rsid w:val="0B154457"/>
    <w:rsid w:val="0B1A381C"/>
    <w:rsid w:val="0B7849E6"/>
    <w:rsid w:val="0B7A42BB"/>
    <w:rsid w:val="0B8E5FB8"/>
    <w:rsid w:val="0BE36304"/>
    <w:rsid w:val="0BF95B27"/>
    <w:rsid w:val="0C882A07"/>
    <w:rsid w:val="0C913FB2"/>
    <w:rsid w:val="0CB867CF"/>
    <w:rsid w:val="0CD81BE1"/>
    <w:rsid w:val="0D186481"/>
    <w:rsid w:val="0D4234FE"/>
    <w:rsid w:val="0D7432ED"/>
    <w:rsid w:val="0D95362E"/>
    <w:rsid w:val="0DE325EB"/>
    <w:rsid w:val="0E590AFF"/>
    <w:rsid w:val="0E8524A7"/>
    <w:rsid w:val="0E910299"/>
    <w:rsid w:val="0EC95C85"/>
    <w:rsid w:val="0F074776"/>
    <w:rsid w:val="0F1401B8"/>
    <w:rsid w:val="0F307AB2"/>
    <w:rsid w:val="0F31382A"/>
    <w:rsid w:val="0FC63F72"/>
    <w:rsid w:val="0FFC1742"/>
    <w:rsid w:val="10142F30"/>
    <w:rsid w:val="101822F4"/>
    <w:rsid w:val="102B2027"/>
    <w:rsid w:val="103435D2"/>
    <w:rsid w:val="103E61FE"/>
    <w:rsid w:val="107E0F8D"/>
    <w:rsid w:val="108856CC"/>
    <w:rsid w:val="10C873DF"/>
    <w:rsid w:val="10D73F5D"/>
    <w:rsid w:val="112A4815"/>
    <w:rsid w:val="11567578"/>
    <w:rsid w:val="11991213"/>
    <w:rsid w:val="11DD55A3"/>
    <w:rsid w:val="11E20FE3"/>
    <w:rsid w:val="12241424"/>
    <w:rsid w:val="126006AE"/>
    <w:rsid w:val="1272218F"/>
    <w:rsid w:val="12802AFE"/>
    <w:rsid w:val="12850115"/>
    <w:rsid w:val="129156AF"/>
    <w:rsid w:val="12AA7B7B"/>
    <w:rsid w:val="12C7072D"/>
    <w:rsid w:val="13EF5C44"/>
    <w:rsid w:val="14551D69"/>
    <w:rsid w:val="14636951"/>
    <w:rsid w:val="148D505F"/>
    <w:rsid w:val="149F62FB"/>
    <w:rsid w:val="14A06D37"/>
    <w:rsid w:val="14C60571"/>
    <w:rsid w:val="14C625E2"/>
    <w:rsid w:val="15316672"/>
    <w:rsid w:val="15B12FCF"/>
    <w:rsid w:val="15BD5E17"/>
    <w:rsid w:val="164A3F23"/>
    <w:rsid w:val="16D26FEB"/>
    <w:rsid w:val="17263548"/>
    <w:rsid w:val="1759391E"/>
    <w:rsid w:val="181B6E25"/>
    <w:rsid w:val="182A0E16"/>
    <w:rsid w:val="185901A9"/>
    <w:rsid w:val="18980476"/>
    <w:rsid w:val="189C7F66"/>
    <w:rsid w:val="18BB389F"/>
    <w:rsid w:val="18C82B09"/>
    <w:rsid w:val="191E6BCD"/>
    <w:rsid w:val="19524AC9"/>
    <w:rsid w:val="19B1359D"/>
    <w:rsid w:val="19C21C4E"/>
    <w:rsid w:val="19DE010A"/>
    <w:rsid w:val="1A037B71"/>
    <w:rsid w:val="1A3B555D"/>
    <w:rsid w:val="1A5227A7"/>
    <w:rsid w:val="1A750764"/>
    <w:rsid w:val="1ADA2FC8"/>
    <w:rsid w:val="1AE479A2"/>
    <w:rsid w:val="1B3B0936"/>
    <w:rsid w:val="1B9E5DA3"/>
    <w:rsid w:val="1BC872C4"/>
    <w:rsid w:val="1BEF65FF"/>
    <w:rsid w:val="1BFD51C0"/>
    <w:rsid w:val="1C19367C"/>
    <w:rsid w:val="1C5B3C94"/>
    <w:rsid w:val="1CC01D49"/>
    <w:rsid w:val="1D3B60AF"/>
    <w:rsid w:val="1D3C1D18"/>
    <w:rsid w:val="1D4609A8"/>
    <w:rsid w:val="1D5A3CD8"/>
    <w:rsid w:val="1D880AB9"/>
    <w:rsid w:val="1D9751A0"/>
    <w:rsid w:val="1DCA10D2"/>
    <w:rsid w:val="1E4C1AE7"/>
    <w:rsid w:val="1E6C2189"/>
    <w:rsid w:val="1EA30966"/>
    <w:rsid w:val="1EBC3110"/>
    <w:rsid w:val="1ECC70CB"/>
    <w:rsid w:val="1ED2605A"/>
    <w:rsid w:val="1F1258F0"/>
    <w:rsid w:val="1F454420"/>
    <w:rsid w:val="1F672950"/>
    <w:rsid w:val="1FB02549"/>
    <w:rsid w:val="20482782"/>
    <w:rsid w:val="207672EF"/>
    <w:rsid w:val="209459C7"/>
    <w:rsid w:val="211F7986"/>
    <w:rsid w:val="21826E73"/>
    <w:rsid w:val="2197576F"/>
    <w:rsid w:val="21BA145D"/>
    <w:rsid w:val="21C83B7A"/>
    <w:rsid w:val="22401962"/>
    <w:rsid w:val="224D407F"/>
    <w:rsid w:val="2265586D"/>
    <w:rsid w:val="22934188"/>
    <w:rsid w:val="22BE4278"/>
    <w:rsid w:val="23144B9D"/>
    <w:rsid w:val="23470B9B"/>
    <w:rsid w:val="239301B8"/>
    <w:rsid w:val="242A0B1C"/>
    <w:rsid w:val="246062EC"/>
    <w:rsid w:val="256A4F48"/>
    <w:rsid w:val="258204E4"/>
    <w:rsid w:val="258E6E89"/>
    <w:rsid w:val="259F1096"/>
    <w:rsid w:val="266F6CBA"/>
    <w:rsid w:val="26A36964"/>
    <w:rsid w:val="26C54B2C"/>
    <w:rsid w:val="26F92A28"/>
    <w:rsid w:val="270C275B"/>
    <w:rsid w:val="27111B1F"/>
    <w:rsid w:val="279D33B3"/>
    <w:rsid w:val="27A017FF"/>
    <w:rsid w:val="27AC35F6"/>
    <w:rsid w:val="27AF30E6"/>
    <w:rsid w:val="27B2414A"/>
    <w:rsid w:val="27B30E28"/>
    <w:rsid w:val="27B60C96"/>
    <w:rsid w:val="28810F26"/>
    <w:rsid w:val="28DC0AFE"/>
    <w:rsid w:val="28F40740"/>
    <w:rsid w:val="298962E5"/>
    <w:rsid w:val="29E4351B"/>
    <w:rsid w:val="2A6D3510"/>
    <w:rsid w:val="2A7D74CC"/>
    <w:rsid w:val="2ADE61BC"/>
    <w:rsid w:val="2B47070D"/>
    <w:rsid w:val="2B5E10AB"/>
    <w:rsid w:val="2B746B21"/>
    <w:rsid w:val="2B9E6A41"/>
    <w:rsid w:val="2BAA0794"/>
    <w:rsid w:val="2C047EA4"/>
    <w:rsid w:val="2C0C0B07"/>
    <w:rsid w:val="2C4E1120"/>
    <w:rsid w:val="2C70553A"/>
    <w:rsid w:val="2CA23219"/>
    <w:rsid w:val="2CA73674"/>
    <w:rsid w:val="2CCB451E"/>
    <w:rsid w:val="2D0A3299"/>
    <w:rsid w:val="2D2A1307"/>
    <w:rsid w:val="2D3B78F6"/>
    <w:rsid w:val="2D594220"/>
    <w:rsid w:val="2DBE22D5"/>
    <w:rsid w:val="2DC94D8F"/>
    <w:rsid w:val="2E204D3E"/>
    <w:rsid w:val="2E291E44"/>
    <w:rsid w:val="2E424CB4"/>
    <w:rsid w:val="2E690493"/>
    <w:rsid w:val="2E6D1716"/>
    <w:rsid w:val="2E8004C1"/>
    <w:rsid w:val="2F7075FF"/>
    <w:rsid w:val="2F8B7285"/>
    <w:rsid w:val="30071D11"/>
    <w:rsid w:val="30422D49"/>
    <w:rsid w:val="304271ED"/>
    <w:rsid w:val="305F1C1A"/>
    <w:rsid w:val="30F304E8"/>
    <w:rsid w:val="310D3357"/>
    <w:rsid w:val="310F3573"/>
    <w:rsid w:val="31BC4D7D"/>
    <w:rsid w:val="3234700A"/>
    <w:rsid w:val="32A1627D"/>
    <w:rsid w:val="32EB3B6C"/>
    <w:rsid w:val="33016EEC"/>
    <w:rsid w:val="330E1609"/>
    <w:rsid w:val="33E81E5A"/>
    <w:rsid w:val="33EA5BD2"/>
    <w:rsid w:val="33F151B2"/>
    <w:rsid w:val="341669C7"/>
    <w:rsid w:val="34190265"/>
    <w:rsid w:val="342E1E87"/>
    <w:rsid w:val="342F7A89"/>
    <w:rsid w:val="346040E6"/>
    <w:rsid w:val="34B47726"/>
    <w:rsid w:val="353F3CFB"/>
    <w:rsid w:val="35494B7A"/>
    <w:rsid w:val="355D721D"/>
    <w:rsid w:val="35D55336"/>
    <w:rsid w:val="35E054DE"/>
    <w:rsid w:val="35EA7681"/>
    <w:rsid w:val="361F6DC1"/>
    <w:rsid w:val="369342FF"/>
    <w:rsid w:val="36DE0186"/>
    <w:rsid w:val="371173B3"/>
    <w:rsid w:val="37205E40"/>
    <w:rsid w:val="372F5011"/>
    <w:rsid w:val="37437E29"/>
    <w:rsid w:val="378400EB"/>
    <w:rsid w:val="37894AD3"/>
    <w:rsid w:val="37C23EFF"/>
    <w:rsid w:val="37F052F0"/>
    <w:rsid w:val="381E409C"/>
    <w:rsid w:val="387C7014"/>
    <w:rsid w:val="38B844F1"/>
    <w:rsid w:val="38B86D12"/>
    <w:rsid w:val="38E30E42"/>
    <w:rsid w:val="390B0AC4"/>
    <w:rsid w:val="394418E0"/>
    <w:rsid w:val="39910DD9"/>
    <w:rsid w:val="3A555D6F"/>
    <w:rsid w:val="3A695377"/>
    <w:rsid w:val="3B44206B"/>
    <w:rsid w:val="3B506C62"/>
    <w:rsid w:val="3BB30F9F"/>
    <w:rsid w:val="3BC74A4B"/>
    <w:rsid w:val="3BDF3B42"/>
    <w:rsid w:val="3C3E2F5F"/>
    <w:rsid w:val="3C601127"/>
    <w:rsid w:val="3CA408E8"/>
    <w:rsid w:val="3D0C6BB9"/>
    <w:rsid w:val="3DC22066"/>
    <w:rsid w:val="3DDC2A2F"/>
    <w:rsid w:val="3E012496"/>
    <w:rsid w:val="3E22140B"/>
    <w:rsid w:val="3E5E3444"/>
    <w:rsid w:val="3E6673A8"/>
    <w:rsid w:val="3E7423E9"/>
    <w:rsid w:val="3EBC63BD"/>
    <w:rsid w:val="3EBE0387"/>
    <w:rsid w:val="3ECB4852"/>
    <w:rsid w:val="3EE15E23"/>
    <w:rsid w:val="3EF5367D"/>
    <w:rsid w:val="3F5C6ECF"/>
    <w:rsid w:val="3FB35A12"/>
    <w:rsid w:val="40491ED2"/>
    <w:rsid w:val="40EE1D1C"/>
    <w:rsid w:val="412070D7"/>
    <w:rsid w:val="41362456"/>
    <w:rsid w:val="41727207"/>
    <w:rsid w:val="417B430D"/>
    <w:rsid w:val="420662CD"/>
    <w:rsid w:val="4251506E"/>
    <w:rsid w:val="425608D6"/>
    <w:rsid w:val="42A72EE0"/>
    <w:rsid w:val="42CD0B98"/>
    <w:rsid w:val="434A3F97"/>
    <w:rsid w:val="435E5C94"/>
    <w:rsid w:val="435E7A42"/>
    <w:rsid w:val="43603FC7"/>
    <w:rsid w:val="43AF64F0"/>
    <w:rsid w:val="43E22422"/>
    <w:rsid w:val="43E51F12"/>
    <w:rsid w:val="44103433"/>
    <w:rsid w:val="446A74A4"/>
    <w:rsid w:val="44A43B7B"/>
    <w:rsid w:val="44A91191"/>
    <w:rsid w:val="44CB1108"/>
    <w:rsid w:val="44D04970"/>
    <w:rsid w:val="44E87F0C"/>
    <w:rsid w:val="44FE2EC8"/>
    <w:rsid w:val="44FF34A7"/>
    <w:rsid w:val="45012D7B"/>
    <w:rsid w:val="451A208F"/>
    <w:rsid w:val="452627E2"/>
    <w:rsid w:val="453E18DA"/>
    <w:rsid w:val="459B7FA8"/>
    <w:rsid w:val="45B93656"/>
    <w:rsid w:val="45DA3058"/>
    <w:rsid w:val="45EA1A61"/>
    <w:rsid w:val="467760E5"/>
    <w:rsid w:val="46D22334"/>
    <w:rsid w:val="46DC3AA0"/>
    <w:rsid w:val="46F801AE"/>
    <w:rsid w:val="470F02C7"/>
    <w:rsid w:val="47615D53"/>
    <w:rsid w:val="481334F1"/>
    <w:rsid w:val="485853A8"/>
    <w:rsid w:val="486C49B0"/>
    <w:rsid w:val="487B4BF3"/>
    <w:rsid w:val="48FB5D34"/>
    <w:rsid w:val="490B241B"/>
    <w:rsid w:val="494D47E1"/>
    <w:rsid w:val="495C67D2"/>
    <w:rsid w:val="4981448B"/>
    <w:rsid w:val="4987752A"/>
    <w:rsid w:val="49C90FCD"/>
    <w:rsid w:val="49CB1BAA"/>
    <w:rsid w:val="49D15412"/>
    <w:rsid w:val="4A1E53DF"/>
    <w:rsid w:val="4A5B1180"/>
    <w:rsid w:val="4A9D3546"/>
    <w:rsid w:val="4B06733D"/>
    <w:rsid w:val="4B315A3D"/>
    <w:rsid w:val="4B3774F7"/>
    <w:rsid w:val="4B6127C6"/>
    <w:rsid w:val="4B7324F9"/>
    <w:rsid w:val="4B920BD1"/>
    <w:rsid w:val="4BA10E14"/>
    <w:rsid w:val="4BD50ABE"/>
    <w:rsid w:val="4C1F279E"/>
    <w:rsid w:val="4C5B7215"/>
    <w:rsid w:val="4C997D3D"/>
    <w:rsid w:val="4CBB5F06"/>
    <w:rsid w:val="4CC748AA"/>
    <w:rsid w:val="4CF60CEC"/>
    <w:rsid w:val="4D0762DF"/>
    <w:rsid w:val="4D471547"/>
    <w:rsid w:val="4D661307"/>
    <w:rsid w:val="4D88228C"/>
    <w:rsid w:val="4D883B5D"/>
    <w:rsid w:val="4DA1334D"/>
    <w:rsid w:val="4DA90454"/>
    <w:rsid w:val="4DB27309"/>
    <w:rsid w:val="4DE374C2"/>
    <w:rsid w:val="4E1011A9"/>
    <w:rsid w:val="4E215441"/>
    <w:rsid w:val="4E255D2C"/>
    <w:rsid w:val="4E52289A"/>
    <w:rsid w:val="4E8642F1"/>
    <w:rsid w:val="4E9E7F05"/>
    <w:rsid w:val="4EEF633A"/>
    <w:rsid w:val="4F0A0A7E"/>
    <w:rsid w:val="4F231B40"/>
    <w:rsid w:val="4FD01CC8"/>
    <w:rsid w:val="4FE47521"/>
    <w:rsid w:val="504512B0"/>
    <w:rsid w:val="507C2F06"/>
    <w:rsid w:val="512A5408"/>
    <w:rsid w:val="512C5624"/>
    <w:rsid w:val="51476058"/>
    <w:rsid w:val="51C15D6C"/>
    <w:rsid w:val="525070F0"/>
    <w:rsid w:val="525766D1"/>
    <w:rsid w:val="52635075"/>
    <w:rsid w:val="5288688A"/>
    <w:rsid w:val="5310106C"/>
    <w:rsid w:val="5345477B"/>
    <w:rsid w:val="53514ECE"/>
    <w:rsid w:val="53755060"/>
    <w:rsid w:val="539A4AC7"/>
    <w:rsid w:val="53B67427"/>
    <w:rsid w:val="53D0673A"/>
    <w:rsid w:val="53E775E0"/>
    <w:rsid w:val="540463E4"/>
    <w:rsid w:val="542E2AC7"/>
    <w:rsid w:val="544113E6"/>
    <w:rsid w:val="5495528E"/>
    <w:rsid w:val="54AA6F8B"/>
    <w:rsid w:val="54B43966"/>
    <w:rsid w:val="54C33BA9"/>
    <w:rsid w:val="54F16968"/>
    <w:rsid w:val="55055F70"/>
    <w:rsid w:val="55674E7D"/>
    <w:rsid w:val="557C66CB"/>
    <w:rsid w:val="559519EA"/>
    <w:rsid w:val="55BD4A9D"/>
    <w:rsid w:val="55C23303"/>
    <w:rsid w:val="55C7498C"/>
    <w:rsid w:val="55CE2806"/>
    <w:rsid w:val="55DA472C"/>
    <w:rsid w:val="55E62245"/>
    <w:rsid w:val="55FA5C45"/>
    <w:rsid w:val="56755377"/>
    <w:rsid w:val="567A473C"/>
    <w:rsid w:val="569E1568"/>
    <w:rsid w:val="56CA56C3"/>
    <w:rsid w:val="57236B81"/>
    <w:rsid w:val="572B1EDA"/>
    <w:rsid w:val="574F5BC8"/>
    <w:rsid w:val="580E5A83"/>
    <w:rsid w:val="58417C07"/>
    <w:rsid w:val="585039A6"/>
    <w:rsid w:val="58564D34"/>
    <w:rsid w:val="59134B6A"/>
    <w:rsid w:val="59217CB7"/>
    <w:rsid w:val="599B3347"/>
    <w:rsid w:val="59C747FB"/>
    <w:rsid w:val="59CA7788"/>
    <w:rsid w:val="59EF3692"/>
    <w:rsid w:val="5A1F5D26"/>
    <w:rsid w:val="5A601E9A"/>
    <w:rsid w:val="5AB02E22"/>
    <w:rsid w:val="5AB53F94"/>
    <w:rsid w:val="5AE825BC"/>
    <w:rsid w:val="5B3B58D2"/>
    <w:rsid w:val="5B597015"/>
    <w:rsid w:val="5B5C13FB"/>
    <w:rsid w:val="5B5F03A4"/>
    <w:rsid w:val="5B7F45A2"/>
    <w:rsid w:val="5B90055D"/>
    <w:rsid w:val="5BEF1728"/>
    <w:rsid w:val="5BF136F2"/>
    <w:rsid w:val="5C0F1DCA"/>
    <w:rsid w:val="5C1E200D"/>
    <w:rsid w:val="5C732359"/>
    <w:rsid w:val="5C734107"/>
    <w:rsid w:val="5C7560D1"/>
    <w:rsid w:val="5CD06500"/>
    <w:rsid w:val="5D0B2591"/>
    <w:rsid w:val="5D641921"/>
    <w:rsid w:val="5D755C5D"/>
    <w:rsid w:val="5DF9063C"/>
    <w:rsid w:val="5E435D5B"/>
    <w:rsid w:val="5E5F0DE7"/>
    <w:rsid w:val="5E6261E1"/>
    <w:rsid w:val="5EE4753E"/>
    <w:rsid w:val="5F13397F"/>
    <w:rsid w:val="5F17346F"/>
    <w:rsid w:val="5F5F4E16"/>
    <w:rsid w:val="5F792FB2"/>
    <w:rsid w:val="5F8623A3"/>
    <w:rsid w:val="5F8F74FF"/>
    <w:rsid w:val="5FC219E7"/>
    <w:rsid w:val="5FDEE82E"/>
    <w:rsid w:val="604D2EC1"/>
    <w:rsid w:val="60791F08"/>
    <w:rsid w:val="608A5EC3"/>
    <w:rsid w:val="60C541B5"/>
    <w:rsid w:val="612956DC"/>
    <w:rsid w:val="61F93300"/>
    <w:rsid w:val="62030FF0"/>
    <w:rsid w:val="62540537"/>
    <w:rsid w:val="62724E61"/>
    <w:rsid w:val="62A25746"/>
    <w:rsid w:val="62B31701"/>
    <w:rsid w:val="62C76F5B"/>
    <w:rsid w:val="62F35FA1"/>
    <w:rsid w:val="63187F6A"/>
    <w:rsid w:val="636C365E"/>
    <w:rsid w:val="637B5E30"/>
    <w:rsid w:val="637D1D0F"/>
    <w:rsid w:val="63827325"/>
    <w:rsid w:val="63C27722"/>
    <w:rsid w:val="63F024E1"/>
    <w:rsid w:val="642B3519"/>
    <w:rsid w:val="6486074F"/>
    <w:rsid w:val="64C64FF0"/>
    <w:rsid w:val="64CF659A"/>
    <w:rsid w:val="64EF2581"/>
    <w:rsid w:val="65242442"/>
    <w:rsid w:val="65757142"/>
    <w:rsid w:val="65A2780B"/>
    <w:rsid w:val="65E64D99"/>
    <w:rsid w:val="660D737A"/>
    <w:rsid w:val="661312D8"/>
    <w:rsid w:val="66807B4C"/>
    <w:rsid w:val="67112E9A"/>
    <w:rsid w:val="673E3563"/>
    <w:rsid w:val="675608AD"/>
    <w:rsid w:val="675B2367"/>
    <w:rsid w:val="676E3E49"/>
    <w:rsid w:val="676F7DE5"/>
    <w:rsid w:val="678E0047"/>
    <w:rsid w:val="681C38A5"/>
    <w:rsid w:val="6861575B"/>
    <w:rsid w:val="68F465CF"/>
    <w:rsid w:val="690A7BA1"/>
    <w:rsid w:val="693B41FE"/>
    <w:rsid w:val="695E7EED"/>
    <w:rsid w:val="69EC374B"/>
    <w:rsid w:val="6A0942FC"/>
    <w:rsid w:val="6A2D47F2"/>
    <w:rsid w:val="6A674B7F"/>
    <w:rsid w:val="6A705E09"/>
    <w:rsid w:val="6AD06BC8"/>
    <w:rsid w:val="6AF24610"/>
    <w:rsid w:val="6B2A0087"/>
    <w:rsid w:val="6B7439F8"/>
    <w:rsid w:val="6B853600"/>
    <w:rsid w:val="6B8D16D7"/>
    <w:rsid w:val="6BB4002D"/>
    <w:rsid w:val="6C3C2767"/>
    <w:rsid w:val="6C6B3A4A"/>
    <w:rsid w:val="6C735A5D"/>
    <w:rsid w:val="6C7812C6"/>
    <w:rsid w:val="6CAB0879"/>
    <w:rsid w:val="6CB247D7"/>
    <w:rsid w:val="6CDA788A"/>
    <w:rsid w:val="6CEA5779"/>
    <w:rsid w:val="6D3451EC"/>
    <w:rsid w:val="6D68133A"/>
    <w:rsid w:val="6D6830E8"/>
    <w:rsid w:val="6D8F47EA"/>
    <w:rsid w:val="6E0E3C8F"/>
    <w:rsid w:val="6EB74327"/>
    <w:rsid w:val="6EBE3907"/>
    <w:rsid w:val="6F0137F4"/>
    <w:rsid w:val="6F40256E"/>
    <w:rsid w:val="6F975F07"/>
    <w:rsid w:val="6F9A378E"/>
    <w:rsid w:val="6FAA1011"/>
    <w:rsid w:val="6FCD5088"/>
    <w:rsid w:val="6FE0165C"/>
    <w:rsid w:val="708446DD"/>
    <w:rsid w:val="72273572"/>
    <w:rsid w:val="722872EA"/>
    <w:rsid w:val="722A3062"/>
    <w:rsid w:val="725B146D"/>
    <w:rsid w:val="7306762B"/>
    <w:rsid w:val="73364DCA"/>
    <w:rsid w:val="73442904"/>
    <w:rsid w:val="73812E5B"/>
    <w:rsid w:val="73B3709B"/>
    <w:rsid w:val="73D81D61"/>
    <w:rsid w:val="73EC4A73"/>
    <w:rsid w:val="73FB4CB6"/>
    <w:rsid w:val="740B2A1F"/>
    <w:rsid w:val="741915E0"/>
    <w:rsid w:val="743677C1"/>
    <w:rsid w:val="74583EB6"/>
    <w:rsid w:val="74B82BA7"/>
    <w:rsid w:val="74F31E31"/>
    <w:rsid w:val="75122AB8"/>
    <w:rsid w:val="75233E2E"/>
    <w:rsid w:val="753B10E2"/>
    <w:rsid w:val="75862CA5"/>
    <w:rsid w:val="75907680"/>
    <w:rsid w:val="75BA19B5"/>
    <w:rsid w:val="75BE243F"/>
    <w:rsid w:val="75D8229D"/>
    <w:rsid w:val="76666DF4"/>
    <w:rsid w:val="76B13D52"/>
    <w:rsid w:val="76D87530"/>
    <w:rsid w:val="773ADDFB"/>
    <w:rsid w:val="77D23F80"/>
    <w:rsid w:val="77FB91F0"/>
    <w:rsid w:val="787B0173"/>
    <w:rsid w:val="787B4617"/>
    <w:rsid w:val="78A05E2C"/>
    <w:rsid w:val="78CD4747"/>
    <w:rsid w:val="792702FB"/>
    <w:rsid w:val="79366790"/>
    <w:rsid w:val="79490272"/>
    <w:rsid w:val="794F33AE"/>
    <w:rsid w:val="79825532"/>
    <w:rsid w:val="79951709"/>
    <w:rsid w:val="79FC1788"/>
    <w:rsid w:val="7A066163"/>
    <w:rsid w:val="7A664E53"/>
    <w:rsid w:val="7A9419C0"/>
    <w:rsid w:val="7AE069B4"/>
    <w:rsid w:val="7AEA15E0"/>
    <w:rsid w:val="7B18439F"/>
    <w:rsid w:val="7B191EC6"/>
    <w:rsid w:val="7B6E0463"/>
    <w:rsid w:val="7B8D1020"/>
    <w:rsid w:val="7BAB238D"/>
    <w:rsid w:val="7BB0282A"/>
    <w:rsid w:val="7BCE2CB0"/>
    <w:rsid w:val="7C014E34"/>
    <w:rsid w:val="7C1A59E4"/>
    <w:rsid w:val="7C1C1C6D"/>
    <w:rsid w:val="7C4A4A2C"/>
    <w:rsid w:val="7CB43C54"/>
    <w:rsid w:val="7CC56FEF"/>
    <w:rsid w:val="7CE7227B"/>
    <w:rsid w:val="7CFE12B2"/>
    <w:rsid w:val="7D657644"/>
    <w:rsid w:val="7DD50326"/>
    <w:rsid w:val="7DF12C86"/>
    <w:rsid w:val="7DF96D7D"/>
    <w:rsid w:val="7E3E411D"/>
    <w:rsid w:val="7E843AFA"/>
    <w:rsid w:val="7E9C7095"/>
    <w:rsid w:val="7EC65EC0"/>
    <w:rsid w:val="7EE747B5"/>
    <w:rsid w:val="7F021CD8"/>
    <w:rsid w:val="7F0B0711"/>
    <w:rsid w:val="7F4A260A"/>
    <w:rsid w:val="7FD36AE7"/>
    <w:rsid w:val="7FDF6EC8"/>
    <w:rsid w:val="BB7B7E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35"/>
    <w:qFormat/>
    <w:uiPriority w:val="99"/>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36"/>
    <w:qFormat/>
    <w:uiPriority w:val="99"/>
    <w:pPr>
      <w:keepNext/>
      <w:keepLines/>
      <w:spacing w:before="260" w:after="260" w:line="416" w:lineRule="auto"/>
      <w:outlineLvl w:val="2"/>
    </w:pPr>
    <w:rPr>
      <w:b/>
      <w:bCs/>
      <w:sz w:val="32"/>
      <w:szCs w:val="32"/>
    </w:rPr>
  </w:style>
  <w:style w:type="paragraph" w:styleId="6">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8">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9">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10">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1">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rPr>
      <w:rFonts w:ascii="宋体"/>
    </w:rPr>
  </w:style>
  <w:style w:type="paragraph" w:styleId="12">
    <w:name w:val="toc 7"/>
    <w:basedOn w:val="1"/>
    <w:next w:val="1"/>
    <w:unhideWhenUsed/>
    <w:qFormat/>
    <w:uiPriority w:val="39"/>
    <w:pPr>
      <w:tabs>
        <w:tab w:val="right" w:leader="dot" w:pos="9344"/>
      </w:tabs>
      <w:spacing w:line="300" w:lineRule="exact"/>
      <w:ind w:left="1259"/>
    </w:pPr>
    <w:rPr>
      <w:rFonts w:ascii="宋体"/>
    </w:rPr>
  </w:style>
  <w:style w:type="paragraph" w:styleId="13">
    <w:name w:val="Normal Indent"/>
    <w:basedOn w:val="1"/>
    <w:qFormat/>
    <w:uiPriority w:val="0"/>
    <w:pPr>
      <w:ind w:firstLine="420"/>
    </w:pPr>
  </w:style>
  <w:style w:type="paragraph" w:styleId="14">
    <w:name w:val="Body Text"/>
    <w:basedOn w:val="1"/>
    <w:link w:val="86"/>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5"/>
    <w:semiHidden/>
    <w:unhideWhenUsed/>
    <w:qFormat/>
    <w:uiPriority w:val="99"/>
    <w:rPr>
      <w:sz w:val="18"/>
      <w:szCs w:val="18"/>
    </w:rPr>
  </w:style>
  <w:style w:type="paragraph" w:styleId="18">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3"/>
    <w:qFormat/>
    <w:uiPriority w:val="99"/>
    <w:pPr>
      <w:tabs>
        <w:tab w:val="center" w:pos="4153"/>
        <w:tab w:val="right" w:pos="8306"/>
      </w:tabs>
      <w:adjustRightInd/>
      <w:snapToGrid w:val="0"/>
      <w:jc w:val="center"/>
    </w:pPr>
    <w:rPr>
      <w:sz w:val="18"/>
      <w:szCs w:val="18"/>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3"/>
    <w:qFormat/>
    <w:uiPriority w:val="0"/>
    <w:rPr>
      <w:b/>
      <w:bCs/>
      <w:kern w:val="44"/>
      <w:sz w:val="44"/>
      <w:szCs w:val="44"/>
    </w:rPr>
  </w:style>
  <w:style w:type="character" w:customStyle="1" w:styleId="35">
    <w:name w:val="标题 2 Char"/>
    <w:link w:val="4"/>
    <w:qFormat/>
    <w:uiPriority w:val="99"/>
    <w:rPr>
      <w:rFonts w:ascii="Arial" w:hAnsi="Arial" w:eastAsia="黑体"/>
      <w:b/>
      <w:bCs/>
      <w:kern w:val="2"/>
      <w:sz w:val="32"/>
      <w:szCs w:val="32"/>
    </w:rPr>
  </w:style>
  <w:style w:type="character" w:customStyle="1" w:styleId="36">
    <w:name w:val="标题 3 Char"/>
    <w:link w:val="5"/>
    <w:qFormat/>
    <w:uiPriority w:val="99"/>
    <w:rPr>
      <w:b/>
      <w:bCs/>
      <w:kern w:val="2"/>
      <w:sz w:val="32"/>
      <w:szCs w:val="32"/>
    </w:rPr>
  </w:style>
  <w:style w:type="character" w:customStyle="1" w:styleId="37">
    <w:name w:val="标题 4 Char"/>
    <w:link w:val="6"/>
    <w:qFormat/>
    <w:uiPriority w:val="0"/>
    <w:rPr>
      <w:rFonts w:ascii="Arial" w:hAnsi="Arial" w:eastAsia="黑体"/>
      <w:b/>
      <w:bCs/>
      <w:kern w:val="2"/>
      <w:sz w:val="28"/>
      <w:szCs w:val="28"/>
    </w:rPr>
  </w:style>
  <w:style w:type="character" w:customStyle="1" w:styleId="38">
    <w:name w:val="标题 5 Char"/>
    <w:link w:val="7"/>
    <w:qFormat/>
    <w:uiPriority w:val="0"/>
    <w:rPr>
      <w:b/>
      <w:bCs/>
      <w:kern w:val="2"/>
      <w:sz w:val="28"/>
      <w:szCs w:val="28"/>
    </w:rPr>
  </w:style>
  <w:style w:type="character" w:customStyle="1" w:styleId="39">
    <w:name w:val="标题 6 Char"/>
    <w:link w:val="8"/>
    <w:qFormat/>
    <w:uiPriority w:val="0"/>
    <w:rPr>
      <w:rFonts w:ascii="Arial" w:hAnsi="Arial" w:eastAsia="黑体"/>
      <w:b/>
      <w:bCs/>
      <w:kern w:val="2"/>
      <w:sz w:val="24"/>
      <w:szCs w:val="24"/>
    </w:rPr>
  </w:style>
  <w:style w:type="character" w:customStyle="1" w:styleId="40">
    <w:name w:val="标题 7 Char"/>
    <w:link w:val="9"/>
    <w:qFormat/>
    <w:uiPriority w:val="0"/>
    <w:rPr>
      <w:b/>
      <w:bCs/>
      <w:kern w:val="2"/>
      <w:sz w:val="24"/>
      <w:szCs w:val="24"/>
    </w:rPr>
  </w:style>
  <w:style w:type="character" w:customStyle="1" w:styleId="41">
    <w:name w:val="标题 8 Char"/>
    <w:link w:val="10"/>
    <w:qFormat/>
    <w:uiPriority w:val="0"/>
    <w:rPr>
      <w:rFonts w:ascii="Arial" w:hAnsi="Arial" w:eastAsia="黑体"/>
      <w:kern w:val="2"/>
      <w:sz w:val="24"/>
      <w:szCs w:val="24"/>
    </w:rPr>
  </w:style>
  <w:style w:type="character" w:customStyle="1" w:styleId="42">
    <w:name w:val="标题 9 Char"/>
    <w:link w:val="11"/>
    <w:qFormat/>
    <w:uiPriority w:val="0"/>
    <w:rPr>
      <w:rFonts w:ascii="Arial" w:hAnsi="Arial" w:eastAsia="黑体"/>
      <w:kern w:val="2"/>
      <w:sz w:val="21"/>
      <w:szCs w:val="21"/>
    </w:rPr>
  </w:style>
  <w:style w:type="character" w:customStyle="1" w:styleId="43">
    <w:name w:val="页眉 Char"/>
    <w:link w:val="19"/>
    <w:qFormat/>
    <w:uiPriority w:val="99"/>
    <w:rPr>
      <w:kern w:val="2"/>
      <w:sz w:val="18"/>
      <w:szCs w:val="18"/>
    </w:rPr>
  </w:style>
  <w:style w:type="character" w:customStyle="1" w:styleId="44">
    <w:name w:val="页脚 Char"/>
    <w:link w:val="18"/>
    <w:qFormat/>
    <w:uiPriority w:val="99"/>
    <w:rPr>
      <w:rFonts w:ascii="宋体"/>
      <w:kern w:val="2"/>
      <w:sz w:val="18"/>
      <w:szCs w:val="18"/>
    </w:rPr>
  </w:style>
  <w:style w:type="character" w:customStyle="1" w:styleId="45">
    <w:name w:val="批注框文本 Char"/>
    <w:link w:val="17"/>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4"/>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link w:val="234"/>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vAnchor="page" w:hAnchor="page" w:x="1419" w:y="14097"/>
    </w:pPr>
  </w:style>
  <w:style w:type="paragraph" w:customStyle="1" w:styleId="194">
    <w:name w:val="其他实施日期"/>
    <w:basedOn w:val="154"/>
    <w:qFormat/>
    <w:uiPriority w:val="0"/>
    <w:pPr>
      <w:framePr w:w="3997" w:h="471" w:hRule="exact" w:vSpace="181"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列出段落1"/>
    <w:basedOn w:val="1"/>
    <w:semiHidden/>
    <w:qFormat/>
    <w:uiPriority w:val="0"/>
    <w:pPr>
      <w:adjustRightInd/>
      <w:spacing w:line="240" w:lineRule="auto"/>
      <w:ind w:firstLine="420" w:firstLineChars="200"/>
    </w:pPr>
  </w:style>
  <w:style w:type="paragraph" w:customStyle="1" w:styleId="231">
    <w:name w:val="列出段落2"/>
    <w:basedOn w:val="1"/>
    <w:semiHidden/>
    <w:qFormat/>
    <w:uiPriority w:val="0"/>
    <w:pPr>
      <w:adjustRightInd/>
      <w:spacing w:line="240" w:lineRule="auto"/>
      <w:ind w:firstLine="420" w:firstLineChars="200"/>
    </w:pPr>
  </w:style>
  <w:style w:type="paragraph" w:customStyle="1" w:styleId="232">
    <w:name w:val="一级条标题"/>
    <w:next w:val="233"/>
    <w:qFormat/>
    <w:uiPriority w:val="0"/>
    <w:pPr>
      <w:numPr>
        <w:ilvl w:val="1"/>
        <w:numId w:val="3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33">
    <w:name w:val="段"/>
    <w:qFormat/>
    <w:uiPriority w:val="0"/>
    <w:pPr>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4">
    <w:name w:val="标准文件_字母编号列项（一级） Char"/>
    <w:link w:val="174"/>
    <w:qFormat/>
    <w:uiPriority w:val="0"/>
    <w:rPr>
      <w:rFonts w:ascii="宋体" w:hAnsi="Times New Roman" w:eastAsia="宋体" w:cs="Times New Roman"/>
      <w:sz w:val="21"/>
      <w:lang w:val="en-US" w:eastAsia="zh-CN" w:bidi="ar-SA"/>
    </w:rPr>
  </w:style>
  <w:style w:type="paragraph" w:customStyle="1" w:styleId="235">
    <w:name w:val="_Style 149"/>
    <w:basedOn w:val="1"/>
    <w:next w:val="236"/>
    <w:qFormat/>
    <w:uiPriority w:val="1"/>
    <w:pPr>
      <w:ind w:firstLine="420" w:firstLineChars="200"/>
    </w:pPr>
    <w:rPr>
      <w:rFonts w:ascii="Calibri" w:hAnsi="Calibri"/>
      <w:szCs w:val="22"/>
    </w:rPr>
  </w:style>
  <w:style w:type="paragraph" w:styleId="236">
    <w:name w:val="List Paragraph"/>
    <w:basedOn w:val="1"/>
    <w:qFormat/>
    <w:uiPriority w:val="1"/>
    <w:pPr>
      <w:ind w:firstLine="420" w:firstLineChars="200"/>
    </w:pPr>
    <w:rPr>
      <w:rFonts w:ascii="Calibri" w:hAnsi="Calibri"/>
      <w:szCs w:val="22"/>
    </w:rPr>
  </w:style>
  <w:style w:type="paragraph" w:customStyle="1" w:styleId="237">
    <w:name w:val="Body text|1"/>
    <w:basedOn w:val="1"/>
    <w:qFormat/>
    <w:uiPriority w:val="0"/>
    <w:pPr>
      <w:spacing w:line="418" w:lineRule="auto"/>
      <w:ind w:firstLine="400"/>
    </w:pPr>
    <w:rPr>
      <w:rFonts w:ascii="宋体" w:hAnsi="宋体" w:eastAsia="宋体" w:cs="宋体"/>
      <w:sz w:val="28"/>
      <w:szCs w:val="28"/>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jpeg"/><Relationship Id="rId17" Type="http://schemas.openxmlformats.org/officeDocument/2006/relationships/image" Target="media/image1.tiff"/><Relationship Id="rId16" Type="http://schemas.openxmlformats.org/officeDocument/2006/relationships/theme" Target="theme/theme1.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xgzx005/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4315E125E244DC7A90BFD99E575EBB8"/>
        <w:style w:val=""/>
        <w:category>
          <w:name w:val="常规"/>
          <w:gallery w:val="placeholder"/>
        </w:category>
        <w:types>
          <w:type w:val="bbPlcHdr"/>
        </w:types>
        <w:behaviors>
          <w:behavior w:val="content"/>
        </w:behaviors>
        <w:description w:val=""/>
        <w:guid w:val="{DA9DE409-E701-4D3E-8E62-D5E9E3E5087F}"/>
      </w:docPartPr>
      <w:docPartBody>
        <w:p>
          <w:pPr>
            <w:pStyle w:val="5"/>
          </w:pPr>
          <w:r>
            <w:rPr>
              <w:rStyle w:val="4"/>
              <w:rFonts w:hint="eastAsia"/>
            </w:rPr>
            <w:t>单击或点击此处输入文字。</w:t>
          </w:r>
        </w:p>
      </w:docPartBody>
    </w:docPart>
    <w:docPart>
      <w:docPartPr>
        <w:name w:val="1F07C7628AC34C30B7992F9FF51A6AF0"/>
        <w:style w:val=""/>
        <w:category>
          <w:name w:val="常规"/>
          <w:gallery w:val="placeholder"/>
        </w:category>
        <w:types>
          <w:type w:val="bbPlcHdr"/>
        </w:types>
        <w:behaviors>
          <w:behavior w:val="content"/>
        </w:behaviors>
        <w:description w:val=""/>
        <w:guid w:val="{2E263DC3-EA87-4E60-8EB3-414D34F3BE8E}"/>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圆B5"/>
    <w:panose1 w:val="02010600030101010101"/>
    <w:charset w:val="86"/>
    <w:family w:val="auto"/>
    <w:pitch w:val="default"/>
    <w:sig w:usb0="00000000" w:usb1="00000000" w:usb2="00000016" w:usb3="00000000" w:csb0="0004000F" w:csb1="00000000"/>
  </w:font>
  <w:font w:name="等线">
    <w:altName w:val="汉仪仿宋S"/>
    <w:panose1 w:val="00000000000000000000"/>
    <w:charset w:val="86"/>
    <w:family w:val="auto"/>
    <w:pitch w:val="default"/>
    <w:sig w:usb0="00000000" w:usb1="00000000" w:usb2="00000000" w:usb3="00000000" w:csb0="00000000" w:csb1="00000000"/>
  </w:font>
  <w:font w:name="等线">
    <w:altName w:val="汉仪仿宋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true"/>
  <w:bordersDoNotSurroundFooter w:val="true"/>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5D3F"/>
    <w:rsid w:val="00196DDB"/>
    <w:rsid w:val="00966D32"/>
    <w:rsid w:val="00D41AEE"/>
    <w:rsid w:val="00D56CF2"/>
    <w:rsid w:val="00D65D3F"/>
    <w:rsid w:val="00EC5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24315E125E244DC7A90BFD99E575EBB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CB0FE77AABF1433786491630DE90420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1F07C7628AC34C30B7992F9FF51A6AF0"/>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21</Pages>
  <Words>9276</Words>
  <Characters>10298</Characters>
  <Lines>123</Lines>
  <Paragraphs>34</Paragraphs>
  <TotalTime>31</TotalTime>
  <ScaleCrop>false</ScaleCrop>
  <LinksUpToDate>false</LinksUpToDate>
  <CharactersWithSpaces>10694</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2023-11-01T19:48:00Z</dcterms:created>
  <dc:creator>1</dc:creator>
  <dc:description>&lt;config cover="true" show_menu="true" version="1.0.0" doctype="SDKXY"&gt;_x000d_
&lt;/config&gt;</dc:description>
  <cp:lastModifiedBy>xgzx005</cp:lastModifiedBy>
  <cp:lastPrinted>2024-04-11T10:56:00Z</cp:lastPrinted>
  <dcterms:modified xsi:type="dcterms:W3CDTF">2024-04-11T08:46:37Z</dcterms:modified>
  <dc:title>地方标准</dc:title>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2052-11.8.2.10125</vt:lpwstr>
  </property>
  <property fmtid="{D5CDD505-2E9C-101B-9397-08002B2CF9AE}" pid="16" name="ICV">
    <vt:lpwstr>122F3871E63E48BBA7DED35AEAD19D51_13</vt:lpwstr>
  </property>
</Properties>
</file>