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2"/>
          <w:szCs w:val="32"/>
          <w:lang w:eastAsia="zh-CN"/>
        </w:rPr>
        <w:t>附件</w:t>
      </w:r>
    </w:p>
    <w:p>
      <w:pPr>
        <w:jc w:val="center"/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巴中市2024年第一批新</w:t>
      </w:r>
      <w:r>
        <w:rPr>
          <w:rFonts w:hint="eastAsia" w:ascii="Times New Roman" w:hAnsi="Times New Roman" w:eastAsia="方正小标宋简体" w:cs="Times New Roman"/>
          <w:color w:val="auto"/>
          <w:sz w:val="44"/>
          <w:szCs w:val="44"/>
          <w:lang w:eastAsia="zh-CN"/>
        </w:rPr>
        <w:t>增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eastAsia="zh-CN"/>
        </w:rPr>
        <w:t>医疗服务项目价格标准及医保报销类别表</w:t>
      </w:r>
    </w:p>
    <w:tbl>
      <w:tblPr>
        <w:tblStyle w:val="5"/>
        <w:tblpPr w:leftFromText="180" w:rightFromText="180" w:vertAnchor="text" w:horzAnchor="page" w:tblpXSpec="center" w:tblpY="351"/>
        <w:tblOverlap w:val="never"/>
        <w:tblW w:w="1487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20"/>
        <w:gridCol w:w="1177"/>
        <w:gridCol w:w="1341"/>
        <w:gridCol w:w="3929"/>
        <w:gridCol w:w="1614"/>
        <w:gridCol w:w="694"/>
        <w:gridCol w:w="1779"/>
        <w:gridCol w:w="628"/>
        <w:gridCol w:w="628"/>
        <w:gridCol w:w="628"/>
        <w:gridCol w:w="628"/>
        <w:gridCol w:w="628"/>
        <w:gridCol w:w="78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3" w:hRule="atLeast"/>
          <w:tblHeader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111000004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多学科联合诊疗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由三个及以上多个相关学科的副主任医师（含）以上医务人员组成工作组，针对疑难疾病或危重症患者，量身定制个体化的综合诊疗方案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超过3个学科，每增加1个学科加收25%，加收最多不超过50%。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111000004-1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多学科联合诊疗(每增加1个学科加收)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120400011-2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中心静脉导管拔管术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29.6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121500003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人工辅助通便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人工辅助扩肛、排便，观察并记录。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210103035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四肢血管造影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单肢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210200000-1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三维容积重建加收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220301001-10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彩色多普勒超声常规检查（双胎加收）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220302011-3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腔内彩色多普勒超声检查（排卵监测）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220600004-3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心脏彩色多普勒超声（双胎加收）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220600006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术中经食管超声心动图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含术前检查或术后疗效观察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半小时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230200055-1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骨密度测定（单能骨密度测定）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240300017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图像引导的调强放射治疗(IGRT)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调用治疗计划，摆位，对肿瘤、正常组织器官或患者体表轮廓进行定位，图像引导操作及照射，以达到靶区精确放疗和减少正常组织受照的目的。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不与适型调强放射治疗（IMRT）、直线加速器适型治疗同时计费。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946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817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240500002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填充模具设计及制作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eastAsia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250102024-1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尿沉渣定量(流式细胞仪法加收)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250103001-1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粪便常规（仪器法加收）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250306011-4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血同型半胱氨酸测定（酶法）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250308006-1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血清脂肪酶测定(比浊法)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8.9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7.5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250402017-2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抗甲状腺球蛋白抗体测定(TGAb)（化学发光法加收）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250404012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鳞状细胞癌相关抗原测定（SCC）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指各种免疫学方法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化学发光法加收22元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250404012-1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鳞状细胞癌相关抗原测定（SCC）（化学发光法加收）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250501009-1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一般细菌培养及鉴定（质谱法加收）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250501011-2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血培养及鉴定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（质谱法加收）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血培养及鉴定（质谱法加收）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250501012-2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厌氧菌培养及鉴定（质谱法加收）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厌氧菌培养及鉴定（质谱法加收）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250501027-1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真菌培养及鉴定（质谱法加收）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真菌培养及鉴定（质谱法加收）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250700010-3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唐氏综合症筛查（每增加一联加 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270700005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人乳头瘤病毒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（HPV）E6/E7 mRNA 检测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样本采集、签收、处理，检测样本，审核结果，录入实验室信息系统或人工登记，发送报告；按规定处理废弃物；接受临床相关咨询。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适应于感染高危14种HPV病毒阳性下进行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310204007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术中甲状旁腺组织鉴别诊断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7"/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 w:bidi="ar"/>
              </w:rPr>
              <w:t>术中显露甲状旁腺（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 w:bidi="ar"/>
              </w:rPr>
              <w:t>1-4 个），鉴别甲状旁腺组织，记录鉴别结论。不含手术治疗、不含病理学诊断。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每标本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244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200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310208001-1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垂体激素泵持续皮下注射促性腺 激素释放激素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小时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1.5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310401050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耳鸣声学干预治疗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通过合理匹配参数，进行调频调幅信号调控处理，制定个性化声学刺激信号，以抑制或减缓耳鸣。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适用于扰人性耳鸣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310702007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永久起搏器安置术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起搏器、心导 管、电极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 w:bidi="ar"/>
              </w:rPr>
              <w:t>传导系统起搏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 w:bidi="ar"/>
              </w:rPr>
              <w:t>加收703元，限心室</w:t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Style w:val="8"/>
                <w:rFonts w:hint="default" w:ascii="Times New Roman" w:hAnsi="Times New Roman" w:eastAsia="宋体" w:cs="Times New Roman"/>
                <w:b/>
                <w:bCs/>
                <w:color w:val="auto"/>
                <w:sz w:val="20"/>
                <w:szCs w:val="20"/>
                <w:lang w:val="en-US" w:eastAsia="zh-CN" w:bidi="ar"/>
              </w:rPr>
              <w:t>起搏比例大于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40%或再同步化治疗左室电极植入失败的患者适用。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310702007-1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永久起搏器安置术（传导系统起搏加收）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703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310903010-1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经肠镜特殊治疗(微波加收)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310903010-2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经肠镜特殊治疗(激光加收)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310903010-3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经肠镜特殊治疗(电切法加收)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310903015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内镜逆行阑尾炎治疗术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经内镜冲洗阑尾、取出粪石或狭窄扩张、引流减压，治疗阑尾炎。出具图文报告。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5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310904005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肛直肠肌电测量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310905028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肝脏储备功能测定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摆位，消毒，推注药物，将检查仪与患者连接，监测记录，出具肝脏储备功能定量诊断报告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311000026-2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经输尿管镜碎石取石术（激光法加收）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6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311000042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家庭腹膜透析治疗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对院外自行进行腹膜透析治疗的患者按照《腹膜透析标准操作规程》（SOP）进行规范的培训、指导、随访，以及患者定期回到医院，由腹透医生或护士对 患者临床状况进行评估（含出口处及隧道评估、导管相关并发症评估、腹膜炎 危险因素评估、生存质量、营养及心理状态评估、透析处方和药物调整、处理患者居家透析常见问题）。每月至少随访 1 次，记录随访、评估及指导情况。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碘伏帽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月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215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311000043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功能不良内瘘溶栓术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对于内瘘在使用过程中出现出血不畅， 不能保证足够的血流量供血液净化治 疗，经过一系列检查考虑有血栓形成， 需要用溶栓药物治疗内瘘功能不良。一 般用溶栓药物注射进瘘管，保留一段时 间后观察内瘘通畅程度是否改善。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311400058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窄谱紫外线治疗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含UVA、UVB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全身照射加收37元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311400058-1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窄谱紫外线治疗(全身照射加收)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320200007-3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经皮静脉栓塞术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1608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1397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1185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1037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3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320500017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冠脉血管内压力导丝测定术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备有除颤仪及除颤电极的条件下，消毒铺巾，局部麻醉，穿刺动脉，放置鞘管，冠状动脉造影后经鞘管在监护仪监护及DSA引导下，沿引导钢丝将指引导管送至冠状动脉开口，根据冠状动脉造影结果决定需要检查的病变，将压力导丝尾端连接处理工作站后将其尖端送至指引导管尖端，以测得的压力进行校准，之后将压力导丝通过病变送至病变血管远端，缓慢回撤，同步记录压力并计算血流储备分数，对数据进行分析。必要时可冠脉内或静脉内注射扩张血管药物，了解冠脉血流储备。含监护、DSA引导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血管鞘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无创冠脉功能血流储备分数测定适用于稳定型冠心病(SCAD)患者的血管功能评估、急性冠脉综合征非罪犯血管功能评估，价格按该标准收取。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1944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1782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1620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1459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1419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38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330100003-7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椎管内麻醉(分娩镇痛加收)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2小时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椎管内分娩镇痛，2小时内加收352元，超过2小时每增加1小时在椎管内麻醉基础上加收108元，加收总费用不超过1220元，使用一次性麻醉呼吸回路、镇痛泵单独计费。椎管内分娩镇痛不与术后镇痛同时计费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6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330100003-8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椎管内麻醉(分娩镇痛超过2小时每增加1小时加收)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1小时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椎管内分娩镇痛，2小时内加收352元，超过2小时每增加1小时在椎管内麻醉基础上加收108元，加收总费用不超过1220元，使用一次性麻醉呼吸回路、镇痛泵单独计费。椎管内分娩镇痛不与术后镇痛同时计费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60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330100019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麻醉风险监测与调控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手术前，由麻醉医师对患者围术期困难气道、心血管不良事件、卒中、谵妄、中重度疼痛、恶心呕吐等不良事件，开展一对一风险监测，并出具监测评定报告和围术期个体化监测、干预、调控措施和方案，以降低不良事件发生率，提升围术期安全性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同次麻醉手术限收一次。需完成不少于6个不良事件。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330202019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经皮三叉神经半月节球囊压迫术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在影像学引导下行半月神经节穿刺，将穿刺鞘管置入半月神经节麦克氏(Meckel's)囊后，放入球囊，注入造影剂，将球囊调整至合适形状，压迫。释放造影剂，拔出球囊及穿刺鞘管。不含影像学引导。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3016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2764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2262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2240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330404008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翼状胬肉切除+角膜移植术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包括角膜肿物切除+角膜移植术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干细胞移植加收74元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330404008-1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翼状胬肉切除+角膜移植术(干细胞移植加收)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330404008-2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翼状胬肉切除＋角膜移植术(角膜肿物切除+角膜移植术)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984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895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725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330604005-7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复杂牙拔除术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（牙科微动力系统加收）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330604006-4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阻生牙拔除术</w:t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（牙科微动力系统加收）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每牙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330607018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颞下颌关节置换术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通过外科手术将假体植入人体颞下颌关节内，恢复颞下颌关节功能。价格涵盖组织切开、假体植入、内固定、关闭缝合术区伤口等手术步骤所耗费的人力资源和基本物质消耗。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骨代用品及特殊材料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1702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1560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1418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1277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1134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331301000-1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卵巢手术(使用单孔腔镜加收)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331302000-1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输卵管手术(使用单孔腔镜加收)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331303000-1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子宫手术(使用单孔腔镜加收)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35%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331306011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宫腔镜下妊娠残留组织清除术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麻醉，外阴阴道消毒辅巾，放置扩阴器，暴露宫颈，置入宫腔镜，探查妊娠残留组织，明确病灶部位、大小、数量，观察残留组织周围的粘连情况，清除残留妊娠组织，止血。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一次性电切环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主要适用于：1.人工流产术、刮宫术后，存在妊娠残留组织，经传统治疗无效的或异常部位妊娠(如宫角妊娠、瘢痕妊娠、宫颈妊娠等)的；2.分娩后或大月份引产术后宫内妊娠组织有残留的。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1551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1293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1163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331400002-1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单胎顺产接生（瘢痕子宫加收）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486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编码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项目内涵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除外内容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计价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单位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说明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三乙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二甲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二乙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以下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报销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方正黑体_GBK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类别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60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331501059-1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经皮椎体成形术(每增加一椎体加收)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每椎体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331523002-1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皮肤牵引术(每日加收)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62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331523003-1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骨骼牵引术(每日加收)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2.2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63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331523004-1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颅骨牵引术(每日加收)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日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3.7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64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331601013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乳腺假体取出术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单侧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997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673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712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65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340200044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肌张力评定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采用肌张力测定仪对患者进行检查，评 估肌肉的张力，出具肌张力报告。价格 涵盖测量点设计、仪器测试、分析、存 储等步骤的人力资源和基本物资消耗。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12.6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11.8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9.6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66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CEZK1000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胰岛素样生长因子测定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发光底物、探针洗液、探针清洗液、反应杯。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56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7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67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HPB65601-1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经电子内镜结直肠黏膜剥离术(ESD)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3400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3300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3200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3100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2635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1" w:hRule="atLeast"/>
          <w:jc w:val="center"/>
        </w:trPr>
        <w:tc>
          <w:tcPr>
            <w:tcW w:w="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11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HPE77303</w:t>
            </w:r>
          </w:p>
        </w:tc>
        <w:tc>
          <w:tcPr>
            <w:tcW w:w="13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经口内镜环状肌切开术（POEM）</w:t>
            </w:r>
          </w:p>
        </w:tc>
        <w:tc>
          <w:tcPr>
            <w:tcW w:w="39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胃镜检查，气管插管麻醉，POEM手术费。</w:t>
            </w:r>
          </w:p>
        </w:tc>
        <w:tc>
          <w:tcPr>
            <w:tcW w:w="16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1、粘膜下注射药物；2、高频电刀；3、金属夹；4、高频止血钳</w:t>
            </w:r>
          </w:p>
        </w:tc>
        <w:tc>
          <w:tcPr>
            <w:tcW w:w="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次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both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1332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1221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1110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1054</w:t>
            </w:r>
          </w:p>
        </w:tc>
        <w:tc>
          <w:tcPr>
            <w:tcW w:w="6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1000</w:t>
            </w:r>
          </w:p>
        </w:tc>
        <w:tc>
          <w:tcPr>
            <w:tcW w:w="7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2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乙</w:t>
            </w:r>
          </w:p>
        </w:tc>
      </w:tr>
    </w:tbl>
    <w:p>
      <w:pPr>
        <w:pStyle w:val="3"/>
        <w:jc w:val="both"/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sectPr>
          <w:footerReference r:id="rId3" w:type="default"/>
          <w:pgSz w:w="16838" w:h="11906" w:orient="landscape"/>
          <w:pgMar w:top="1417" w:right="1417" w:bottom="1417" w:left="1417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rtlGutter w:val="0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宋体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方正仿宋_GBK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ascii="Times New Roman" w:hAnsi="Times New Roman" w:eastAsia="方正仿宋_GBK" w:cs="Times New Roman"/>
                              <w:sz w:val="28"/>
                              <w:szCs w:val="28"/>
                              <w:lang w:eastAsia="zh-CN"/>
                            </w:rPr>
                            <w:t>－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LNJWO7QAAAABQEAAA8AAAAAAAAA&#10;AQAgAAAAIgAAAGRycy9kb3ducmV2LnhtbFBLAQIUABQAAAAIAIdO4kArqOpyGQIAACEEAAAOAAAA&#10;AAAAAAEAIAAAAB8BAABkcnMvZTJvRG9jLnhtbFBLBQYAAAAABgAGAFkBAACq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eastAsia="方正仿宋_GBK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ascii="Times New Roman" w:hAnsi="Times New Roman" w:eastAsia="方正仿宋_GBK" w:cs="Times New Roman"/>
                        <w:sz w:val="28"/>
                        <w:szCs w:val="28"/>
                        <w:lang w:eastAsia="zh-CN"/>
                      </w:rPr>
                      <w:t>－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340A8A"/>
    <w:rsid w:val="6C340A8A"/>
    <w:rsid w:val="6C672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next w:val="1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Body Text"/>
    <w:qFormat/>
    <w:uiPriority w:val="0"/>
    <w:pPr>
      <w:widowControl w:val="0"/>
      <w:spacing w:before="0" w:after="140" w:line="276" w:lineRule="auto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kern w:val="2"/>
      <w:sz w:val="18"/>
      <w:szCs w:val="24"/>
      <w:lang w:val="en-US" w:eastAsia="zh-CN" w:bidi="ar-SA"/>
    </w:rPr>
  </w:style>
  <w:style w:type="character" w:customStyle="1" w:styleId="7">
    <w:name w:val="font121"/>
    <w:qFormat/>
    <w:uiPriority w:val="0"/>
    <w:rPr>
      <w:rFonts w:hint="eastAsia" w:ascii="CESI宋体-GB2312" w:hAnsi="CESI宋体-GB2312" w:eastAsia="CESI宋体-GB2312" w:cs="CESI宋体-GB2312"/>
      <w:color w:val="000000"/>
      <w:sz w:val="22"/>
      <w:szCs w:val="22"/>
      <w:u w:val="none"/>
    </w:rPr>
  </w:style>
  <w:style w:type="character" w:customStyle="1" w:styleId="8">
    <w:name w:val="font112"/>
    <w:qFormat/>
    <w:uiPriority w:val="0"/>
    <w:rPr>
      <w:rFonts w:hint="eastAsia" w:ascii="CESI宋体-GB2312" w:hAnsi="CESI宋体-GB2312" w:eastAsia="CESI宋体-GB2312" w:cs="CESI宋体-GB231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2024-04-03T02:32:00Z</dcterms:created>
  <dc:creator>玲玲</dc:creator>
  <cp:lastModifiedBy>玲玲</cp:lastModifiedBy>
  <dcterms:modified xsi:type="dcterms:W3CDTF">2024-04-03T02:42:35Z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