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四川省新修订医疗服务价格项目表</w:t>
      </w:r>
    </w:p>
    <w:tbl>
      <w:tblPr>
        <w:tblStyle w:val="4"/>
        <w:tblW w:w="14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6"/>
        <w:gridCol w:w="1316"/>
        <w:gridCol w:w="2176"/>
        <w:gridCol w:w="2560"/>
        <w:gridCol w:w="1288"/>
        <w:gridCol w:w="870"/>
        <w:gridCol w:w="2680"/>
        <w:gridCol w:w="683"/>
        <w:gridCol w:w="683"/>
        <w:gridCol w:w="664"/>
        <w:gridCol w:w="645"/>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blHeader/>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编码</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项目名称</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项目内涵</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除外内容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单位</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计价说明</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三甲</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三乙</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二甲</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二乙</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二乙</w:t>
            </w:r>
            <w:r>
              <w:rPr>
                <w:rFonts w:hint="default" w:ascii="Times New Roman" w:hAnsi="Times New Roman" w:eastAsia="方正黑体_GBK" w:cs="Times New Roman"/>
                <w:b/>
                <w:bCs/>
                <w:i w:val="0"/>
                <w:iCs w:val="0"/>
                <w:color w:val="000000"/>
                <w:kern w:val="0"/>
                <w:sz w:val="21"/>
                <w:szCs w:val="21"/>
                <w:u w:val="none"/>
                <w:lang w:val="en-US" w:eastAsia="zh-CN" w:bidi="ar"/>
              </w:rPr>
              <w:br w:type="textWrapping"/>
            </w:r>
            <w:r>
              <w:rPr>
                <w:rFonts w:hint="default" w:ascii="Times New Roman" w:hAnsi="Times New Roman" w:eastAsia="方正黑体_GBK" w:cs="Times New Roman"/>
                <w:b/>
                <w:bCs/>
                <w:i w:val="0"/>
                <w:iCs w:val="0"/>
                <w:color w:val="000000"/>
                <w:kern w:val="0"/>
                <w:sz w:val="21"/>
                <w:szCs w:val="21"/>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120400011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中心静脉穿刺置管术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包括深静脉穿刺置</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管术</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中心静脉套</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件、测压套件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增加：中心静脉导管</w:t>
            </w:r>
            <w:r>
              <w:rPr>
                <w:rFonts w:hint="default" w:ascii="Times New Roman" w:hAnsi="Times New Roman" w:eastAsia="宋体" w:cs="Times New Roman"/>
                <w:b/>
                <w:bCs/>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iCs w:val="0"/>
                <w:color w:val="000000"/>
                <w:kern w:val="0"/>
                <w:sz w:val="20"/>
                <w:szCs w:val="20"/>
                <w:highlight w:val="none"/>
                <w:u w:val="none"/>
                <w:lang w:val="en-US" w:eastAsia="zh-CN" w:bidi="ar"/>
              </w:rPr>
              <w:t>拔管术收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120400011-2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中心静脉导管拔管术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eastAsia="宋体" w:cs="Times New Roman"/>
                <w:b w:val="0"/>
                <w:bCs w:val="0"/>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jc w:val="center"/>
        </w:trPr>
        <w:tc>
          <w:tcPr>
            <w:tcW w:w="50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w:t>
            </w:r>
          </w:p>
        </w:tc>
        <w:tc>
          <w:tcPr>
            <w:tcW w:w="131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120700001</w:t>
            </w:r>
          </w:p>
        </w:tc>
        <w:tc>
          <w:tcPr>
            <w:tcW w:w="217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雾化吸入</w:t>
            </w:r>
          </w:p>
        </w:tc>
        <w:tc>
          <w:tcPr>
            <w:tcW w:w="256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包括超声、高压泵、氧化雾化、蒸气雾化吸入及机械通气经呼吸机管道雾化给药</w:t>
            </w:r>
          </w:p>
        </w:tc>
        <w:tc>
          <w:tcPr>
            <w:tcW w:w="128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药物，</w:t>
            </w:r>
            <w:r>
              <w:rPr>
                <w:rFonts w:hint="default" w:ascii="Times New Roman" w:hAnsi="Times New Roman" w:eastAsia="宋体" w:cs="Times New Roman"/>
                <w:b/>
                <w:bCs/>
                <w:i w:val="0"/>
                <w:iCs w:val="0"/>
                <w:color w:val="000000"/>
                <w:kern w:val="0"/>
                <w:sz w:val="20"/>
                <w:szCs w:val="20"/>
                <w:highlight w:val="none"/>
                <w:u w:val="none"/>
                <w:lang w:val="en-US" w:eastAsia="zh-CN" w:bidi="ar"/>
              </w:rPr>
              <w:t>增加： 一次性雾化器</w:t>
            </w:r>
          </w:p>
        </w:tc>
        <w:tc>
          <w:tcPr>
            <w:tcW w:w="87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超声雾化吸入、高压泵雾化吸入、氧气雾化吸入、机械通气经呼吸机管道雾化给药加收 元</w:t>
            </w:r>
          </w:p>
        </w:tc>
        <w:tc>
          <w:tcPr>
            <w:tcW w:w="68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8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6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2102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磁共振扫描</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（MRI）</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含胶片冲洗、数据存储介质、增强扫描用注射器耗材</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造影剂、麻醉及其药物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计价部位分为：颅脑、眼眶、垂体、中耳、颈部、胸部、心脏、上腹部、下腹部、颈椎、胸椎、腰椎、 双髋关节、膝关节、颞颌关节、其他。</w:t>
            </w:r>
            <w:r>
              <w:rPr>
                <w:rFonts w:hint="default" w:ascii="Times New Roman" w:hAnsi="Times New Roman" w:eastAsia="宋体" w:cs="Times New Roman"/>
                <w:b/>
                <w:bCs/>
                <w:i w:val="0"/>
                <w:iCs w:val="0"/>
                <w:color w:val="000000"/>
                <w:kern w:val="0"/>
                <w:sz w:val="20"/>
                <w:szCs w:val="20"/>
                <w:highlight w:val="none"/>
                <w:u w:val="none"/>
                <w:lang w:val="en-US" w:eastAsia="zh-CN" w:bidi="ar"/>
              </w:rPr>
              <w:t>增加计价部位：盆腔。增加：三维容积重建加收。</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210200000-1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三维容积重建加收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250203051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血浆蛋白 C 活性测定（PC）</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增加：仪器法加收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250203051-1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血浆蛋白 C 活性测定（PC，仪器法加收）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250203054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血浆蛋白 S 测定（PS）</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增加：仪器法加收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250203054-1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血浆蛋白 S 测定（PS，仪器法加收）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250306011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血同型半胱氨酸测定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指色谱法</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各种免疫学方法减收 元，荧光定量法加收 元，化学发光法加收 元。</w:t>
            </w:r>
            <w:r>
              <w:rPr>
                <w:rFonts w:hint="default" w:ascii="Times New Roman" w:hAnsi="Times New Roman" w:eastAsia="宋体" w:cs="Times New Roman"/>
                <w:b/>
                <w:bCs/>
                <w:i w:val="0"/>
                <w:iCs w:val="0"/>
                <w:color w:val="000000"/>
                <w:kern w:val="0"/>
                <w:sz w:val="20"/>
                <w:szCs w:val="20"/>
                <w:highlight w:val="none"/>
                <w:u w:val="none"/>
                <w:lang w:val="en-US" w:eastAsia="zh-CN" w:bidi="ar"/>
              </w:rPr>
              <w:t>增加：酶法减收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250306011-4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血同型半胱氨酸测定（酶法）</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250310054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降钙素原检测</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删除：免疫荧光定量分析法</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定性减收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250501009</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一般细菌培养及鉴定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增加：质谱法加收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5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250501009-1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一般细菌培养及鉴定（质谱法加收）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血培养及鉴定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仪器法加收 元。</w:t>
            </w:r>
            <w:r>
              <w:rPr>
                <w:rFonts w:hint="default" w:ascii="Times New Roman" w:hAnsi="Times New Roman" w:eastAsia="宋体" w:cs="Times New Roman"/>
                <w:b w:val="0"/>
                <w:bCs w:val="0"/>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iCs w:val="0"/>
                <w:color w:val="000000"/>
                <w:kern w:val="0"/>
                <w:sz w:val="20"/>
                <w:szCs w:val="20"/>
                <w:highlight w:val="none"/>
                <w:u w:val="none"/>
                <w:lang w:val="en-US" w:eastAsia="zh-CN" w:bidi="ar"/>
              </w:rPr>
              <w:t>增加：质谱法加收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250501011-2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血培养及鉴定</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（质谱法加收）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250501012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厌氧菌培养及</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鉴定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仪器法加收 元。</w:t>
            </w:r>
            <w:r>
              <w:rPr>
                <w:rFonts w:hint="default" w:ascii="Times New Roman" w:hAnsi="Times New Roman" w:eastAsia="宋体" w:cs="Times New Roman"/>
                <w:b w:val="0"/>
                <w:bCs w:val="0"/>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iCs w:val="0"/>
                <w:color w:val="000000"/>
                <w:kern w:val="0"/>
                <w:sz w:val="20"/>
                <w:szCs w:val="20"/>
                <w:highlight w:val="none"/>
                <w:u w:val="none"/>
                <w:lang w:val="en-US" w:eastAsia="zh-CN" w:bidi="ar"/>
              </w:rPr>
              <w:t>增加：质谱法加收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250501012-2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厌氧菌培养及鉴定（质谱法加收）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250501027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真菌培养及</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鉴定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增加：质谱法加收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250501027-1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真菌培养及鉴定（质谱法加收）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项</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250700010</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唐氏综合症</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筛查</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含检验项目；</w:t>
            </w:r>
            <w:r>
              <w:rPr>
                <w:rFonts w:hint="default" w:ascii="Times New Roman" w:hAnsi="Times New Roman" w:eastAsia="宋体" w:cs="Times New Roman"/>
                <w:b/>
                <w:bCs/>
                <w:i w:val="0"/>
                <w:iCs w:val="0"/>
                <w:color w:val="000000"/>
                <w:kern w:val="0"/>
                <w:sz w:val="20"/>
                <w:szCs w:val="20"/>
                <w:highlight w:val="none"/>
                <w:u w:val="none"/>
                <w:lang w:val="en-US" w:eastAsia="zh-CN" w:bidi="ar"/>
              </w:rPr>
              <w:t>删除：指时间分辨荧光免疫法</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同时查神经管缺陷加收 30%；查18—3体综合症加收20%。</w:t>
            </w:r>
            <w:r>
              <w:rPr>
                <w:rFonts w:hint="default" w:ascii="Times New Roman" w:hAnsi="Times New Roman" w:eastAsia="宋体" w:cs="Times New Roman"/>
                <w:b/>
                <w:bCs/>
                <w:i w:val="0"/>
                <w:iCs w:val="0"/>
                <w:color w:val="000000"/>
                <w:kern w:val="0"/>
                <w:sz w:val="20"/>
                <w:szCs w:val="20"/>
                <w:highlight w:val="none"/>
                <w:u w:val="none"/>
                <w:lang w:val="en-US" w:eastAsia="zh-CN" w:bidi="ar"/>
              </w:rPr>
              <w:t>增加：指二联筛查，每增加一联加收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250700010-3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唐氏综合症筛查（每增加一联加收）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270500001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特殊染色及酶组织化学染色诊断</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每个</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标本， 每种 染色</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增加：每个标本每种染色仪器法加收 元，最多不超过5种染色。</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270500001-1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特殊染色及酶组织化学染色诊断（每个标本每种染色仪器法加收）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每个 标本， 每种 染色</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310208001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胰岛素泵持续皮下注射胰岛素</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增加：包括垂体激素泵持续皮下注射促性腺激素释放激素</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输注管路、储药器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小时</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310208001-1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垂体激素泵持续皮下注射促性腺激素释放激素</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小时</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310300064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光学相干断层成相（OCT）</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含测眼球后极组织厚度及断面相</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“次</w:t>
            </w:r>
            <w:r>
              <w:rPr>
                <w:rFonts w:hint="default" w:ascii="Times New Roman" w:hAnsi="Times New Roman" w:eastAsia="宋体" w:cs="Times New Roman"/>
                <w:b/>
                <w:bCs/>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iCs w:val="0"/>
                <w:color w:val="000000"/>
                <w:kern w:val="0"/>
                <w:sz w:val="20"/>
                <w:szCs w:val="20"/>
                <w:highlight w:val="none"/>
                <w:u w:val="none"/>
                <w:lang w:val="en-US" w:eastAsia="zh-CN" w:bidi="ar"/>
              </w:rPr>
              <w:t>”修 订为： 单眼</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5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310702007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永久起搏器</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安置术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起搏器、心导 管、电极</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增加：传导系统起搏加收 元，限心室起搏比例大于 40% 或再同步化治疗左室电极植入失败的患者适用。</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5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310702007-1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永久起搏器安置术（传导系统起搏加收）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311000026</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经输尿管镜碎石取石术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弹道法加收 元；</w:t>
            </w:r>
            <w:r>
              <w:rPr>
                <w:rFonts w:hint="default" w:ascii="Times New Roman" w:hAnsi="Times New Roman" w:eastAsia="宋体" w:cs="Times New Roman"/>
                <w:b/>
                <w:bCs/>
                <w:i w:val="0"/>
                <w:iCs w:val="0"/>
                <w:color w:val="000000"/>
                <w:kern w:val="0"/>
                <w:sz w:val="20"/>
                <w:szCs w:val="20"/>
                <w:highlight w:val="none"/>
                <w:u w:val="none"/>
                <w:lang w:val="en-US" w:eastAsia="zh-CN" w:bidi="ar"/>
              </w:rPr>
              <w:t>增加：激光法加收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311000026-2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经输尿管镜碎石取石术（激光法加收）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320200007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经皮动脉栓塞术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包括动脉瘤、肿瘤等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栓塞剂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增加：经皮静脉栓塞术减收 元，不与经皮动脉栓塞同时收费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320200007-3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经皮静脉栓塞术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331400017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选择性减胎术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增加：单绒毛膜多胎妊娠选择性减胎加收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331400017-1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选择性减胎术</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（单绒毛膜多胎妊娠选择性减胎加收）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HPB65601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经电子内镜食管胃十二指肠黏膜剥离术（ESD）</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咽部麻醉，润滑，消泡，经口插入电子胃镜，胃镜检查，寻查肿物，于肿物基底部注射肾上腺素甘油果糖（或高渗盐水及美蓝或靛胭脂）以抬举病变黏膜部分，采用电刀等进行剥离，切除治疗。图文报告。不含 监护、病理学检查。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血管夹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增加：结直肠（ESD）参照计费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HPB65601-1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经电子内镜结直肠黏膜剥离术（ESD）</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220302011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腔内彩色多普勒超声检查</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包括经阴道、经直肠</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增加：排卵监测减收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220302011-3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腔内彩色多普勒超声检查（排卵监测）</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250302001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葡萄糖测定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指各种酶法；包括血清、脑脊液、尿标本</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干化学法加收 元；酶电极法加收 元。</w:t>
            </w:r>
            <w:r>
              <w:rPr>
                <w:rFonts w:hint="default" w:ascii="Times New Roman" w:hAnsi="Times New Roman" w:eastAsia="宋体" w:cs="Times New Roman"/>
                <w:b/>
                <w:bCs/>
                <w:i w:val="0"/>
                <w:iCs w:val="0"/>
                <w:color w:val="000000"/>
                <w:kern w:val="0"/>
                <w:sz w:val="20"/>
                <w:szCs w:val="20"/>
                <w:highlight w:val="none"/>
                <w:u w:val="none"/>
                <w:lang w:val="en-US" w:eastAsia="zh-CN" w:bidi="ar"/>
              </w:rPr>
              <w:t>删除：床边血糖仪检测加收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310511013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开髓引流术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含开髓。</w:t>
            </w:r>
            <w:r>
              <w:rPr>
                <w:rFonts w:hint="default" w:ascii="Times New Roman" w:hAnsi="Times New Roman" w:eastAsia="宋体" w:cs="Times New Roman"/>
                <w:b/>
                <w:bCs/>
                <w:i w:val="0"/>
                <w:iCs w:val="0"/>
                <w:color w:val="000000"/>
                <w:kern w:val="0"/>
                <w:sz w:val="20"/>
                <w:szCs w:val="20"/>
                <w:highlight w:val="none"/>
                <w:u w:val="none"/>
                <w:lang w:val="en-US" w:eastAsia="zh-CN" w:bidi="ar"/>
              </w:rPr>
              <w:t>删除：含麻醉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311000006</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血液透析</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包括碳酸液透析或醋酸液透析</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删除：乙肝、 丙肝、HIV、 梅毒传染病 患者，透析器和管路材料除外 增加：透析器 和管路材料</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MBBZX021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下肢功能步行反馈训练</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修订内涵：治疗师利用下肢康复器械对不同原因导致的步行功能障碍的患者进行步行反馈训练。</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治疗师 2 名；耗时 30</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330604005</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复杂牙拔除术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包括正常位牙齿因解剖变异、死髓或牙体治疗后其脆性增加、局部慢性炎症刺激 使牙槽骨发生致密性改变、牙-骨间骨性结合、与上颌窦关系密切、增龄性变化等所致的拔除困难</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增加：牙科微动力系统</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330604005-7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复杂牙拔除术</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（牙科微动力系统加收）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330604006</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阻生牙拔除术</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包括低位阻生、完全骨阻生的牙及多生牙</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增加：牙科微动力系统加收 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330604006-4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阻生牙拔除术</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（牙科微动力系统加收）</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每牙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340200003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日常生活能力评定</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宋体" w:cs="Times New Roman"/>
                <w:b w:val="0"/>
                <w:bCs w:val="0"/>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增加内涵：对患者的个人卫生、进食、更衣、排泄、入浴、器具使用、床上运动、 移动、步行、交流以及自助具的使用等进行评定。人工报告。</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p>
        </w:tc>
      </w:tr>
    </w:tbl>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备注：以上修订医疗服务价格项目参照现行各级分类“说明”执行，加粗字为修订内容。</w:t>
      </w:r>
      <w:bookmarkStart w:id="0" w:name="_GoBack"/>
      <w:bookmarkEnd w:id="0"/>
    </w:p>
    <w:sectPr>
      <w:pgSz w:w="16838" w:h="11906" w:orient="landscape"/>
      <w:pgMar w:top="1587" w:right="1440" w:bottom="158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WM5NzVhODRkYWMxMTQ4MzdhMjNmYzA3Yzg0OWEifQ=="/>
  </w:docVars>
  <w:rsids>
    <w:rsidRoot w:val="00172A27"/>
    <w:rsid w:val="0445105C"/>
    <w:rsid w:val="361658AA"/>
    <w:rsid w:val="685A6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3">
    <w:name w:val="toc 1"/>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沙漠孤舟</cp:lastModifiedBy>
  <dcterms:modified xsi:type="dcterms:W3CDTF">2024-01-26T03:59:55Z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EC4914CFD2324270A3E23D58166B4C82_12</vt:lpwstr>
  </property>
</Properties>
</file>