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4ECFA" w14:textId="77777777" w:rsidR="00593525" w:rsidRPr="000D744A" w:rsidRDefault="00CD278A" w:rsidP="0029790C">
      <w:pPr>
        <w:pStyle w:val="A-"/>
        <w:spacing w:beforeLines="50" w:before="120" w:after="120"/>
        <w:jc w:val="center"/>
        <w:rPr>
          <w:rFonts w:ascii="宋体" w:cs="宋体"/>
          <w:b/>
          <w:szCs w:val="24"/>
        </w:rPr>
      </w:pPr>
      <w:r w:rsidRPr="000D744A">
        <w:rPr>
          <w:b/>
        </w:rPr>
        <w:t>4022 Determination of Coefficient</w:t>
      </w:r>
      <w:r w:rsidRPr="000D744A">
        <w:rPr>
          <w:rFonts w:hint="eastAsia"/>
          <w:b/>
        </w:rPr>
        <w:t xml:space="preserve"> of</w:t>
      </w:r>
      <w:r w:rsidRPr="000D744A">
        <w:rPr>
          <w:b/>
        </w:rPr>
        <w:t xml:space="preserve"> Mean Linear Thermal Expansion for Glass</w:t>
      </w:r>
    </w:p>
    <w:p w14:paraId="5603FC2D" w14:textId="4355EFE9" w:rsidR="00593525" w:rsidRPr="000D744A" w:rsidRDefault="00CD278A" w:rsidP="00E96B64">
      <w:pPr>
        <w:pStyle w:val="A-"/>
        <w:spacing w:after="120"/>
        <w:ind w:firstLineChars="200" w:firstLine="480"/>
        <w:rPr>
          <w:szCs w:val="24"/>
        </w:rPr>
      </w:pPr>
      <w:r w:rsidRPr="000D744A">
        <w:t xml:space="preserve">The coefficient of mean linear thermal expansion is an important physical characteristic of glass. It refers to the elongation per unit length of glass as the temperature rises by 1℃ in a certain temperature range. This method provides for the determination of </w:t>
      </w:r>
      <w:r w:rsidR="00EC2545" w:rsidRPr="000D744A">
        <w:t xml:space="preserve">the </w:t>
      </w:r>
      <w:r w:rsidRPr="000D744A">
        <w:t xml:space="preserve">coefficient of mean linear thermal expansion of elastic solid glass well below the transition temperature. This method applies to the determination of </w:t>
      </w:r>
      <w:r w:rsidR="00EC2545" w:rsidRPr="000D744A">
        <w:t xml:space="preserve">the </w:t>
      </w:r>
      <w:r w:rsidRPr="000D744A">
        <w:t xml:space="preserve">coefficient of mean linear thermal expansion of glass </w:t>
      </w:r>
      <w:r w:rsidR="004C2BE7" w:rsidRPr="000D744A">
        <w:t xml:space="preserve">for pharmaceutical use </w:t>
      </w:r>
      <w:r w:rsidRPr="000D744A">
        <w:t>of various materials.</w:t>
      </w:r>
    </w:p>
    <w:p w14:paraId="71EE1D84" w14:textId="0B43B953" w:rsidR="00593525" w:rsidRPr="000D744A" w:rsidRDefault="00504044" w:rsidP="00E96B64">
      <w:pPr>
        <w:pStyle w:val="A-"/>
        <w:spacing w:after="120"/>
        <w:ind w:firstLineChars="200" w:firstLine="482"/>
        <w:rPr>
          <w:b/>
          <w:szCs w:val="24"/>
        </w:rPr>
      </w:pPr>
      <w:r w:rsidRPr="000D744A">
        <w:rPr>
          <w:b/>
        </w:rPr>
        <w:t>Determination Principle</w:t>
      </w:r>
    </w:p>
    <w:p w14:paraId="56EF429E" w14:textId="17A9FEE4" w:rsidR="00593525" w:rsidRPr="000D744A" w:rsidRDefault="00CD278A" w:rsidP="00E96B64">
      <w:pPr>
        <w:pStyle w:val="A-"/>
        <w:spacing w:after="120"/>
        <w:ind w:firstLineChars="200" w:firstLine="480"/>
        <w:rPr>
          <w:szCs w:val="24"/>
        </w:rPr>
      </w:pPr>
      <w:r w:rsidRPr="000D744A">
        <w:t>In this method, the sample of a certain length is heated to a certain temperature with the specified heating procedure</w:t>
      </w:r>
      <w:r w:rsidR="00F8113E" w:rsidRPr="000D744A">
        <w:rPr>
          <w:rFonts w:hint="eastAsia"/>
        </w:rPr>
        <w:t>.</w:t>
      </w:r>
      <w:r w:rsidRPr="000D744A">
        <w:t xml:space="preserve"> </w:t>
      </w:r>
      <w:r w:rsidR="00F8113E" w:rsidRPr="000D744A">
        <w:rPr>
          <w:rFonts w:hint="eastAsia"/>
        </w:rPr>
        <w:t>T</w:t>
      </w:r>
      <w:r w:rsidRPr="000D744A">
        <w:t xml:space="preserve">he elongation of the sample is measured after the temperature increases, and the coefficient </w:t>
      </w:r>
      <w:r w:rsidR="00504044" w:rsidRPr="000D744A">
        <w:rPr>
          <w:rFonts w:hint="eastAsia"/>
        </w:rPr>
        <w:t>of</w:t>
      </w:r>
      <w:r w:rsidR="00504044" w:rsidRPr="000D744A">
        <w:t xml:space="preserve"> </w:t>
      </w:r>
      <w:r w:rsidRPr="000D744A">
        <w:t>mean linear thermal expansion of the sample is calculated. It can be expressed as:</w:t>
      </w:r>
      <w:bookmarkStart w:id="0" w:name="_GoBack"/>
      <w:bookmarkEnd w:id="0"/>
    </w:p>
    <w:p w14:paraId="33DB965E" w14:textId="77777777" w:rsidR="00593525" w:rsidRPr="000D744A" w:rsidRDefault="00CD278A" w:rsidP="00E96B64">
      <w:pPr>
        <w:pStyle w:val="A-"/>
        <w:spacing w:after="120"/>
        <w:ind w:firstLineChars="200" w:firstLine="480"/>
        <w:rPr>
          <w:bCs/>
          <w:iCs/>
          <w:szCs w:val="24"/>
        </w:rPr>
      </w:pPr>
      <w:r w:rsidRPr="000D744A">
        <w:object w:dxaOrig="1792" w:dyaOrig="597" w14:anchorId="6AD0E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0pt" o:ole="">
            <v:imagedata r:id="rId9" o:title=""/>
          </v:shape>
          <o:OLEObject Type="Embed" ProgID="Equation.3" ShapeID="_x0000_i1025" DrawAspect="Content" ObjectID="_1768142069" r:id="rId10"/>
        </w:object>
      </w:r>
    </w:p>
    <w:p w14:paraId="67ACA6EC" w14:textId="77777777" w:rsidR="00593525" w:rsidRPr="000D744A" w:rsidRDefault="00CD278A" w:rsidP="00E96B64">
      <w:pPr>
        <w:pStyle w:val="A-"/>
        <w:spacing w:after="120"/>
        <w:ind w:firstLineChars="200" w:firstLine="480"/>
        <w:rPr>
          <w:szCs w:val="24"/>
        </w:rPr>
      </w:pPr>
      <w:r w:rsidRPr="000D744A">
        <w:t xml:space="preserve">Where, </w:t>
      </w:r>
      <w:r w:rsidRPr="000D744A">
        <w:rPr>
          <w:i/>
        </w:rPr>
        <w:t>t</w:t>
      </w:r>
      <w:r w:rsidRPr="000D744A">
        <w:rPr>
          <w:i/>
          <w:vertAlign w:val="subscript"/>
        </w:rPr>
        <w:t>0</w:t>
      </w:r>
      <w:r w:rsidRPr="000D744A">
        <w:t xml:space="preserve"> is the initial temperature or reference temperature, in ℃;</w:t>
      </w:r>
    </w:p>
    <w:p w14:paraId="658CA544" w14:textId="77777777" w:rsidR="00593525" w:rsidRPr="000D744A" w:rsidRDefault="00CD278A">
      <w:pPr>
        <w:pStyle w:val="A-"/>
        <w:spacing w:after="120"/>
        <w:ind w:leftChars="366" w:left="769"/>
        <w:rPr>
          <w:szCs w:val="24"/>
        </w:rPr>
      </w:pPr>
      <w:r w:rsidRPr="000D744A">
        <w:rPr>
          <w:i/>
        </w:rPr>
        <w:t>t</w:t>
      </w:r>
      <w:r w:rsidRPr="000D744A">
        <w:t xml:space="preserve"> is the temperature of the sample after being heated, in ℃;</w:t>
      </w:r>
    </w:p>
    <w:p w14:paraId="5FAD135E" w14:textId="77777777" w:rsidR="00593525" w:rsidRPr="000D744A" w:rsidRDefault="00CD278A">
      <w:pPr>
        <w:pStyle w:val="A-"/>
        <w:spacing w:after="120"/>
        <w:ind w:leftChars="366" w:left="769"/>
        <w:rPr>
          <w:szCs w:val="24"/>
        </w:rPr>
      </w:pPr>
      <w:r w:rsidRPr="000D744A">
        <w:rPr>
          <w:i/>
          <w:iCs/>
        </w:rPr>
        <w:t>L</w:t>
      </w:r>
      <w:r w:rsidRPr="000D744A">
        <w:rPr>
          <w:i/>
          <w:iCs/>
          <w:vertAlign w:val="subscript"/>
        </w:rPr>
        <w:t>0</w:t>
      </w:r>
      <w:r w:rsidRPr="000D744A">
        <w:t xml:space="preserve"> is the length of the glass sample at the temperature of </w:t>
      </w:r>
      <w:r w:rsidRPr="000D744A">
        <w:rPr>
          <w:i/>
          <w:iCs/>
        </w:rPr>
        <w:t>t</w:t>
      </w:r>
      <w:r w:rsidRPr="000D744A">
        <w:rPr>
          <w:i/>
          <w:iCs/>
          <w:vertAlign w:val="subscript"/>
        </w:rPr>
        <w:t>0</w:t>
      </w:r>
      <w:r w:rsidRPr="000D744A">
        <w:t xml:space="preserve"> during the test, in mm;</w:t>
      </w:r>
    </w:p>
    <w:p w14:paraId="0DCCEC0C" w14:textId="77777777" w:rsidR="00593525" w:rsidRPr="000D744A" w:rsidRDefault="00CD278A">
      <w:pPr>
        <w:pStyle w:val="A-"/>
        <w:spacing w:after="120"/>
        <w:ind w:leftChars="366" w:left="769"/>
        <w:rPr>
          <w:szCs w:val="24"/>
        </w:rPr>
      </w:pPr>
      <w:r w:rsidRPr="000D744A">
        <w:rPr>
          <w:i/>
        </w:rPr>
        <w:t>L</w:t>
      </w:r>
      <w:r w:rsidRPr="000D744A">
        <w:t xml:space="preserve"> is the length of the sample at the temperature of </w:t>
      </w:r>
      <w:r w:rsidRPr="000D744A">
        <w:rPr>
          <w:i/>
        </w:rPr>
        <w:t>t</w:t>
      </w:r>
      <w:r w:rsidRPr="000D744A">
        <w:t>, in mm.</w:t>
      </w:r>
    </w:p>
    <w:p w14:paraId="0988353F" w14:textId="0772FF36" w:rsidR="00593525" w:rsidRPr="000D744A" w:rsidRDefault="00CD278A" w:rsidP="00E96B64">
      <w:pPr>
        <w:pStyle w:val="A-"/>
        <w:spacing w:after="120"/>
        <w:ind w:firstLineChars="200" w:firstLine="480"/>
        <w:rPr>
          <w:szCs w:val="24"/>
        </w:rPr>
      </w:pPr>
      <w:r w:rsidRPr="000D744A">
        <w:t>If the temperature range of pharmaceutical glass product for linear thermal expansion coefficient index is</w:t>
      </w:r>
      <w:r w:rsidR="00995112" w:rsidRPr="00995112">
        <w:rPr>
          <w:rFonts w:hint="eastAsia"/>
        </w:rPr>
        <w:t xml:space="preserve"> </w:t>
      </w:r>
      <w:r w:rsidR="00C45800" w:rsidRPr="000D744A">
        <w:t>20-300</w:t>
      </w:r>
      <w:r w:rsidRPr="000D744A">
        <w:t xml:space="preserve">℃, then the nominal reference temperature, </w:t>
      </w:r>
      <w:r w:rsidRPr="000D744A">
        <w:rPr>
          <w:i/>
        </w:rPr>
        <w:t>t</w:t>
      </w:r>
      <w:r w:rsidRPr="000D744A">
        <w:rPr>
          <w:i/>
          <w:vertAlign w:val="subscript"/>
        </w:rPr>
        <w:t>0</w:t>
      </w:r>
      <w:r w:rsidR="00833B97" w:rsidRPr="000D744A">
        <w:t>, is 20</w:t>
      </w:r>
      <w:r w:rsidRPr="000D744A">
        <w:t xml:space="preserve">℃, and the terminal temperature of the sample, </w:t>
      </w:r>
      <w:r w:rsidRPr="000D744A">
        <w:rPr>
          <w:i/>
        </w:rPr>
        <w:t>t</w:t>
      </w:r>
      <w:r w:rsidR="00FF61A1" w:rsidRPr="000D744A">
        <w:rPr>
          <w:i/>
        </w:rPr>
        <w:t>,</w:t>
      </w:r>
      <w:r w:rsidRPr="000D744A">
        <w:t xml:space="preserve"> is 300 ℃, which can also be expressed as </w:t>
      </w:r>
      <w:r w:rsidRPr="000D744A">
        <w:rPr>
          <w:i/>
          <w:iCs/>
        </w:rPr>
        <w:t>a</w:t>
      </w:r>
      <w:r w:rsidR="00833B97" w:rsidRPr="000D744A">
        <w:t>(20℃; 300</w:t>
      </w:r>
      <w:r w:rsidRPr="000D744A">
        <w:t>℃).</w:t>
      </w:r>
    </w:p>
    <w:p w14:paraId="496F5DCB" w14:textId="0E146056" w:rsidR="00593525" w:rsidRPr="000D744A" w:rsidRDefault="00504044" w:rsidP="00E96B64">
      <w:pPr>
        <w:pStyle w:val="A-"/>
        <w:spacing w:after="120"/>
        <w:ind w:firstLineChars="200" w:firstLine="482"/>
        <w:rPr>
          <w:b/>
          <w:szCs w:val="24"/>
        </w:rPr>
      </w:pPr>
      <w:r w:rsidRPr="000D744A">
        <w:rPr>
          <w:b/>
        </w:rPr>
        <w:t>I</w:t>
      </w:r>
      <w:r w:rsidRPr="000D744A">
        <w:rPr>
          <w:rFonts w:hint="eastAsia"/>
          <w:b/>
        </w:rPr>
        <w:t>nstruments</w:t>
      </w:r>
      <w:r w:rsidR="00CD278A" w:rsidRPr="000D744A">
        <w:rPr>
          <w:b/>
        </w:rPr>
        <w:t xml:space="preserve"> </w:t>
      </w:r>
    </w:p>
    <w:p w14:paraId="2BBC04F0" w14:textId="6C09B7CF" w:rsidR="00593525" w:rsidRPr="000D744A" w:rsidRDefault="00E96B64" w:rsidP="00E96B64">
      <w:pPr>
        <w:pStyle w:val="A-"/>
        <w:spacing w:after="120"/>
        <w:ind w:firstLineChars="200" w:firstLine="480"/>
        <w:rPr>
          <w:szCs w:val="24"/>
        </w:rPr>
      </w:pPr>
      <w:r>
        <w:rPr>
          <w:rFonts w:hint="eastAsia"/>
        </w:rPr>
        <w:t>(1)</w:t>
      </w:r>
      <w:r w:rsidR="00CD278A" w:rsidRPr="000D744A">
        <w:t>Measuring device (for example, calipers), with an accuracy of 0.1%.</w:t>
      </w:r>
    </w:p>
    <w:p w14:paraId="671639EF" w14:textId="2344C96F" w:rsidR="00593525" w:rsidRPr="000D744A" w:rsidRDefault="00E96B64" w:rsidP="00E96B64">
      <w:pPr>
        <w:pStyle w:val="A-"/>
        <w:spacing w:after="120"/>
        <w:ind w:firstLineChars="200" w:firstLine="480"/>
        <w:rPr>
          <w:szCs w:val="24"/>
        </w:rPr>
      </w:pPr>
      <w:r>
        <w:rPr>
          <w:rFonts w:hint="eastAsia"/>
        </w:rPr>
        <w:t>(2)</w:t>
      </w:r>
      <w:r w:rsidR="00CD278A" w:rsidRPr="000D744A">
        <w:t>Push rod dilatometer (horizontal or vertical type), which can measure 2</w:t>
      </w:r>
      <w:r w:rsidR="00CD278A" w:rsidRPr="000D744A">
        <w:rPr>
          <w:rFonts w:ascii="宋体" w:hAnsi="宋体" w:cs="宋体" w:hint="eastAsia"/>
          <w:sz w:val="21"/>
          <w:szCs w:val="21"/>
        </w:rPr>
        <w:t>×</w:t>
      </w:r>
      <w:r w:rsidR="00CD278A" w:rsidRPr="000D744A">
        <w:t>10</w:t>
      </w:r>
      <w:r w:rsidR="00CD278A" w:rsidRPr="000D744A">
        <w:rPr>
          <w:vertAlign w:val="superscript"/>
        </w:rPr>
        <w:t>-5</w:t>
      </w:r>
      <w:r w:rsidR="00CD278A" w:rsidRPr="000D744A">
        <w:rPr>
          <w:i/>
        </w:rPr>
        <w:t xml:space="preserve"> L</w:t>
      </w:r>
      <w:r w:rsidR="00CD278A" w:rsidRPr="000D744A">
        <w:rPr>
          <w:i/>
          <w:vertAlign w:val="subscript"/>
        </w:rPr>
        <w:t>0</w:t>
      </w:r>
      <w:r w:rsidR="00CD278A" w:rsidRPr="000D744A">
        <w:t xml:space="preserve"> of variation in the length of the sample (i.e., 2 μm/100 mm). The contact force of the length</w:t>
      </w:r>
      <w:r w:rsidR="00D1262F" w:rsidRPr="000D744A">
        <w:rPr>
          <w:rFonts w:hint="eastAsia"/>
        </w:rPr>
        <w:t>-</w:t>
      </w:r>
      <w:r w:rsidR="00CD278A" w:rsidRPr="000D744A">
        <w:t>measuring device shall not exceed 1.0 N. This force acts through the contact between the plane and the sphere. The radius of curvature of the sphere shall not be smaller than the diameter of the sample. In some special devices, parallel planes are required.</w:t>
      </w:r>
    </w:p>
    <w:p w14:paraId="1CA6C9DC" w14:textId="77777777" w:rsidR="00E96B64" w:rsidRDefault="00CD278A" w:rsidP="00E96B64">
      <w:pPr>
        <w:pStyle w:val="A-"/>
        <w:spacing w:after="120"/>
        <w:ind w:firstLineChars="200" w:firstLine="480"/>
        <w:rPr>
          <w:szCs w:val="24"/>
        </w:rPr>
      </w:pPr>
      <w:r w:rsidRPr="000D744A">
        <w:t>The device bearing the sample shall ensure sample in a stable position, and the sample shall be on the same axis with the push rod shaft during the test to prevent any minor changes.</w:t>
      </w:r>
    </w:p>
    <w:p w14:paraId="19CAB28E" w14:textId="459AC30E" w:rsidR="00593525" w:rsidRPr="000D744A" w:rsidRDefault="00E96B64" w:rsidP="00E96B64">
      <w:pPr>
        <w:pStyle w:val="A-"/>
        <w:spacing w:after="120"/>
        <w:ind w:firstLineChars="200" w:firstLine="480"/>
        <w:rPr>
          <w:szCs w:val="24"/>
        </w:rPr>
      </w:pPr>
      <w:r>
        <w:rPr>
          <w:rFonts w:hint="eastAsia"/>
        </w:rPr>
        <w:t>(3)</w:t>
      </w:r>
      <w:r w:rsidR="00CD278A" w:rsidRPr="000D744A">
        <w:t>furnace</w:t>
      </w:r>
    </w:p>
    <w:p w14:paraId="36ABF7CD" w14:textId="4D7345C3" w:rsidR="00593525" w:rsidRPr="000D744A" w:rsidRDefault="00CD278A" w:rsidP="00E96B64">
      <w:pPr>
        <w:pStyle w:val="A-"/>
        <w:spacing w:after="120"/>
        <w:ind w:firstLineChars="200" w:firstLine="480"/>
      </w:pPr>
      <w:r w:rsidRPr="000D744A">
        <w:t xml:space="preserve">The heating furnace </w:t>
      </w:r>
      <w:r w:rsidR="005B456C" w:rsidRPr="000D744A">
        <w:rPr>
          <w:rFonts w:hint="eastAsia"/>
        </w:rPr>
        <w:t xml:space="preserve">should match </w:t>
      </w:r>
      <w:r w:rsidRPr="000D744A">
        <w:t>with the dilatometer, and its upper limit t</w:t>
      </w:r>
      <w:r w:rsidR="00C54A01" w:rsidRPr="000D744A">
        <w:t>emperature shall be at least 50</w:t>
      </w:r>
      <w:r w:rsidRPr="000D744A">
        <w:t>℃ higher than the expected transition temperature. The working position of the heating furnace relative to the dilatometer shall be reproducible within 0.5 mm in the axial and radial directions.</w:t>
      </w:r>
    </w:p>
    <w:p w14:paraId="7E4E5254" w14:textId="41239D6E" w:rsidR="00593525" w:rsidRPr="000D744A" w:rsidRDefault="00CD278A" w:rsidP="00E96B64">
      <w:pPr>
        <w:pStyle w:val="A-"/>
        <w:spacing w:after="120"/>
        <w:ind w:firstLineChars="200" w:firstLine="480"/>
        <w:rPr>
          <w:szCs w:val="24"/>
        </w:rPr>
      </w:pPr>
      <w:r w:rsidRPr="000D744A">
        <w:t>The furnace temperat</w:t>
      </w:r>
      <w:r w:rsidR="00463ADC" w:rsidRPr="000D744A">
        <w:t>ure shall be constant within ±1</w:t>
      </w:r>
      <w:r w:rsidRPr="000D744A">
        <w:t>℃ within the range of test temperatures (i.e., the upper</w:t>
      </w:r>
      <w:r w:rsidR="00155A42" w:rsidRPr="000D744A">
        <w:t xml:space="preserve"> limit temperature shall be 150</w:t>
      </w:r>
      <w:r w:rsidRPr="000D744A">
        <w:t xml:space="preserve">℃ lower than the highest expected transition temperature, </w:t>
      </w:r>
      <w:r w:rsidRPr="000D744A">
        <w:rPr>
          <w:i/>
        </w:rPr>
        <w:t>t</w:t>
      </w:r>
      <w:r w:rsidRPr="000D744A">
        <w:rPr>
          <w:i/>
          <w:vertAlign w:val="subscript"/>
        </w:rPr>
        <w:t>g</w:t>
      </w:r>
      <w:r w:rsidRPr="000D744A">
        <w:t xml:space="preserve">, and shall be at least </w:t>
      </w:r>
      <w:r w:rsidR="00155A42" w:rsidRPr="000D744A">
        <w:t>300</w:t>
      </w:r>
      <w:r w:rsidRPr="000D744A">
        <w:t>℃). The furnace temperature control device shall meet the control requirements that the</w:t>
      </w:r>
      <w:r w:rsidR="00463ADC" w:rsidRPr="000D744A">
        <w:t xml:space="preserve"> ramp rate is 5</w:t>
      </w:r>
      <w:r w:rsidR="00E96B64">
        <w:t>℃/min±1</w:t>
      </w:r>
      <w:r w:rsidRPr="000D744A">
        <w:t xml:space="preserve">℃/min. In the temperature range of </w:t>
      </w:r>
      <w:r w:rsidRPr="000D744A">
        <w:rPr>
          <w:i/>
        </w:rPr>
        <w:t>t</w:t>
      </w:r>
      <w:r w:rsidRPr="000D744A">
        <w:rPr>
          <w:i/>
          <w:vertAlign w:val="subscript"/>
        </w:rPr>
        <w:t>0</w:t>
      </w:r>
      <w:r w:rsidRPr="000D744A">
        <w:t xml:space="preserve"> and </w:t>
      </w:r>
      <w:r w:rsidRPr="000D744A">
        <w:rPr>
          <w:i/>
        </w:rPr>
        <w:t>t</w:t>
      </w:r>
      <w:r w:rsidRPr="000D744A">
        <w:t xml:space="preserve">, the temperature of the sample can be accurately determined, and </w:t>
      </w:r>
      <w:r w:rsidR="00463ADC" w:rsidRPr="000D744A">
        <w:t>the error shall be less than ±1</w:t>
      </w:r>
      <w:r w:rsidRPr="000D744A">
        <w:t>℃.</w:t>
      </w:r>
    </w:p>
    <w:p w14:paraId="1DB95F12" w14:textId="77777777" w:rsidR="00593525" w:rsidRPr="000D744A" w:rsidRDefault="00CD278A" w:rsidP="00E96B64">
      <w:pPr>
        <w:pStyle w:val="A-"/>
        <w:spacing w:after="120"/>
        <w:ind w:firstLineChars="200" w:firstLine="480"/>
        <w:rPr>
          <w:szCs w:val="24"/>
        </w:rPr>
      </w:pPr>
      <w:r w:rsidRPr="000D744A">
        <w:t>To check whether the whole test equipment is in normal operation, the reference material for mean linear thermal expansion coefficient of glass (national pharmaceutical reference material) shall be used to calibrate the instrument.</w:t>
      </w:r>
    </w:p>
    <w:p w14:paraId="6B81076F" w14:textId="2EAA569E" w:rsidR="00593525" w:rsidRPr="000D744A" w:rsidRDefault="00504044" w:rsidP="00E96B64">
      <w:pPr>
        <w:pStyle w:val="A-"/>
        <w:spacing w:after="120"/>
        <w:ind w:firstLineChars="200" w:firstLine="482"/>
        <w:rPr>
          <w:szCs w:val="24"/>
        </w:rPr>
      </w:pPr>
      <w:r w:rsidRPr="000D744A">
        <w:rPr>
          <w:b/>
        </w:rPr>
        <w:lastRenderedPageBreak/>
        <w:t>Sample P</w:t>
      </w:r>
      <w:r w:rsidRPr="000D744A">
        <w:rPr>
          <w:rFonts w:hint="eastAsia"/>
          <w:b/>
        </w:rPr>
        <w:t>reparation</w:t>
      </w:r>
      <w:r w:rsidR="00CD278A" w:rsidRPr="000D744A">
        <w:rPr>
          <w:b/>
        </w:rPr>
        <w:t xml:space="preserve"> </w:t>
      </w:r>
      <w:r w:rsidR="00CD278A" w:rsidRPr="000D744A">
        <w:t>Select a sample without obvious defects in appearance and cut into the shape and size required by the instrument by mechanical cutting or other processing methods</w:t>
      </w:r>
      <w:r w:rsidR="00160B5C" w:rsidRPr="000D744A">
        <w:rPr>
          <w:rFonts w:hint="eastAsia"/>
        </w:rPr>
        <w:t>.</w:t>
      </w:r>
      <w:r w:rsidR="00CD278A" w:rsidRPr="000D744A">
        <w:t xml:space="preserve"> (</w:t>
      </w:r>
      <w:r w:rsidR="00160B5C" w:rsidRPr="000D744A">
        <w:rPr>
          <w:rFonts w:hint="eastAsia"/>
        </w:rPr>
        <w:t>F</w:t>
      </w:r>
      <w:r w:rsidR="00CD278A" w:rsidRPr="000D744A">
        <w:t xml:space="preserve">or example, the sample can </w:t>
      </w:r>
      <w:r w:rsidR="00E96B64">
        <w:rPr>
          <w:rFonts w:hint="eastAsia"/>
        </w:rPr>
        <w:t xml:space="preserve">be </w:t>
      </w:r>
      <w:r w:rsidR="00235A0B" w:rsidRPr="000D744A">
        <w:rPr>
          <w:rFonts w:hint="eastAsia"/>
        </w:rPr>
        <w:t>made</w:t>
      </w:r>
      <w:r w:rsidR="00CD278A" w:rsidRPr="000D744A">
        <w:t xml:space="preserve"> into a</w:t>
      </w:r>
      <w:r w:rsidR="00AD4DFB" w:rsidRPr="000D744A">
        <w:t xml:space="preserve"> round rod with a diameter of 5-</w:t>
      </w:r>
      <w:r w:rsidR="00CD278A" w:rsidRPr="000D744A">
        <w:t>6 mm and a le</w:t>
      </w:r>
      <w:r w:rsidR="00464D1B">
        <w:t>ngth of 18-</w:t>
      </w:r>
      <w:r w:rsidR="00CD278A" w:rsidRPr="000D744A">
        <w:t xml:space="preserve">100 mm, or in other shape and size meeting the requirements of the instrument). The length, </w:t>
      </w:r>
      <w:r w:rsidR="00CD278A" w:rsidRPr="000D744A">
        <w:rPr>
          <w:i/>
        </w:rPr>
        <w:t>L</w:t>
      </w:r>
      <w:r w:rsidR="00CD278A" w:rsidRPr="000D744A">
        <w:rPr>
          <w:i/>
          <w:vertAlign w:val="subscript"/>
        </w:rPr>
        <w:t>0</w:t>
      </w:r>
      <w:r w:rsidR="0004595F" w:rsidRPr="000D744A">
        <w:t>, shall be at least 5</w:t>
      </w:r>
      <w:r w:rsidR="00CD278A" w:rsidRPr="000D744A">
        <w:rPr>
          <w:sz w:val="21"/>
          <w:szCs w:val="21"/>
        </w:rPr>
        <w:t>×</w:t>
      </w:r>
      <w:r w:rsidR="00CD278A" w:rsidRPr="000D744A">
        <w:t>10</w:t>
      </w:r>
      <w:r w:rsidR="00CD278A" w:rsidRPr="000D744A">
        <w:rPr>
          <w:vertAlign w:val="superscript"/>
        </w:rPr>
        <w:t>4</w:t>
      </w:r>
      <w:r w:rsidR="00CD278A" w:rsidRPr="000D744A">
        <w:t xml:space="preserve"> times the resolution of the length</w:t>
      </w:r>
      <w:r w:rsidR="00DB346D" w:rsidRPr="000D744A">
        <w:rPr>
          <w:rFonts w:hint="eastAsia"/>
        </w:rPr>
        <w:t>-</w:t>
      </w:r>
      <w:r w:rsidR="00CD278A" w:rsidRPr="000D744A">
        <w:t>measuring device of the dilatometer.</w:t>
      </w:r>
    </w:p>
    <w:p w14:paraId="50071B9E" w14:textId="614D84C1" w:rsidR="00593525" w:rsidRPr="000D744A" w:rsidRDefault="00CD278A" w:rsidP="00E96B64">
      <w:pPr>
        <w:pStyle w:val="A-"/>
        <w:spacing w:after="120"/>
        <w:ind w:firstLineChars="200" w:firstLine="480"/>
        <w:rPr>
          <w:szCs w:val="24"/>
        </w:rPr>
      </w:pPr>
      <w:r w:rsidRPr="000D744A">
        <w:t>Note: The sample shall be annealed before the test: heat the sample to</w:t>
      </w:r>
      <w:r w:rsidR="0004595F" w:rsidRPr="000D744A">
        <w:t xml:space="preserve"> a temperature approximately 30</w:t>
      </w:r>
      <w:r w:rsidRPr="000D744A">
        <w:t xml:space="preserve">℃ higher than the transition temperature, then cool it to </w:t>
      </w:r>
      <w:r w:rsidR="0004595F" w:rsidRPr="000D744A">
        <w:t>a temperature approximately 150</w:t>
      </w:r>
      <w:r w:rsidRPr="000D744A">
        <w:t>℃ lower than the transi</w:t>
      </w:r>
      <w:r w:rsidR="0004595F" w:rsidRPr="000D744A">
        <w:t>tion temperature at a rate of 2</w:t>
      </w:r>
      <w:r w:rsidRPr="000D744A">
        <w:t>℃/min, and cool it further to room temperature without ventilation.</w:t>
      </w:r>
    </w:p>
    <w:p w14:paraId="3BBB64A0" w14:textId="50037966" w:rsidR="00593525" w:rsidRPr="000D744A" w:rsidRDefault="00CD278A" w:rsidP="00792F1D">
      <w:pPr>
        <w:pStyle w:val="A-"/>
        <w:spacing w:after="120"/>
        <w:ind w:firstLineChars="200" w:firstLine="482"/>
        <w:rPr>
          <w:b/>
          <w:bCs/>
          <w:szCs w:val="24"/>
        </w:rPr>
      </w:pPr>
      <w:r w:rsidRPr="000D744A">
        <w:rPr>
          <w:b/>
        </w:rPr>
        <w:t>Determination</w:t>
      </w:r>
    </w:p>
    <w:p w14:paraId="1F101B01" w14:textId="34F69A76" w:rsidR="00593525" w:rsidRPr="000D744A" w:rsidRDefault="00792F1D" w:rsidP="00792F1D">
      <w:pPr>
        <w:pStyle w:val="A-"/>
        <w:spacing w:after="120"/>
        <w:ind w:firstLineChars="200" w:firstLine="480"/>
        <w:rPr>
          <w:bCs/>
          <w:szCs w:val="24"/>
        </w:rPr>
      </w:pPr>
      <w:r>
        <w:rPr>
          <w:rFonts w:hint="eastAsia"/>
        </w:rPr>
        <w:t>(1)</w:t>
      </w:r>
      <w:r w:rsidR="00CD278A" w:rsidRPr="000D744A">
        <w:t>Selection of test temperature range</w:t>
      </w:r>
    </w:p>
    <w:p w14:paraId="47E8B6C7" w14:textId="4DDD7DC2" w:rsidR="00593525" w:rsidRPr="000D744A" w:rsidRDefault="00CD278A" w:rsidP="00792F1D">
      <w:pPr>
        <w:pStyle w:val="A-"/>
        <w:spacing w:after="120"/>
        <w:ind w:firstLineChars="200" w:firstLine="480"/>
        <w:rPr>
          <w:bCs/>
          <w:strike/>
          <w:szCs w:val="24"/>
        </w:rPr>
      </w:pPr>
      <w:r w:rsidRPr="000D744A">
        <w:t>Depending on the practical reasons, the nominal refere</w:t>
      </w:r>
      <w:r w:rsidR="00DB346D" w:rsidRPr="000D744A">
        <w:t>nce temperature is generally 18℃≤</w:t>
      </w:r>
      <w:r w:rsidRPr="000D744A">
        <w:rPr>
          <w:i/>
        </w:rPr>
        <w:t>t</w:t>
      </w:r>
      <w:r w:rsidRPr="000D744A">
        <w:rPr>
          <w:i/>
          <w:vertAlign w:val="subscript"/>
        </w:rPr>
        <w:t>0</w:t>
      </w:r>
      <w:r w:rsidR="00DB346D" w:rsidRPr="000D744A">
        <w:t>≤ 28</w:t>
      </w:r>
      <w:r w:rsidRPr="000D744A">
        <w:t>℃, and the termin</w:t>
      </w:r>
      <w:r w:rsidR="00DB346D" w:rsidRPr="000D744A">
        <w:t>al temperature is generally 290℃≤</w:t>
      </w:r>
      <w:r w:rsidRPr="000D744A">
        <w:rPr>
          <w:i/>
        </w:rPr>
        <w:t>t</w:t>
      </w:r>
      <w:r w:rsidR="00DB346D" w:rsidRPr="000D744A">
        <w:t>≤</w:t>
      </w:r>
      <w:r w:rsidRPr="000D744A">
        <w:t>310 ℃. The accuracy of both temperature and temperatu</w:t>
      </w:r>
      <w:r w:rsidR="00DB346D" w:rsidRPr="000D744A">
        <w:t>re difference readings shall be±1</w:t>
      </w:r>
      <w:r w:rsidRPr="000D744A">
        <w:t xml:space="preserve">℃, although the actual measured temperature shall be used in the actual calculation of the result expression, the identification of the test range shall be indicated by the nominal temperature. For a given coefficient </w:t>
      </w:r>
      <w:r w:rsidRPr="000D744A">
        <w:rPr>
          <w:i/>
        </w:rPr>
        <w:t>a</w:t>
      </w:r>
      <w:r w:rsidR="00194EC8" w:rsidRPr="000D744A">
        <w:t>(20℃; 300</w:t>
      </w:r>
      <w:r w:rsidRPr="000D744A">
        <w:t>℃) expressed in nominal temperature, as long as the actual temperature selected is within the specified limits, the effect on the coefficient can be negligible.</w:t>
      </w:r>
    </w:p>
    <w:p w14:paraId="45B8B9B9" w14:textId="7B753C88" w:rsidR="00593525" w:rsidRPr="000D744A" w:rsidRDefault="00792F1D" w:rsidP="00792F1D">
      <w:pPr>
        <w:pStyle w:val="A-"/>
        <w:spacing w:after="120"/>
        <w:ind w:firstLineChars="200" w:firstLine="480"/>
        <w:rPr>
          <w:bCs/>
          <w:strike/>
          <w:szCs w:val="24"/>
        </w:rPr>
      </w:pPr>
      <w:r>
        <w:rPr>
          <w:rFonts w:hint="eastAsia"/>
        </w:rPr>
        <w:t>(2)</w:t>
      </w:r>
      <w:r w:rsidR="00CD278A" w:rsidRPr="000D744A">
        <w:t>Determination of reference length</w:t>
      </w:r>
    </w:p>
    <w:p w14:paraId="5AB9C858" w14:textId="77777777" w:rsidR="00593525" w:rsidRPr="000D744A" w:rsidRDefault="00CD278A" w:rsidP="00792F1D">
      <w:pPr>
        <w:pStyle w:val="A-"/>
        <w:spacing w:after="120"/>
        <w:ind w:firstLineChars="200" w:firstLine="480"/>
        <w:rPr>
          <w:szCs w:val="24"/>
        </w:rPr>
      </w:pPr>
      <w:r w:rsidRPr="000D744A">
        <w:t xml:space="preserve">Measure the reference length </w:t>
      </w:r>
      <w:r w:rsidRPr="000D744A">
        <w:rPr>
          <w:i/>
        </w:rPr>
        <w:t>L</w:t>
      </w:r>
      <w:r w:rsidRPr="000D744A">
        <w:rPr>
          <w:i/>
          <w:vertAlign w:val="subscript"/>
        </w:rPr>
        <w:t>0</w:t>
      </w:r>
      <w:r w:rsidRPr="000D744A">
        <w:t xml:space="preserve"> of the annealed sample under the reference temperature </w:t>
      </w:r>
      <w:r w:rsidRPr="000D744A">
        <w:rPr>
          <w:i/>
        </w:rPr>
        <w:t>t</w:t>
      </w:r>
      <w:r w:rsidRPr="000D744A">
        <w:rPr>
          <w:i/>
          <w:vertAlign w:val="subscript"/>
        </w:rPr>
        <w:t>0</w:t>
      </w:r>
      <w:r w:rsidRPr="000D744A">
        <w:t>, then put the sample in the dilatometer to stabilize for more than 5 min.</w:t>
      </w:r>
    </w:p>
    <w:p w14:paraId="2447C584" w14:textId="086AC21B" w:rsidR="00593525" w:rsidRPr="000D744A" w:rsidRDefault="00792F1D" w:rsidP="00792F1D">
      <w:pPr>
        <w:pStyle w:val="A-"/>
        <w:spacing w:after="120"/>
        <w:ind w:firstLineChars="200" w:firstLine="480"/>
        <w:rPr>
          <w:szCs w:val="24"/>
        </w:rPr>
      </w:pPr>
      <w:r>
        <w:rPr>
          <w:rFonts w:hint="eastAsia"/>
        </w:rPr>
        <w:t>(3)</w:t>
      </w:r>
      <w:r w:rsidR="00CD278A" w:rsidRPr="000D744A">
        <w:t xml:space="preserve">Test method I: temperature </w:t>
      </w:r>
      <w:r w:rsidR="0095687E" w:rsidRPr="000D744A">
        <w:t>rising</w:t>
      </w:r>
      <w:r w:rsidR="00CD278A" w:rsidRPr="000D744A">
        <w:t xml:space="preserve"> test</w:t>
      </w:r>
    </w:p>
    <w:p w14:paraId="707121DB" w14:textId="1A1697FB" w:rsidR="00593525" w:rsidRPr="000D744A" w:rsidRDefault="00CD278A" w:rsidP="00792F1D">
      <w:pPr>
        <w:pStyle w:val="A-"/>
        <w:spacing w:after="120"/>
        <w:ind w:firstLineChars="200" w:firstLine="480"/>
        <w:rPr>
          <w:szCs w:val="24"/>
        </w:rPr>
      </w:pPr>
      <w:r w:rsidRPr="000D744A">
        <w:t xml:space="preserve">Determine the position of the dilatometer under an initial temperature of </w:t>
      </w:r>
      <w:r w:rsidRPr="000D744A">
        <w:rPr>
          <w:i/>
        </w:rPr>
        <w:t>t</w:t>
      </w:r>
      <w:r w:rsidRPr="000D744A">
        <w:rPr>
          <w:i/>
          <w:vertAlign w:val="subscript"/>
        </w:rPr>
        <w:t>0</w:t>
      </w:r>
      <w:r w:rsidRPr="000D744A">
        <w:t xml:space="preserve"> and take this reading as the zero point of the uncorrected length variation to be measured, </w:t>
      </w:r>
      <w:r w:rsidRPr="000D744A">
        <w:rPr>
          <w:i/>
          <w:iCs/>
        </w:rPr>
        <w:t>ΔL</w:t>
      </w:r>
      <w:r w:rsidRPr="000D744A">
        <w:rPr>
          <w:i/>
          <w:iCs/>
          <w:vertAlign w:val="subscript"/>
        </w:rPr>
        <w:t>meas</w:t>
      </w:r>
      <w:r w:rsidRPr="000D744A">
        <w:t xml:space="preserve">, and heat up the heating furnace following the desired heating procedure. Record the temperature </w:t>
      </w:r>
      <w:r w:rsidRPr="000D744A">
        <w:rPr>
          <w:i/>
        </w:rPr>
        <w:t>t</w:t>
      </w:r>
      <w:r w:rsidRPr="000D744A">
        <w:t xml:space="preserve"> and the corresponding variation in length, </w:t>
      </w:r>
      <w:r w:rsidRPr="000D744A">
        <w:rPr>
          <w:i/>
        </w:rPr>
        <w:t>ΔL</w:t>
      </w:r>
      <w:r w:rsidRPr="000D744A">
        <w:rPr>
          <w:i/>
          <w:vertAlign w:val="subscript"/>
        </w:rPr>
        <w:t>meas</w:t>
      </w:r>
      <w:r w:rsidRPr="000D744A">
        <w:t xml:space="preserve">, until </w:t>
      </w:r>
      <w:r w:rsidR="00194EC8" w:rsidRPr="000D744A">
        <w:t>reach</w:t>
      </w:r>
      <w:r w:rsidR="00194EC8" w:rsidRPr="000D744A">
        <w:rPr>
          <w:rFonts w:hint="eastAsia"/>
        </w:rPr>
        <w:t xml:space="preserve"> </w:t>
      </w:r>
      <w:r w:rsidRPr="000D744A">
        <w:t>the desired terminal temperature</w:t>
      </w:r>
      <w:r w:rsidR="00F21632" w:rsidRPr="000D744A">
        <w:t>.</w:t>
      </w:r>
      <w:r w:rsidR="00F21632" w:rsidRPr="000D744A">
        <w:rPr>
          <w:rFonts w:hint="eastAsia"/>
        </w:rPr>
        <w:t xml:space="preserve"> </w:t>
      </w:r>
      <w:r w:rsidRPr="000D744A">
        <w:t xml:space="preserve">Unless otherwise specified, the </w:t>
      </w:r>
      <w:r w:rsidR="00194EC8" w:rsidRPr="000D744A">
        <w:t>heating rate shall not exceed 5</w:t>
      </w:r>
      <w:r w:rsidRPr="000D744A">
        <w:t>℃/min.</w:t>
      </w:r>
    </w:p>
    <w:p w14:paraId="3F2CC4A5" w14:textId="259A5EAB" w:rsidR="00593525" w:rsidRPr="000D744A" w:rsidRDefault="00792F1D" w:rsidP="00792F1D">
      <w:pPr>
        <w:pStyle w:val="A-"/>
        <w:spacing w:after="120"/>
        <w:ind w:firstLineChars="200" w:firstLine="480"/>
        <w:rPr>
          <w:szCs w:val="24"/>
        </w:rPr>
      </w:pPr>
      <w:r>
        <w:rPr>
          <w:rFonts w:hint="eastAsia"/>
        </w:rPr>
        <w:t>(4)</w:t>
      </w:r>
      <w:r w:rsidR="00CD278A" w:rsidRPr="000D744A">
        <w:t>Test method II: thermostatic test</w:t>
      </w:r>
    </w:p>
    <w:p w14:paraId="3380D1F9" w14:textId="34B9A119" w:rsidR="00593525" w:rsidRPr="000D744A" w:rsidRDefault="00CD278A" w:rsidP="00792F1D">
      <w:pPr>
        <w:pStyle w:val="A-"/>
        <w:spacing w:after="120"/>
        <w:ind w:firstLineChars="200" w:firstLine="480"/>
        <w:rPr>
          <w:bCs/>
          <w:szCs w:val="24"/>
        </w:rPr>
      </w:pPr>
      <w:r w:rsidRPr="000D744A">
        <w:t xml:space="preserve">Determine the position of the dilatometer under an initial temperature of </w:t>
      </w:r>
      <w:r w:rsidRPr="000D744A">
        <w:rPr>
          <w:i/>
        </w:rPr>
        <w:t>t</w:t>
      </w:r>
      <w:r w:rsidRPr="000D744A">
        <w:rPr>
          <w:i/>
          <w:vertAlign w:val="subscript"/>
        </w:rPr>
        <w:t>0</w:t>
      </w:r>
      <w:r w:rsidRPr="000D744A">
        <w:t xml:space="preserve"> and take this reading as the zero point of the uncorrected length variation to be measured, </w:t>
      </w:r>
      <w:r w:rsidRPr="000D744A">
        <w:rPr>
          <w:i/>
        </w:rPr>
        <w:t>ΔL</w:t>
      </w:r>
      <w:r w:rsidRPr="000D744A">
        <w:rPr>
          <w:i/>
          <w:vertAlign w:val="subscript"/>
        </w:rPr>
        <w:t>meas</w:t>
      </w:r>
      <w:r w:rsidRPr="000D744A">
        <w:t xml:space="preserve">. Then heat the furnace up to the selected terminal temperature </w:t>
      </w:r>
      <w:r w:rsidRPr="000D744A">
        <w:rPr>
          <w:i/>
        </w:rPr>
        <w:t>t</w:t>
      </w:r>
      <w:r w:rsidRPr="000D744A">
        <w:t xml:space="preserve"> and keep the furnace temperature constant within </w:t>
      </w:r>
      <w:r w:rsidRPr="000D744A">
        <w:rPr>
          <w:i/>
          <w:iCs/>
        </w:rPr>
        <w:t>t</w:t>
      </w:r>
      <w:r w:rsidR="000575A2">
        <w:t>±</w:t>
      </w:r>
      <w:r w:rsidR="00A055DD" w:rsidRPr="000D744A">
        <w:rPr>
          <w:rFonts w:hint="eastAsia"/>
        </w:rPr>
        <w:t>1</w:t>
      </w:r>
      <w:r w:rsidR="00A055DD" w:rsidRPr="000D744A">
        <w:t xml:space="preserve"> </w:t>
      </w:r>
      <w:r w:rsidRPr="000D744A">
        <w:t xml:space="preserve">℃. After 20 min, read the value of </w:t>
      </w:r>
      <w:r w:rsidRPr="000D744A">
        <w:rPr>
          <w:i/>
          <w:iCs/>
        </w:rPr>
        <w:t>ΔL</w:t>
      </w:r>
      <w:r w:rsidRPr="000D744A">
        <w:rPr>
          <w:i/>
          <w:iCs/>
          <w:vertAlign w:val="subscript"/>
        </w:rPr>
        <w:t>meas</w:t>
      </w:r>
      <w:r w:rsidRPr="000D744A">
        <w:t xml:space="preserve"> from the dilatometer.</w:t>
      </w:r>
    </w:p>
    <w:p w14:paraId="700403BD" w14:textId="17B332F0" w:rsidR="00593525" w:rsidRPr="000D744A" w:rsidRDefault="00CD278A" w:rsidP="00792F1D">
      <w:pPr>
        <w:pStyle w:val="A-"/>
        <w:spacing w:after="120"/>
        <w:ind w:firstLineChars="200" w:firstLine="480"/>
        <w:rPr>
          <w:szCs w:val="24"/>
        </w:rPr>
      </w:pPr>
      <w:r w:rsidRPr="000D744A">
        <w:t xml:space="preserve">Note: Although the temperature </w:t>
      </w:r>
      <w:r w:rsidR="00106975" w:rsidRPr="000D744A">
        <w:t>rising</w:t>
      </w:r>
      <w:r w:rsidRPr="000D744A">
        <w:t xml:space="preserve"> test allows the coefficient </w:t>
      </w:r>
      <w:r w:rsidRPr="000D744A">
        <w:rPr>
          <w:i/>
        </w:rPr>
        <w:t>a(t</w:t>
      </w:r>
      <w:r w:rsidRPr="000D744A">
        <w:rPr>
          <w:i/>
          <w:vertAlign w:val="subscript"/>
        </w:rPr>
        <w:t>0</w:t>
      </w:r>
      <w:r w:rsidRPr="000D744A">
        <w:rPr>
          <w:i/>
        </w:rPr>
        <w:t>; t)</w:t>
      </w:r>
      <w:r w:rsidRPr="000D744A">
        <w:t xml:space="preserve"> of various temperature </w:t>
      </w:r>
      <w:r w:rsidRPr="000D744A">
        <w:rPr>
          <w:i/>
        </w:rPr>
        <w:t>t</w:t>
      </w:r>
      <w:r w:rsidRPr="000D744A">
        <w:t xml:space="preserve"> to be determined during the test, if only one terminal temperature t is required, </w:t>
      </w:r>
      <w:r w:rsidR="00EC2545" w:rsidRPr="000D744A">
        <w:t xml:space="preserve">a </w:t>
      </w:r>
      <w:r w:rsidRPr="000D744A">
        <w:t>thermostatic test shall be preferred, for it can provide better accuracy.</w:t>
      </w:r>
    </w:p>
    <w:p w14:paraId="65105209" w14:textId="30551220" w:rsidR="00593525" w:rsidRPr="000D744A" w:rsidRDefault="00E7068C" w:rsidP="00792F1D">
      <w:pPr>
        <w:pStyle w:val="A-"/>
        <w:spacing w:after="120"/>
        <w:ind w:firstLineChars="200" w:firstLine="482"/>
        <w:rPr>
          <w:b/>
          <w:bCs/>
          <w:szCs w:val="24"/>
        </w:rPr>
      </w:pPr>
      <w:r w:rsidRPr="000D744A">
        <w:rPr>
          <w:b/>
        </w:rPr>
        <w:t>R</w:t>
      </w:r>
      <w:r w:rsidRPr="000D744A">
        <w:rPr>
          <w:rFonts w:hint="eastAsia"/>
          <w:b/>
        </w:rPr>
        <w:t>esult</w:t>
      </w:r>
      <w:r w:rsidRPr="000D744A">
        <w:rPr>
          <w:b/>
        </w:rPr>
        <w:t xml:space="preserve"> </w:t>
      </w:r>
      <w:r w:rsidR="00CD278A" w:rsidRPr="000D744A">
        <w:rPr>
          <w:b/>
        </w:rPr>
        <w:t xml:space="preserve">Calculation and </w:t>
      </w:r>
      <w:r w:rsidRPr="000D744A">
        <w:rPr>
          <w:b/>
        </w:rPr>
        <w:t>Representation</w:t>
      </w:r>
    </w:p>
    <w:p w14:paraId="3E27FE28" w14:textId="77777777" w:rsidR="00593525" w:rsidRPr="000D744A" w:rsidRDefault="00CD278A">
      <w:pPr>
        <w:pStyle w:val="A-"/>
        <w:spacing w:after="120"/>
        <w:rPr>
          <w:szCs w:val="24"/>
        </w:rPr>
      </w:pPr>
      <m:oMathPara>
        <m:oMath>
          <m:r>
            <w:rPr>
              <w:rFonts w:ascii="Cambria Math" w:hAnsi="Cambria Math"/>
              <w:szCs w:val="24"/>
            </w:rPr>
            <m:t>a(</m:t>
          </m:r>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0</m:t>
              </m:r>
            </m:sub>
          </m:sSub>
          <m:r>
            <w:rPr>
              <w:rFonts w:ascii="Cambria Math" w:hAnsi="Cambria Math"/>
              <w:szCs w:val="24"/>
            </w:rPr>
            <m:t>;t)=</m:t>
          </m:r>
          <m:f>
            <m:fPr>
              <m:ctrlPr>
                <w:rPr>
                  <w:rFonts w:ascii="Cambria Math" w:hAnsi="Cambria Math"/>
                  <w:i/>
                  <w:szCs w:val="24"/>
                </w:rPr>
              </m:ctrlPr>
            </m:fPr>
            <m:num>
              <m:r>
                <w:rPr>
                  <w:rFonts w:ascii="Cambria Math" w:hAnsi="Cambria Math"/>
                  <w:szCs w:val="24"/>
                </w:rPr>
                <m:t>1</m:t>
              </m:r>
            </m:num>
            <m:den>
              <m:sSub>
                <m:sSubPr>
                  <m:ctrlPr>
                    <w:rPr>
                      <w:rFonts w:ascii="Cambria Math" w:hAnsi="Cambria Math"/>
                      <w:i/>
                      <w:iCs/>
                      <w:szCs w:val="24"/>
                    </w:rPr>
                  </m:ctrlPr>
                </m:sSubPr>
                <m:e>
                  <m:r>
                    <w:rPr>
                      <w:rFonts w:ascii="Cambria Math" w:hAnsi="Cambria Math"/>
                      <w:szCs w:val="24"/>
                    </w:rPr>
                    <m:t>L</m:t>
                  </m:r>
                </m:e>
                <m:sub>
                  <m:r>
                    <w:rPr>
                      <w:rFonts w:ascii="Cambria Math" w:hAnsi="Cambria Math"/>
                      <w:szCs w:val="24"/>
                    </w:rPr>
                    <m:t>0</m:t>
                  </m:r>
                </m:sub>
              </m:sSub>
            </m:den>
          </m:f>
          <m:r>
            <w:rPr>
              <w:rFonts w:ascii="Cambria Math" w:hAnsi="Cambria Math"/>
              <w:szCs w:val="24"/>
            </w:rPr>
            <m:t>×</m:t>
          </m:r>
          <m:f>
            <m:fPr>
              <m:ctrlPr>
                <w:rPr>
                  <w:rFonts w:ascii="Cambria Math" w:hAnsi="Cambria Math"/>
                  <w:i/>
                  <w:szCs w:val="24"/>
                </w:rPr>
              </m:ctrlPr>
            </m:fPr>
            <m:num>
              <m:sSub>
                <m:sSubPr>
                  <m:ctrlPr>
                    <w:rPr>
                      <w:rFonts w:ascii="Cambria Math" w:hAnsi="Cambria Math"/>
                      <w:bCs/>
                      <w:i/>
                      <w:szCs w:val="24"/>
                      <w:vertAlign w:val="subscript"/>
                    </w:rPr>
                  </m:ctrlPr>
                </m:sSubPr>
                <m:e>
                  <m:r>
                    <w:rPr>
                      <w:rFonts w:ascii="Cambria Math" w:hAnsi="Cambria Math"/>
                      <w:szCs w:val="24"/>
                    </w:rPr>
                    <m:t>ΔL</m:t>
                  </m:r>
                </m:e>
                <m:sub>
                  <m:r>
                    <w:rPr>
                      <w:rFonts w:ascii="Cambria Math" w:hAnsi="Cambria Math"/>
                      <w:szCs w:val="24"/>
                      <w:vertAlign w:val="subscript"/>
                    </w:rPr>
                    <m:t>meas</m:t>
                  </m:r>
                </m:sub>
              </m:sSub>
            </m:num>
            <m:den>
              <m:r>
                <w:rPr>
                  <w:rFonts w:ascii="Cambria Math" w:hAnsi="Cambria Math"/>
                  <w:szCs w:val="24"/>
                </w:rPr>
                <m:t>t-</m:t>
              </m:r>
              <m:sSub>
                <m:sSubPr>
                  <m:ctrlPr>
                    <w:rPr>
                      <w:rFonts w:ascii="Cambria Math" w:hAnsi="Cambria Math"/>
                      <w:bCs/>
                      <w:i/>
                      <w:szCs w:val="24"/>
                      <w:vertAlign w:val="subscript"/>
                    </w:rPr>
                  </m:ctrlPr>
                </m:sSubPr>
                <m:e>
                  <m:r>
                    <w:rPr>
                      <w:rFonts w:ascii="Cambria Math" w:hAnsi="Cambria Math"/>
                      <w:szCs w:val="24"/>
                      <w:vertAlign w:val="subscript"/>
                    </w:rPr>
                    <m:t>t</m:t>
                  </m:r>
                </m:e>
                <m:sub>
                  <m:r>
                    <w:rPr>
                      <w:rFonts w:ascii="Cambria Math" w:hAnsi="Cambria Math"/>
                      <w:szCs w:val="24"/>
                      <w:vertAlign w:val="subscript"/>
                    </w:rPr>
                    <m:t>0</m:t>
                  </m:r>
                </m:sub>
              </m:sSub>
            </m:den>
          </m:f>
        </m:oMath>
      </m:oMathPara>
    </w:p>
    <w:p w14:paraId="0DBD101D" w14:textId="6A04BE37" w:rsidR="00593525" w:rsidRPr="000D744A" w:rsidRDefault="00CD278A" w:rsidP="00792F1D">
      <w:pPr>
        <w:pStyle w:val="A-"/>
        <w:spacing w:after="120"/>
        <w:ind w:firstLineChars="200" w:firstLine="480"/>
        <w:rPr>
          <w:szCs w:val="24"/>
        </w:rPr>
      </w:pPr>
      <w:r w:rsidRPr="000D744A">
        <w:t>Where,</w:t>
      </w:r>
      <w:r w:rsidRPr="000D744A">
        <w:rPr>
          <w:i/>
        </w:rPr>
        <w:t xml:space="preserve"> a</w:t>
      </w:r>
      <w:r w:rsidRPr="000D744A">
        <w:t>(</w:t>
      </w:r>
      <w:r w:rsidRPr="000D744A">
        <w:rPr>
          <w:i/>
        </w:rPr>
        <w:t>t</w:t>
      </w:r>
      <w:r w:rsidRPr="000D744A">
        <w:rPr>
          <w:i/>
          <w:vertAlign w:val="subscript"/>
        </w:rPr>
        <w:t>0</w:t>
      </w:r>
      <w:r w:rsidRPr="000D744A">
        <w:rPr>
          <w:i/>
        </w:rPr>
        <w:t>; t</w:t>
      </w:r>
      <w:r w:rsidRPr="000D744A">
        <w:t xml:space="preserve">) is the coefficient </w:t>
      </w:r>
      <w:r w:rsidR="00504044" w:rsidRPr="000D744A">
        <w:rPr>
          <w:rFonts w:hint="eastAsia"/>
        </w:rPr>
        <w:t>of</w:t>
      </w:r>
      <w:r w:rsidR="00504044" w:rsidRPr="000D744A">
        <w:t xml:space="preserve"> </w:t>
      </w:r>
      <w:r w:rsidRPr="000D744A">
        <w:t>mean linear thermal expansion of the sample;</w:t>
      </w:r>
    </w:p>
    <w:p w14:paraId="291FE96D" w14:textId="1F400633" w:rsidR="00593525" w:rsidRPr="000D744A" w:rsidRDefault="00CD278A">
      <w:pPr>
        <w:pStyle w:val="A-"/>
        <w:spacing w:after="120"/>
        <w:ind w:leftChars="346" w:left="727"/>
        <w:rPr>
          <w:szCs w:val="24"/>
        </w:rPr>
      </w:pPr>
      <w:r w:rsidRPr="000D744A">
        <w:rPr>
          <w:i/>
        </w:rPr>
        <w:t>t</w:t>
      </w:r>
      <w:r w:rsidRPr="000D744A">
        <w:rPr>
          <w:i/>
          <w:vertAlign w:val="subscript"/>
        </w:rPr>
        <w:t>0</w:t>
      </w:r>
      <w:r w:rsidRPr="000D744A">
        <w:t xml:space="preserve"> is the initial temperatu</w:t>
      </w:r>
      <w:r w:rsidR="00463ADC" w:rsidRPr="000D744A">
        <w:t>re or reference temperature, in</w:t>
      </w:r>
      <w:r w:rsidR="00463ADC" w:rsidRPr="000D744A">
        <w:rPr>
          <w:rFonts w:hint="eastAsia"/>
        </w:rPr>
        <w:t xml:space="preserve"> </w:t>
      </w:r>
      <w:r w:rsidRPr="000D744A">
        <w:t>℃;</w:t>
      </w:r>
    </w:p>
    <w:p w14:paraId="484AD09D" w14:textId="77777777" w:rsidR="00593525" w:rsidRPr="000D744A" w:rsidRDefault="00CD278A">
      <w:pPr>
        <w:pStyle w:val="A-"/>
        <w:spacing w:after="120"/>
        <w:ind w:leftChars="346" w:left="727"/>
        <w:rPr>
          <w:szCs w:val="24"/>
        </w:rPr>
      </w:pPr>
      <w:r w:rsidRPr="000D744A">
        <w:rPr>
          <w:i/>
        </w:rPr>
        <w:t>t</w:t>
      </w:r>
      <w:r w:rsidRPr="000D744A">
        <w:t xml:space="preserve"> is the temperature of the sample after being heated, in ℃;</w:t>
      </w:r>
    </w:p>
    <w:p w14:paraId="793204F4" w14:textId="77777777" w:rsidR="00593525" w:rsidRPr="000D744A" w:rsidRDefault="00CD278A">
      <w:pPr>
        <w:pStyle w:val="A-"/>
        <w:spacing w:after="120"/>
        <w:ind w:leftChars="346" w:left="727"/>
        <w:rPr>
          <w:szCs w:val="24"/>
        </w:rPr>
      </w:pPr>
      <w:r w:rsidRPr="000D744A">
        <w:rPr>
          <w:i/>
        </w:rPr>
        <w:t>L</w:t>
      </w:r>
      <w:r w:rsidRPr="000D744A">
        <w:rPr>
          <w:i/>
          <w:vertAlign w:val="subscript"/>
        </w:rPr>
        <w:t>0</w:t>
      </w:r>
      <w:r w:rsidRPr="000D744A">
        <w:t xml:space="preserve"> is the length of the glass sample at the temperature of </w:t>
      </w:r>
      <w:r w:rsidRPr="000D744A">
        <w:rPr>
          <w:i/>
        </w:rPr>
        <w:t>t</w:t>
      </w:r>
      <w:r w:rsidRPr="000D744A">
        <w:rPr>
          <w:i/>
          <w:vertAlign w:val="subscript"/>
        </w:rPr>
        <w:t>0</w:t>
      </w:r>
      <w:r w:rsidRPr="000D744A">
        <w:t xml:space="preserve"> during the test, in mm;</w:t>
      </w:r>
    </w:p>
    <w:p w14:paraId="0EF4F064" w14:textId="77777777" w:rsidR="00593525" w:rsidRPr="000D744A" w:rsidRDefault="00CD278A">
      <w:pPr>
        <w:pStyle w:val="A-"/>
        <w:spacing w:after="120"/>
        <w:ind w:leftChars="346" w:left="727"/>
        <w:rPr>
          <w:szCs w:val="24"/>
        </w:rPr>
      </w:pPr>
      <w:r w:rsidRPr="000D744A">
        <w:rPr>
          <w:i/>
        </w:rPr>
        <w:t>ΔL</w:t>
      </w:r>
      <w:r w:rsidRPr="000D744A">
        <w:rPr>
          <w:i/>
          <w:vertAlign w:val="subscript"/>
        </w:rPr>
        <w:t>meas</w:t>
      </w:r>
      <w:r w:rsidRPr="000D744A">
        <w:t xml:space="preserve"> is the corrected length variation of the sample under the temperature </w:t>
      </w:r>
      <w:r w:rsidRPr="000D744A">
        <w:rPr>
          <w:i/>
        </w:rPr>
        <w:t>t</w:t>
      </w:r>
      <w:r w:rsidRPr="000D744A">
        <w:t>, in mm.</w:t>
      </w:r>
    </w:p>
    <w:p w14:paraId="65B6E798" w14:textId="77777777" w:rsidR="00593525" w:rsidRPr="000D744A" w:rsidRDefault="00CD278A" w:rsidP="00792F1D">
      <w:pPr>
        <w:pStyle w:val="A-"/>
        <w:spacing w:after="120"/>
        <w:ind w:firstLineChars="200" w:firstLine="480"/>
        <w:rPr>
          <w:szCs w:val="24"/>
        </w:rPr>
      </w:pPr>
      <w:r w:rsidRPr="000D744A">
        <w:lastRenderedPageBreak/>
        <w:t>Note: Due to the corresponding thermal expansion of the device carrying the sample in the process of measuring temperature rise, there is a temperature difference between the measuring point for temperature measuring and the sample in the process of heating up, so the measuring system of the instrument shall be corrected according to the method provided by the instrument.</w:t>
      </w:r>
    </w:p>
    <w:p w14:paraId="34DFA60F" w14:textId="3E9DAF7D" w:rsidR="00593525" w:rsidRPr="000D744A" w:rsidRDefault="00CD278A" w:rsidP="00792F1D">
      <w:pPr>
        <w:pStyle w:val="A-"/>
        <w:spacing w:after="120"/>
        <w:ind w:firstLineChars="200" w:firstLine="480"/>
        <w:rPr>
          <w:bCs/>
          <w:szCs w:val="24"/>
        </w:rPr>
      </w:pPr>
      <w:r w:rsidRPr="000D744A">
        <w:t xml:space="preserve">Calculate </w:t>
      </w:r>
      <w:r w:rsidRPr="000D744A">
        <w:rPr>
          <w:i/>
        </w:rPr>
        <w:t>a(t</w:t>
      </w:r>
      <w:r w:rsidRPr="000D744A">
        <w:rPr>
          <w:i/>
          <w:vertAlign w:val="subscript"/>
        </w:rPr>
        <w:t>0</w:t>
      </w:r>
      <w:r w:rsidRPr="000D744A">
        <w:rPr>
          <w:i/>
        </w:rPr>
        <w:t>;</w:t>
      </w:r>
      <w:r w:rsidR="00EC2545" w:rsidRPr="000D744A">
        <w:rPr>
          <w:i/>
        </w:rPr>
        <w:t xml:space="preserve"> </w:t>
      </w:r>
      <w:r w:rsidRPr="000D744A">
        <w:rPr>
          <w:i/>
        </w:rPr>
        <w:t>t)</w:t>
      </w:r>
      <w:r w:rsidRPr="000D744A">
        <w:t xml:space="preserve"> for the two samples. Generally, </w:t>
      </w:r>
      <w:r w:rsidRPr="000D744A">
        <w:rPr>
          <w:i/>
          <w:iCs/>
        </w:rPr>
        <w:t>t</w:t>
      </w:r>
      <w:r w:rsidRPr="000D744A">
        <w:rPr>
          <w:i/>
          <w:iCs/>
          <w:vertAlign w:val="subscript"/>
        </w:rPr>
        <w:t>0</w:t>
      </w:r>
      <w:r w:rsidR="00F21632" w:rsidRPr="000D744A">
        <w:t xml:space="preserve"> is 20</w:t>
      </w:r>
      <w:r w:rsidRPr="000D744A">
        <w:t xml:space="preserve">℃, </w:t>
      </w:r>
      <w:r w:rsidRPr="000D744A">
        <w:rPr>
          <w:i/>
          <w:iCs/>
        </w:rPr>
        <w:t>t</w:t>
      </w:r>
      <w:r w:rsidR="00463ADC" w:rsidRPr="000D744A">
        <w:t xml:space="preserve"> is 300</w:t>
      </w:r>
      <w:r w:rsidRPr="000D744A">
        <w:t xml:space="preserve">℃, and </w:t>
      </w:r>
      <w:r w:rsidRPr="000D744A">
        <w:rPr>
          <w:i/>
          <w:iCs/>
        </w:rPr>
        <w:t>a</w:t>
      </w:r>
      <w:r w:rsidRPr="000D744A">
        <w:t xml:space="preserve"> is expressed as (20℃; 300℃). If </w:t>
      </w:r>
      <w:r w:rsidRPr="000D744A">
        <w:rPr>
          <w:i/>
          <w:iCs/>
        </w:rPr>
        <w:t>a</w:t>
      </w:r>
      <w:r w:rsidR="00F21632" w:rsidRPr="000D744A">
        <w:t>(20℃; 300℃) &lt;10</w:t>
      </w:r>
      <w:r w:rsidR="00504044" w:rsidRPr="000D744A">
        <w:rPr>
          <w:sz w:val="21"/>
          <w:szCs w:val="21"/>
        </w:rPr>
        <w:t>×</w:t>
      </w:r>
      <w:r w:rsidRPr="000D744A">
        <w:t>10</w:t>
      </w:r>
      <w:r w:rsidRPr="000D744A">
        <w:rPr>
          <w:vertAlign w:val="superscript"/>
        </w:rPr>
        <w:t>-6</w:t>
      </w:r>
      <w:r w:rsidRPr="000D744A">
        <w:t>K</w:t>
      </w:r>
      <w:r w:rsidRPr="000D744A">
        <w:rPr>
          <w:vertAlign w:val="superscript"/>
        </w:rPr>
        <w:t>-1</w:t>
      </w:r>
      <w:r w:rsidRPr="000D744A">
        <w:t xml:space="preserve">, round it off to two significant digits. If </w:t>
      </w:r>
      <w:r w:rsidRPr="000D744A">
        <w:rPr>
          <w:i/>
          <w:iCs/>
        </w:rPr>
        <w:t>a</w:t>
      </w:r>
      <w:r w:rsidR="00463ADC" w:rsidRPr="000D744A">
        <w:t>(20℃; 300℃)</w:t>
      </w:r>
      <w:r w:rsidR="00F21632" w:rsidRPr="000D744A">
        <w:t>≥10</w:t>
      </w:r>
      <w:r w:rsidR="00504044" w:rsidRPr="000D744A">
        <w:rPr>
          <w:sz w:val="21"/>
          <w:szCs w:val="21"/>
        </w:rPr>
        <w:t>×</w:t>
      </w:r>
      <w:r w:rsidRPr="000D744A">
        <w:t>10</w:t>
      </w:r>
      <w:r w:rsidRPr="000D744A">
        <w:rPr>
          <w:vertAlign w:val="superscript"/>
        </w:rPr>
        <w:t>-6</w:t>
      </w:r>
      <w:r w:rsidRPr="000D744A">
        <w:t>K</w:t>
      </w:r>
      <w:r w:rsidRPr="000D744A">
        <w:rPr>
          <w:vertAlign w:val="superscript"/>
        </w:rPr>
        <w:t>-1</w:t>
      </w:r>
      <w:r w:rsidRPr="000D744A">
        <w:t>, round it off to three significant digits.</w:t>
      </w:r>
    </w:p>
    <w:p w14:paraId="02F26040" w14:textId="6A084CB6" w:rsidR="00593525" w:rsidRPr="000D744A" w:rsidRDefault="00CD278A" w:rsidP="00792F1D">
      <w:pPr>
        <w:pStyle w:val="A-"/>
        <w:spacing w:after="120"/>
        <w:ind w:firstLineChars="200" w:firstLine="472"/>
        <w:rPr>
          <w:bCs/>
          <w:spacing w:val="-2"/>
          <w:szCs w:val="24"/>
        </w:rPr>
      </w:pPr>
      <w:r w:rsidRPr="000D744A">
        <w:rPr>
          <w:spacing w:val="-2"/>
        </w:rPr>
        <w:t>If the deviation between the determination results of the t</w:t>
      </w:r>
      <w:r w:rsidR="00F21632" w:rsidRPr="000D744A">
        <w:rPr>
          <w:spacing w:val="-2"/>
        </w:rPr>
        <w:t>wo samples is not more than 0.2</w:t>
      </w:r>
      <w:r w:rsidR="00504044" w:rsidRPr="000D744A">
        <w:rPr>
          <w:sz w:val="21"/>
          <w:szCs w:val="21"/>
        </w:rPr>
        <w:t>×</w:t>
      </w:r>
      <w:r w:rsidRPr="000D744A">
        <w:rPr>
          <w:spacing w:val="-2"/>
        </w:rPr>
        <w:t>10</w:t>
      </w:r>
      <w:r w:rsidRPr="000D744A">
        <w:rPr>
          <w:spacing w:val="-2"/>
          <w:vertAlign w:val="superscript"/>
        </w:rPr>
        <w:t>-6</w:t>
      </w:r>
      <w:r w:rsidRPr="000D744A">
        <w:rPr>
          <w:spacing w:val="-2"/>
        </w:rPr>
        <w:t>K</w:t>
      </w:r>
      <w:r w:rsidRPr="000D744A">
        <w:rPr>
          <w:spacing w:val="-2"/>
          <w:vertAlign w:val="superscript"/>
        </w:rPr>
        <w:t>-1</w:t>
      </w:r>
      <w:r w:rsidRPr="000D744A">
        <w:rPr>
          <w:spacing w:val="-2"/>
        </w:rPr>
        <w:t>, average the two results. Otherwise, the test must repeat</w:t>
      </w:r>
      <w:r w:rsidR="005F2C61" w:rsidRPr="000D744A">
        <w:rPr>
          <w:rFonts w:hint="eastAsia"/>
          <w:spacing w:val="-2"/>
        </w:rPr>
        <w:t xml:space="preserve"> </w:t>
      </w:r>
      <w:r w:rsidRPr="000D744A">
        <w:rPr>
          <w:spacing w:val="-2"/>
        </w:rPr>
        <w:t>with two additional samples.</w:t>
      </w:r>
    </w:p>
    <w:p w14:paraId="62C4B0F6" w14:textId="77777777" w:rsidR="00593525" w:rsidRPr="000D744A" w:rsidRDefault="00593525">
      <w:pPr>
        <w:pStyle w:val="A-"/>
        <w:pBdr>
          <w:bottom w:val="single" w:sz="4" w:space="1" w:color="auto"/>
        </w:pBdr>
        <w:spacing w:after="120"/>
        <w:rPr>
          <w:szCs w:val="24"/>
        </w:rPr>
        <w:sectPr w:rsidR="00593525" w:rsidRPr="000D744A">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134" w:right="1134" w:bottom="1134" w:left="1418" w:header="567" w:footer="567" w:gutter="0"/>
          <w:lnNumType w:countBy="1" w:restart="continuous"/>
          <w:cols w:space="720"/>
          <w:docGrid w:linePitch="286"/>
        </w:sectPr>
      </w:pPr>
    </w:p>
    <w:p w14:paraId="2EC5BEBC" w14:textId="77777777" w:rsidR="00593525" w:rsidRPr="000D744A" w:rsidRDefault="00593525">
      <w:pPr>
        <w:pStyle w:val="A-"/>
        <w:pBdr>
          <w:bottom w:val="single" w:sz="4" w:space="1" w:color="auto"/>
        </w:pBdr>
        <w:spacing w:after="120"/>
        <w:rPr>
          <w:szCs w:val="24"/>
        </w:rPr>
      </w:pPr>
    </w:p>
    <w:p w14:paraId="73330551" w14:textId="3F618F53" w:rsidR="00593525" w:rsidRPr="000D744A" w:rsidRDefault="00CD278A">
      <w:pPr>
        <w:pStyle w:val="A-"/>
        <w:spacing w:after="120"/>
        <w:rPr>
          <w:szCs w:val="24"/>
        </w:rPr>
      </w:pPr>
      <w:r w:rsidRPr="000D744A">
        <w:t xml:space="preserve">Drafted by: National Institutes for Food and Drug </w:t>
      </w:r>
      <w:r w:rsidR="00504044" w:rsidRPr="000D744A">
        <w:t xml:space="preserve">    </w:t>
      </w:r>
      <w:r w:rsidRPr="000D744A">
        <w:t>Control Contact number: 010-67095110</w:t>
      </w:r>
    </w:p>
    <w:p w14:paraId="469EFCB5" w14:textId="59B38342" w:rsidR="00593525" w:rsidRPr="000D744A" w:rsidRDefault="00593525">
      <w:pPr>
        <w:pStyle w:val="A-"/>
        <w:spacing w:after="120"/>
        <w:rPr>
          <w:szCs w:val="24"/>
        </w:rPr>
      </w:pPr>
    </w:p>
    <w:sectPr w:rsidR="00593525" w:rsidRPr="000D744A">
      <w:endnotePr>
        <w:numFmt w:val="decimal"/>
      </w:endnotePr>
      <w:type w:val="continuous"/>
      <w:pgSz w:w="11906" w:h="16838"/>
      <w:pgMar w:top="1134" w:right="1134" w:bottom="1134" w:left="1418" w:header="56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337DC" w14:textId="77777777" w:rsidR="00BA60AC" w:rsidRDefault="00BA60AC">
      <w:r>
        <w:separator/>
      </w:r>
    </w:p>
  </w:endnote>
  <w:endnote w:type="continuationSeparator" w:id="0">
    <w:p w14:paraId="48542471" w14:textId="77777777" w:rsidR="00BA60AC" w:rsidRDefault="00BA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660F0" w14:textId="77777777" w:rsidR="00640E7C" w:rsidRDefault="00640E7C">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A0E89" w14:textId="25E9C24C" w:rsidR="00593525" w:rsidRDefault="00CD278A">
    <w:pPr>
      <w:pStyle w:val="ad"/>
      <w:jc w:val="center"/>
    </w:pPr>
    <w:r>
      <w:rPr>
        <w:rFonts w:eastAsia="华文仿宋"/>
      </w:rPr>
      <w:fldChar w:fldCharType="begin"/>
    </w:r>
    <w:r>
      <w:rPr>
        <w:rFonts w:eastAsia="华文仿宋"/>
      </w:rPr>
      <w:instrText xml:space="preserve"> PAGE   \* MERGEFORMAT </w:instrText>
    </w:r>
    <w:r>
      <w:rPr>
        <w:rFonts w:eastAsia="华文仿宋"/>
      </w:rPr>
      <w:fldChar w:fldCharType="separate"/>
    </w:r>
    <w:r w:rsidR="00640E7C">
      <w:rPr>
        <w:rFonts w:eastAsia="华文仿宋"/>
        <w:noProof/>
      </w:rPr>
      <w:t>1</w:t>
    </w:r>
    <w:r>
      <w:rPr>
        <w:rFonts w:eastAsia="华文仿宋"/>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0380D" w14:textId="77777777" w:rsidR="00640E7C" w:rsidRDefault="00640E7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16738" w14:textId="77777777" w:rsidR="00BA60AC" w:rsidRDefault="00BA60AC">
      <w:r>
        <w:separator/>
      </w:r>
    </w:p>
  </w:footnote>
  <w:footnote w:type="continuationSeparator" w:id="0">
    <w:p w14:paraId="3FF69F16" w14:textId="77777777" w:rsidR="00BA60AC" w:rsidRDefault="00BA6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55BD2" w14:textId="41B64304" w:rsidR="00640E7C" w:rsidRDefault="00640E7C">
    <w:pPr>
      <w:pStyle w:val="af"/>
    </w:pPr>
    <w:r>
      <w:rPr>
        <w:noProof/>
      </w:rPr>
      <w:pict w14:anchorId="6FF91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62543" o:spid="_x0000_s2050" type="#_x0000_t136" style="position:absolute;left:0;text-align:left;margin-left:0;margin-top:0;width:494.55pt;height:164.85pt;rotation:315;z-index:-251655168;mso-position-horizontal:center;mso-position-horizontal-relative:margin;mso-position-vertical:center;mso-position-vertical-relative:margin" o:allowincell="f" fillcolor="silver" stroked="f">
          <v:fill opacity=".5"/>
          <v:textpath style="font-family:&quot;宋体&quot;;font-size:1pt" string="公示稿"/>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057BE" w14:textId="0D7CA8D7" w:rsidR="00593525" w:rsidRDefault="00640E7C">
    <w:pPr>
      <w:pStyle w:val="af"/>
      <w:pBdr>
        <w:bottom w:val="single" w:sz="4" w:space="1" w:color="auto"/>
      </w:pBdr>
      <w:tabs>
        <w:tab w:val="clear" w:pos="4153"/>
        <w:tab w:val="clear" w:pos="8306"/>
        <w:tab w:val="center" w:pos="3993"/>
        <w:tab w:val="right" w:pos="7987"/>
      </w:tabs>
      <w:jc w:val="right"/>
    </w:pPr>
    <w:r>
      <w:rPr>
        <w:noProof/>
      </w:rPr>
      <w:pict w14:anchorId="4CF5D1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62544" o:spid="_x0000_s2051" type="#_x0000_t136" style="position:absolute;left:0;text-align:left;margin-left:0;margin-top:0;width:494.55pt;height:164.85pt;rotation:315;z-index:-251653120;mso-position-horizontal:center;mso-position-horizontal-relative:margin;mso-position-vertical:center;mso-position-vertical-relative:margin" o:allowincell="f" fillcolor="silver" stroked="f">
          <v:fill opacity=".5"/>
          <v:textpath style="font-family:&quot;宋体&quot;;font-size:1pt" string="公示稿"/>
        </v:shape>
      </w:pict>
    </w:r>
    <w:r w:rsidR="00CD278A">
      <w:t>202</w:t>
    </w:r>
    <w:r w:rsidR="00A72783">
      <w:rPr>
        <w:rFonts w:hint="eastAsia"/>
      </w:rPr>
      <w:t>4</w:t>
    </w:r>
    <w:r>
      <w:t>02</w:t>
    </w:r>
    <w:r w:rsidR="00CD278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C3478" w14:textId="7ED8EE52" w:rsidR="00640E7C" w:rsidRDefault="00640E7C">
    <w:pPr>
      <w:pStyle w:val="af"/>
    </w:pPr>
    <w:r>
      <w:rPr>
        <w:noProof/>
      </w:rPr>
      <w:pict w14:anchorId="39DD6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62542" o:spid="_x0000_s2049" type="#_x0000_t136" style="position:absolute;left:0;text-align:left;margin-left:0;margin-top:0;width:494.55pt;height:164.85pt;rotation:315;z-index:-251657216;mso-position-horizontal:center;mso-position-horizontal-relative:margin;mso-position-vertical:center;mso-position-vertical-relative:margin" o:allowincell="f" fillcolor="silver" stroked="f">
          <v:fill opacity=".5"/>
          <v:textpath style="font-family:&quot;宋体&quot;;font-size:1pt" string="公示稿"/>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D55"/>
    <w:multiLevelType w:val="multilevel"/>
    <w:tmpl w:val="020A6D55"/>
    <w:lvl w:ilvl="0">
      <w:start w:val="1"/>
      <w:numFmt w:val="decimal"/>
      <w:lvlText w:val="(%1)"/>
      <w:lvlJc w:val="left"/>
      <w:pPr>
        <w:ind w:left="360" w:hanging="360"/>
      </w:pPr>
      <w:rPr>
        <w:rFonts w:hint="default"/>
        <w: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35A3607"/>
    <w:multiLevelType w:val="multilevel"/>
    <w:tmpl w:val="035A3607"/>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9514CF0"/>
    <w:multiLevelType w:val="multilevel"/>
    <w:tmpl w:val="29514CF0"/>
    <w:lvl w:ilvl="0">
      <w:start w:val="1"/>
      <w:numFmt w:val="upperRoman"/>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0"/>
  <w:activeWritingStyle w:appName="MSWord" w:lang="zh-CN" w:vendorID="64" w:dllVersion="131077" w:nlCheck="1" w:checkStyle="1"/>
  <w:defaultTabStop w:val="21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zNjc2ZjliMmIxNzFhMTNmM2I5YzhmZDRiYzE1MzQifQ=="/>
  </w:docVars>
  <w:rsids>
    <w:rsidRoot w:val="00A4732B"/>
    <w:rsid w:val="000029D8"/>
    <w:rsid w:val="00012A9D"/>
    <w:rsid w:val="00015814"/>
    <w:rsid w:val="00021A46"/>
    <w:rsid w:val="0002482F"/>
    <w:rsid w:val="00037A27"/>
    <w:rsid w:val="0004595F"/>
    <w:rsid w:val="00050ABA"/>
    <w:rsid w:val="0005156E"/>
    <w:rsid w:val="00051B62"/>
    <w:rsid w:val="00055265"/>
    <w:rsid w:val="000575A2"/>
    <w:rsid w:val="000601A8"/>
    <w:rsid w:val="000775AE"/>
    <w:rsid w:val="000808A7"/>
    <w:rsid w:val="000833A4"/>
    <w:rsid w:val="00084FD5"/>
    <w:rsid w:val="00097240"/>
    <w:rsid w:val="000A3B4E"/>
    <w:rsid w:val="000A4652"/>
    <w:rsid w:val="000B4C1A"/>
    <w:rsid w:val="000B6C95"/>
    <w:rsid w:val="000C5051"/>
    <w:rsid w:val="000C53F5"/>
    <w:rsid w:val="000D744A"/>
    <w:rsid w:val="000E3C1E"/>
    <w:rsid w:val="000F14A5"/>
    <w:rsid w:val="00101F14"/>
    <w:rsid w:val="00106975"/>
    <w:rsid w:val="00107FB6"/>
    <w:rsid w:val="00112744"/>
    <w:rsid w:val="00115090"/>
    <w:rsid w:val="00125A86"/>
    <w:rsid w:val="00125FEC"/>
    <w:rsid w:val="00130BCC"/>
    <w:rsid w:val="00130CCE"/>
    <w:rsid w:val="00132E56"/>
    <w:rsid w:val="001469BE"/>
    <w:rsid w:val="00152252"/>
    <w:rsid w:val="00155A42"/>
    <w:rsid w:val="00155B91"/>
    <w:rsid w:val="001577A8"/>
    <w:rsid w:val="00160B5C"/>
    <w:rsid w:val="001705F3"/>
    <w:rsid w:val="00181905"/>
    <w:rsid w:val="00182D0C"/>
    <w:rsid w:val="00193EAF"/>
    <w:rsid w:val="00194EC8"/>
    <w:rsid w:val="001A5EBE"/>
    <w:rsid w:val="001B2A81"/>
    <w:rsid w:val="001B4C3E"/>
    <w:rsid w:val="001C3B74"/>
    <w:rsid w:val="001D5B59"/>
    <w:rsid w:val="001E08C0"/>
    <w:rsid w:val="001E36B7"/>
    <w:rsid w:val="001E43CF"/>
    <w:rsid w:val="001F2CAA"/>
    <w:rsid w:val="001F5BCF"/>
    <w:rsid w:val="001F6A79"/>
    <w:rsid w:val="00206B5E"/>
    <w:rsid w:val="00206DCF"/>
    <w:rsid w:val="00211684"/>
    <w:rsid w:val="00215B59"/>
    <w:rsid w:val="00222754"/>
    <w:rsid w:val="00235A0B"/>
    <w:rsid w:val="00242D6A"/>
    <w:rsid w:val="00245C5C"/>
    <w:rsid w:val="00245D42"/>
    <w:rsid w:val="00255443"/>
    <w:rsid w:val="00255EFE"/>
    <w:rsid w:val="00265082"/>
    <w:rsid w:val="00266913"/>
    <w:rsid w:val="00266CF1"/>
    <w:rsid w:val="00271C40"/>
    <w:rsid w:val="002744AB"/>
    <w:rsid w:val="00276022"/>
    <w:rsid w:val="002844C3"/>
    <w:rsid w:val="00285E24"/>
    <w:rsid w:val="0029790C"/>
    <w:rsid w:val="002A5F4B"/>
    <w:rsid w:val="002B7535"/>
    <w:rsid w:val="002C465B"/>
    <w:rsid w:val="002D06AF"/>
    <w:rsid w:val="002D5037"/>
    <w:rsid w:val="002D76DF"/>
    <w:rsid w:val="002E19A5"/>
    <w:rsid w:val="002E514C"/>
    <w:rsid w:val="00304749"/>
    <w:rsid w:val="0030548B"/>
    <w:rsid w:val="00307D05"/>
    <w:rsid w:val="00315205"/>
    <w:rsid w:val="00317372"/>
    <w:rsid w:val="0033758F"/>
    <w:rsid w:val="003522DE"/>
    <w:rsid w:val="003535CA"/>
    <w:rsid w:val="00354461"/>
    <w:rsid w:val="00356A05"/>
    <w:rsid w:val="00364BAA"/>
    <w:rsid w:val="00374472"/>
    <w:rsid w:val="003864D2"/>
    <w:rsid w:val="00393FCE"/>
    <w:rsid w:val="00397392"/>
    <w:rsid w:val="003A0DC7"/>
    <w:rsid w:val="003A38F6"/>
    <w:rsid w:val="003B63C3"/>
    <w:rsid w:val="003C0541"/>
    <w:rsid w:val="003C6ADB"/>
    <w:rsid w:val="003D1C1D"/>
    <w:rsid w:val="003D284D"/>
    <w:rsid w:val="003D3B73"/>
    <w:rsid w:val="003E055C"/>
    <w:rsid w:val="003E406F"/>
    <w:rsid w:val="003E52D6"/>
    <w:rsid w:val="003E56CF"/>
    <w:rsid w:val="003F1A18"/>
    <w:rsid w:val="003F46E1"/>
    <w:rsid w:val="00403FD5"/>
    <w:rsid w:val="00405357"/>
    <w:rsid w:val="00421238"/>
    <w:rsid w:val="0043287B"/>
    <w:rsid w:val="004354AB"/>
    <w:rsid w:val="00443A40"/>
    <w:rsid w:val="004456E7"/>
    <w:rsid w:val="00447DD1"/>
    <w:rsid w:val="00453861"/>
    <w:rsid w:val="004542D8"/>
    <w:rsid w:val="00463ADC"/>
    <w:rsid w:val="00464D1B"/>
    <w:rsid w:val="00466DA0"/>
    <w:rsid w:val="00473358"/>
    <w:rsid w:val="0047755C"/>
    <w:rsid w:val="00494805"/>
    <w:rsid w:val="00496E00"/>
    <w:rsid w:val="004A39CC"/>
    <w:rsid w:val="004B4A9B"/>
    <w:rsid w:val="004C2BE7"/>
    <w:rsid w:val="004D1836"/>
    <w:rsid w:val="004D2BE8"/>
    <w:rsid w:val="004E3EA1"/>
    <w:rsid w:val="004E4D21"/>
    <w:rsid w:val="004E6F87"/>
    <w:rsid w:val="004E748E"/>
    <w:rsid w:val="004F4B25"/>
    <w:rsid w:val="004F53C9"/>
    <w:rsid w:val="00504044"/>
    <w:rsid w:val="00507976"/>
    <w:rsid w:val="0051218F"/>
    <w:rsid w:val="00527BD2"/>
    <w:rsid w:val="00531461"/>
    <w:rsid w:val="0053211E"/>
    <w:rsid w:val="00535D45"/>
    <w:rsid w:val="00536D43"/>
    <w:rsid w:val="00547E3C"/>
    <w:rsid w:val="0055110A"/>
    <w:rsid w:val="00570AF7"/>
    <w:rsid w:val="00577C18"/>
    <w:rsid w:val="00584564"/>
    <w:rsid w:val="0058652D"/>
    <w:rsid w:val="00593525"/>
    <w:rsid w:val="00594421"/>
    <w:rsid w:val="005A2F34"/>
    <w:rsid w:val="005A76B2"/>
    <w:rsid w:val="005B26EA"/>
    <w:rsid w:val="005B3C6D"/>
    <w:rsid w:val="005B456C"/>
    <w:rsid w:val="005C2792"/>
    <w:rsid w:val="005C2BE7"/>
    <w:rsid w:val="005C4A22"/>
    <w:rsid w:val="005D39B6"/>
    <w:rsid w:val="005E3D7C"/>
    <w:rsid w:val="005F2C61"/>
    <w:rsid w:val="00610245"/>
    <w:rsid w:val="00616C23"/>
    <w:rsid w:val="00616FEF"/>
    <w:rsid w:val="00617897"/>
    <w:rsid w:val="00621A38"/>
    <w:rsid w:val="00634E3E"/>
    <w:rsid w:val="00640BAD"/>
    <w:rsid w:val="00640E7C"/>
    <w:rsid w:val="00642E64"/>
    <w:rsid w:val="006503FB"/>
    <w:rsid w:val="00655DB5"/>
    <w:rsid w:val="006576EF"/>
    <w:rsid w:val="0066507A"/>
    <w:rsid w:val="00666690"/>
    <w:rsid w:val="00667EBE"/>
    <w:rsid w:val="006728D4"/>
    <w:rsid w:val="0067415D"/>
    <w:rsid w:val="0067517F"/>
    <w:rsid w:val="00675E8B"/>
    <w:rsid w:val="00676338"/>
    <w:rsid w:val="006778FF"/>
    <w:rsid w:val="006816C9"/>
    <w:rsid w:val="0068269C"/>
    <w:rsid w:val="00683A01"/>
    <w:rsid w:val="00683B17"/>
    <w:rsid w:val="0068490A"/>
    <w:rsid w:val="00685550"/>
    <w:rsid w:val="00685D74"/>
    <w:rsid w:val="00690780"/>
    <w:rsid w:val="00690D85"/>
    <w:rsid w:val="006A1FAE"/>
    <w:rsid w:val="006A6131"/>
    <w:rsid w:val="006A75B2"/>
    <w:rsid w:val="006B1F94"/>
    <w:rsid w:val="006B7754"/>
    <w:rsid w:val="006C5A18"/>
    <w:rsid w:val="006C64C9"/>
    <w:rsid w:val="006D476F"/>
    <w:rsid w:val="006E04E0"/>
    <w:rsid w:val="006E3EBE"/>
    <w:rsid w:val="006E68AE"/>
    <w:rsid w:val="00711418"/>
    <w:rsid w:val="00713D8C"/>
    <w:rsid w:val="00716C7B"/>
    <w:rsid w:val="00724E58"/>
    <w:rsid w:val="00730640"/>
    <w:rsid w:val="00753E58"/>
    <w:rsid w:val="00756587"/>
    <w:rsid w:val="00756FD6"/>
    <w:rsid w:val="007646F4"/>
    <w:rsid w:val="00764A64"/>
    <w:rsid w:val="00770137"/>
    <w:rsid w:val="00772194"/>
    <w:rsid w:val="00780F1B"/>
    <w:rsid w:val="00784DFC"/>
    <w:rsid w:val="00786856"/>
    <w:rsid w:val="00792F1D"/>
    <w:rsid w:val="007973B4"/>
    <w:rsid w:val="007A198F"/>
    <w:rsid w:val="007A38EF"/>
    <w:rsid w:val="007B2305"/>
    <w:rsid w:val="007C1156"/>
    <w:rsid w:val="007C4612"/>
    <w:rsid w:val="007C79B7"/>
    <w:rsid w:val="007D10CC"/>
    <w:rsid w:val="007D3B90"/>
    <w:rsid w:val="007E10AB"/>
    <w:rsid w:val="007E6C08"/>
    <w:rsid w:val="007F7A8B"/>
    <w:rsid w:val="00800C4E"/>
    <w:rsid w:val="00801BCC"/>
    <w:rsid w:val="00814C8C"/>
    <w:rsid w:val="008166AD"/>
    <w:rsid w:val="00817D45"/>
    <w:rsid w:val="00817FD3"/>
    <w:rsid w:val="008271D8"/>
    <w:rsid w:val="00832827"/>
    <w:rsid w:val="00833B97"/>
    <w:rsid w:val="00847034"/>
    <w:rsid w:val="00847D17"/>
    <w:rsid w:val="0085369E"/>
    <w:rsid w:val="008754D5"/>
    <w:rsid w:val="00877A0B"/>
    <w:rsid w:val="00885B5E"/>
    <w:rsid w:val="008918FF"/>
    <w:rsid w:val="008973B7"/>
    <w:rsid w:val="008A39AC"/>
    <w:rsid w:val="008A4899"/>
    <w:rsid w:val="008B430F"/>
    <w:rsid w:val="008C214D"/>
    <w:rsid w:val="008C4C78"/>
    <w:rsid w:val="008D136A"/>
    <w:rsid w:val="008D6AE8"/>
    <w:rsid w:val="00913A37"/>
    <w:rsid w:val="00914822"/>
    <w:rsid w:val="00920CD9"/>
    <w:rsid w:val="00923FDC"/>
    <w:rsid w:val="00926647"/>
    <w:rsid w:val="00935FAA"/>
    <w:rsid w:val="00942F36"/>
    <w:rsid w:val="00953410"/>
    <w:rsid w:val="0095687E"/>
    <w:rsid w:val="00957182"/>
    <w:rsid w:val="00957C42"/>
    <w:rsid w:val="0096418D"/>
    <w:rsid w:val="009726F4"/>
    <w:rsid w:val="009728AA"/>
    <w:rsid w:val="0097533B"/>
    <w:rsid w:val="009835A8"/>
    <w:rsid w:val="00984988"/>
    <w:rsid w:val="00985B2F"/>
    <w:rsid w:val="00990415"/>
    <w:rsid w:val="00990BAA"/>
    <w:rsid w:val="0099114A"/>
    <w:rsid w:val="00995112"/>
    <w:rsid w:val="00995DCE"/>
    <w:rsid w:val="009975F3"/>
    <w:rsid w:val="009A1F63"/>
    <w:rsid w:val="009A65E4"/>
    <w:rsid w:val="009B43DF"/>
    <w:rsid w:val="009C7881"/>
    <w:rsid w:val="009D0A22"/>
    <w:rsid w:val="009E170D"/>
    <w:rsid w:val="009E5154"/>
    <w:rsid w:val="009E7092"/>
    <w:rsid w:val="009E7344"/>
    <w:rsid w:val="00A055DD"/>
    <w:rsid w:val="00A05B38"/>
    <w:rsid w:val="00A06A51"/>
    <w:rsid w:val="00A10B2A"/>
    <w:rsid w:val="00A16B00"/>
    <w:rsid w:val="00A24C40"/>
    <w:rsid w:val="00A3310A"/>
    <w:rsid w:val="00A3442E"/>
    <w:rsid w:val="00A4732B"/>
    <w:rsid w:val="00A503AE"/>
    <w:rsid w:val="00A62A0B"/>
    <w:rsid w:val="00A65B5C"/>
    <w:rsid w:val="00A72783"/>
    <w:rsid w:val="00A758FA"/>
    <w:rsid w:val="00A81A8D"/>
    <w:rsid w:val="00A84A53"/>
    <w:rsid w:val="00A8508C"/>
    <w:rsid w:val="00A94A14"/>
    <w:rsid w:val="00AA6575"/>
    <w:rsid w:val="00AB00A4"/>
    <w:rsid w:val="00AC60B7"/>
    <w:rsid w:val="00AD4DFB"/>
    <w:rsid w:val="00AE4B2E"/>
    <w:rsid w:val="00AE4D72"/>
    <w:rsid w:val="00AE7A6D"/>
    <w:rsid w:val="00AF0DB3"/>
    <w:rsid w:val="00AF14FA"/>
    <w:rsid w:val="00AF72B4"/>
    <w:rsid w:val="00B04439"/>
    <w:rsid w:val="00B102D2"/>
    <w:rsid w:val="00B24CB7"/>
    <w:rsid w:val="00B31F2D"/>
    <w:rsid w:val="00B415A7"/>
    <w:rsid w:val="00B4710C"/>
    <w:rsid w:val="00B47738"/>
    <w:rsid w:val="00B50E2F"/>
    <w:rsid w:val="00B5195E"/>
    <w:rsid w:val="00B55F90"/>
    <w:rsid w:val="00B61F5B"/>
    <w:rsid w:val="00B62F4E"/>
    <w:rsid w:val="00B942E1"/>
    <w:rsid w:val="00B94B78"/>
    <w:rsid w:val="00B97192"/>
    <w:rsid w:val="00BA60AC"/>
    <w:rsid w:val="00BA7B81"/>
    <w:rsid w:val="00BB1BAF"/>
    <w:rsid w:val="00BB2599"/>
    <w:rsid w:val="00BB3F7E"/>
    <w:rsid w:val="00BB48EF"/>
    <w:rsid w:val="00BC6E19"/>
    <w:rsid w:val="00BD37D8"/>
    <w:rsid w:val="00BD42DF"/>
    <w:rsid w:val="00BD7EBD"/>
    <w:rsid w:val="00BE0BA8"/>
    <w:rsid w:val="00BE3F76"/>
    <w:rsid w:val="00BE67C2"/>
    <w:rsid w:val="00BE6B69"/>
    <w:rsid w:val="00BF772E"/>
    <w:rsid w:val="00C0359B"/>
    <w:rsid w:val="00C11784"/>
    <w:rsid w:val="00C12CCE"/>
    <w:rsid w:val="00C21170"/>
    <w:rsid w:val="00C21CE3"/>
    <w:rsid w:val="00C252E2"/>
    <w:rsid w:val="00C25AFF"/>
    <w:rsid w:val="00C266AC"/>
    <w:rsid w:val="00C350F2"/>
    <w:rsid w:val="00C438D9"/>
    <w:rsid w:val="00C45800"/>
    <w:rsid w:val="00C46A3D"/>
    <w:rsid w:val="00C51000"/>
    <w:rsid w:val="00C54A01"/>
    <w:rsid w:val="00C570A0"/>
    <w:rsid w:val="00C604DB"/>
    <w:rsid w:val="00C73DAA"/>
    <w:rsid w:val="00C806D0"/>
    <w:rsid w:val="00C80C15"/>
    <w:rsid w:val="00C8153B"/>
    <w:rsid w:val="00C8561E"/>
    <w:rsid w:val="00C905A3"/>
    <w:rsid w:val="00C91A9E"/>
    <w:rsid w:val="00C91EA5"/>
    <w:rsid w:val="00C9262B"/>
    <w:rsid w:val="00C932E3"/>
    <w:rsid w:val="00C935D0"/>
    <w:rsid w:val="00CA3188"/>
    <w:rsid w:val="00CA6D90"/>
    <w:rsid w:val="00CB3869"/>
    <w:rsid w:val="00CB6899"/>
    <w:rsid w:val="00CC0E81"/>
    <w:rsid w:val="00CD278A"/>
    <w:rsid w:val="00CD33A2"/>
    <w:rsid w:val="00CE0E95"/>
    <w:rsid w:val="00CE4E23"/>
    <w:rsid w:val="00CF026C"/>
    <w:rsid w:val="00D0166C"/>
    <w:rsid w:val="00D115DD"/>
    <w:rsid w:val="00D1262F"/>
    <w:rsid w:val="00D12793"/>
    <w:rsid w:val="00D13928"/>
    <w:rsid w:val="00D140B6"/>
    <w:rsid w:val="00D149FA"/>
    <w:rsid w:val="00D221D1"/>
    <w:rsid w:val="00D257C3"/>
    <w:rsid w:val="00D30211"/>
    <w:rsid w:val="00D32755"/>
    <w:rsid w:val="00D33D18"/>
    <w:rsid w:val="00D3669B"/>
    <w:rsid w:val="00D42881"/>
    <w:rsid w:val="00D4696C"/>
    <w:rsid w:val="00D56F3A"/>
    <w:rsid w:val="00D6170E"/>
    <w:rsid w:val="00D62862"/>
    <w:rsid w:val="00D81D4B"/>
    <w:rsid w:val="00D84AF0"/>
    <w:rsid w:val="00D93AEC"/>
    <w:rsid w:val="00D94CAD"/>
    <w:rsid w:val="00D95CD1"/>
    <w:rsid w:val="00D97D22"/>
    <w:rsid w:val="00D97F9F"/>
    <w:rsid w:val="00DA0FB8"/>
    <w:rsid w:val="00DA3B9E"/>
    <w:rsid w:val="00DB346D"/>
    <w:rsid w:val="00DB7084"/>
    <w:rsid w:val="00DC1B22"/>
    <w:rsid w:val="00DC1ECE"/>
    <w:rsid w:val="00DC28A9"/>
    <w:rsid w:val="00DD3829"/>
    <w:rsid w:val="00DE0063"/>
    <w:rsid w:val="00DE4EB1"/>
    <w:rsid w:val="00DE5DFC"/>
    <w:rsid w:val="00DF6694"/>
    <w:rsid w:val="00E035CC"/>
    <w:rsid w:val="00E138F6"/>
    <w:rsid w:val="00E16B66"/>
    <w:rsid w:val="00E16C19"/>
    <w:rsid w:val="00E31BF5"/>
    <w:rsid w:val="00E3643B"/>
    <w:rsid w:val="00E45298"/>
    <w:rsid w:val="00E45BB7"/>
    <w:rsid w:val="00E46334"/>
    <w:rsid w:val="00E56212"/>
    <w:rsid w:val="00E7068C"/>
    <w:rsid w:val="00E74DBC"/>
    <w:rsid w:val="00E77286"/>
    <w:rsid w:val="00E83554"/>
    <w:rsid w:val="00E83CFD"/>
    <w:rsid w:val="00E864E2"/>
    <w:rsid w:val="00E96B64"/>
    <w:rsid w:val="00EA4271"/>
    <w:rsid w:val="00EA4909"/>
    <w:rsid w:val="00EA590A"/>
    <w:rsid w:val="00EB4B81"/>
    <w:rsid w:val="00EB4F79"/>
    <w:rsid w:val="00EC2545"/>
    <w:rsid w:val="00EC290F"/>
    <w:rsid w:val="00EC62CE"/>
    <w:rsid w:val="00ED08B2"/>
    <w:rsid w:val="00ED730B"/>
    <w:rsid w:val="00EE2DBC"/>
    <w:rsid w:val="00EF1A4A"/>
    <w:rsid w:val="00EF1C71"/>
    <w:rsid w:val="00EF36A5"/>
    <w:rsid w:val="00EF481A"/>
    <w:rsid w:val="00F06313"/>
    <w:rsid w:val="00F16AEB"/>
    <w:rsid w:val="00F21632"/>
    <w:rsid w:val="00F24BA7"/>
    <w:rsid w:val="00F330D6"/>
    <w:rsid w:val="00F41812"/>
    <w:rsid w:val="00F45E68"/>
    <w:rsid w:val="00F557CB"/>
    <w:rsid w:val="00F55DA7"/>
    <w:rsid w:val="00F6201D"/>
    <w:rsid w:val="00F620EC"/>
    <w:rsid w:val="00F63948"/>
    <w:rsid w:val="00F742A0"/>
    <w:rsid w:val="00F8049D"/>
    <w:rsid w:val="00F8113E"/>
    <w:rsid w:val="00F87752"/>
    <w:rsid w:val="00F96010"/>
    <w:rsid w:val="00FA3252"/>
    <w:rsid w:val="00FA6CD1"/>
    <w:rsid w:val="00FB30BA"/>
    <w:rsid w:val="00FC0659"/>
    <w:rsid w:val="00FC45FE"/>
    <w:rsid w:val="00FF37C1"/>
    <w:rsid w:val="00FF61A1"/>
    <w:rsid w:val="08487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67DABD9"/>
  <w15:docId w15:val="{13FFA93F-5569-4AC3-8D38-438B4B6A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qFormat="1"/>
    <w:lsdException w:name="page number" w:semiHidden="1" w:unhideWhenUsed="1"/>
    <w:lsdException w:name="endnote reference" w:semiHidden="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paragraph" w:styleId="2">
    <w:name w:val="heading 2"/>
    <w:basedOn w:val="a"/>
    <w:next w:val="a"/>
    <w:link w:val="20"/>
    <w:uiPriority w:val="99"/>
    <w:qFormat/>
    <w:pPr>
      <w:keepNext/>
      <w:keepLines/>
      <w:spacing w:line="360" w:lineRule="auto"/>
      <w:ind w:left="425" w:hanging="425"/>
      <w:outlineLvl w:val="1"/>
    </w:pPr>
    <w:rPr>
      <w:rFonts w:ascii="Calibri Light" w:hAnsi="Calibri Light" w:cs="Calibri Light"/>
      <w:b/>
      <w:bCs/>
      <w:kern w:val="0"/>
      <w:sz w:val="24"/>
      <w:szCs w:val="24"/>
    </w:rPr>
  </w:style>
  <w:style w:type="paragraph" w:styleId="3">
    <w:name w:val="heading 3"/>
    <w:basedOn w:val="a"/>
    <w:next w:val="a"/>
    <w:link w:val="30"/>
    <w:uiPriority w:val="99"/>
    <w:qFormat/>
    <w:pPr>
      <w:keepNext/>
      <w:keepLines/>
      <w:adjustRightInd w:val="0"/>
      <w:snapToGrid w:val="0"/>
      <w:spacing w:line="360" w:lineRule="auto"/>
      <w:ind w:left="425" w:hanging="425"/>
      <w:outlineLvl w:val="2"/>
    </w:pPr>
    <w:rPr>
      <w:rFonts w:ascii="Calibri" w:hAnsi="Calibri" w:cs="Calibri"/>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rPr>
      <w:kern w:val="0"/>
      <w:sz w:val="20"/>
      <w:szCs w:val="20"/>
    </w:rPr>
  </w:style>
  <w:style w:type="paragraph" w:styleId="a5">
    <w:name w:val="Body Text"/>
    <w:basedOn w:val="a"/>
    <w:link w:val="a6"/>
    <w:uiPriority w:val="99"/>
    <w:semiHidden/>
    <w:qFormat/>
    <w:pPr>
      <w:autoSpaceDE w:val="0"/>
      <w:autoSpaceDN w:val="0"/>
      <w:adjustRightInd w:val="0"/>
      <w:spacing w:line="360" w:lineRule="auto"/>
      <w:ind w:left="425" w:hanging="425"/>
      <w:jc w:val="left"/>
    </w:pPr>
    <w:rPr>
      <w:color w:val="000000"/>
      <w:kern w:val="0"/>
      <w:sz w:val="20"/>
      <w:szCs w:val="20"/>
    </w:rPr>
  </w:style>
  <w:style w:type="paragraph" w:styleId="a7">
    <w:name w:val="Plain Text"/>
    <w:basedOn w:val="a"/>
    <w:link w:val="a8"/>
    <w:uiPriority w:val="99"/>
    <w:qFormat/>
    <w:rPr>
      <w:rFonts w:ascii="宋体" w:hAnsi="Courier New" w:cs="宋体"/>
      <w:kern w:val="0"/>
      <w:sz w:val="20"/>
      <w:szCs w:val="20"/>
    </w:rPr>
  </w:style>
  <w:style w:type="paragraph" w:styleId="a9">
    <w:name w:val="endnote text"/>
    <w:basedOn w:val="a"/>
    <w:link w:val="aa"/>
    <w:uiPriority w:val="99"/>
    <w:semiHidden/>
    <w:qFormat/>
    <w:pPr>
      <w:snapToGrid w:val="0"/>
      <w:spacing w:line="360" w:lineRule="auto"/>
      <w:ind w:left="425" w:hanging="425"/>
      <w:jc w:val="left"/>
    </w:pPr>
    <w:rPr>
      <w:kern w:val="0"/>
      <w:sz w:val="20"/>
      <w:szCs w:val="20"/>
    </w:rPr>
  </w:style>
  <w:style w:type="paragraph" w:styleId="ab">
    <w:name w:val="Balloon Text"/>
    <w:basedOn w:val="a"/>
    <w:link w:val="ac"/>
    <w:uiPriority w:val="99"/>
    <w:semiHidden/>
    <w:qFormat/>
    <w:rPr>
      <w:kern w:val="0"/>
      <w:sz w:val="18"/>
      <w:szCs w:val="18"/>
    </w:rPr>
  </w:style>
  <w:style w:type="paragraph" w:styleId="ad">
    <w:name w:val="footer"/>
    <w:basedOn w:val="a"/>
    <w:link w:val="ae"/>
    <w:uiPriority w:val="99"/>
    <w:unhideWhenUsed/>
    <w:qFormat/>
    <w:pPr>
      <w:tabs>
        <w:tab w:val="center" w:pos="4153"/>
        <w:tab w:val="right" w:pos="8306"/>
      </w:tabs>
      <w:adjustRightInd w:val="0"/>
      <w:snapToGrid w:val="0"/>
    </w:pPr>
    <w:rPr>
      <w:snapToGrid w:val="0"/>
      <w:kern w:val="0"/>
      <w:szCs w:val="18"/>
    </w:rPr>
  </w:style>
  <w:style w:type="paragraph" w:styleId="af">
    <w:name w:val="header"/>
    <w:basedOn w:val="a"/>
    <w:link w:val="af0"/>
    <w:uiPriority w:val="99"/>
    <w:unhideWhenUsed/>
    <w:qFormat/>
    <w:pPr>
      <w:tabs>
        <w:tab w:val="center" w:pos="4153"/>
        <w:tab w:val="right" w:pos="8306"/>
      </w:tabs>
      <w:adjustRightInd w:val="0"/>
      <w:snapToGrid w:val="0"/>
    </w:pPr>
    <w:rPr>
      <w:snapToGrid w:val="0"/>
      <w:kern w:val="0"/>
      <w:szCs w:val="18"/>
    </w:rPr>
  </w:style>
  <w:style w:type="paragraph" w:styleId="af1">
    <w:name w:val="table of figures"/>
    <w:basedOn w:val="a"/>
    <w:next w:val="a"/>
    <w:uiPriority w:val="99"/>
    <w:semiHidden/>
    <w:unhideWhenUsed/>
    <w:qFormat/>
    <w:pPr>
      <w:ind w:leftChars="200" w:left="200" w:hangingChars="200" w:hanging="200"/>
    </w:pPr>
  </w:style>
  <w:style w:type="paragraph" w:styleId="af2">
    <w:name w:val="annotation subject"/>
    <w:basedOn w:val="a3"/>
    <w:next w:val="a3"/>
    <w:link w:val="af3"/>
    <w:uiPriority w:val="99"/>
    <w:semiHidden/>
    <w:qFormat/>
    <w:rPr>
      <w:b/>
      <w:bCs/>
    </w:rPr>
  </w:style>
  <w:style w:type="table" w:styleId="af4">
    <w:name w:val="Table Grid"/>
    <w:basedOn w:val="a1"/>
    <w:uiPriority w:val="99"/>
    <w:pPr>
      <w:spacing w:line="360" w:lineRule="auto"/>
      <w:ind w:left="425" w:hanging="425"/>
      <w:jc w:val="both"/>
    </w:pPr>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endnote reference"/>
    <w:uiPriority w:val="99"/>
    <w:semiHidden/>
    <w:rPr>
      <w:vertAlign w:val="superscript"/>
    </w:rPr>
  </w:style>
  <w:style w:type="character" w:styleId="af6">
    <w:name w:val="line number"/>
    <w:basedOn w:val="a0"/>
    <w:uiPriority w:val="99"/>
    <w:semiHidden/>
    <w:unhideWhenUsed/>
    <w:qFormat/>
  </w:style>
  <w:style w:type="character" w:styleId="af7">
    <w:name w:val="annotation reference"/>
    <w:uiPriority w:val="99"/>
    <w:semiHidden/>
    <w:qFormat/>
    <w:rPr>
      <w:sz w:val="21"/>
      <w:szCs w:val="21"/>
    </w:rPr>
  </w:style>
  <w:style w:type="character" w:customStyle="1" w:styleId="20">
    <w:name w:val="标题 2 字符"/>
    <w:link w:val="2"/>
    <w:uiPriority w:val="99"/>
    <w:semiHidden/>
    <w:qFormat/>
    <w:locked/>
    <w:rPr>
      <w:rFonts w:ascii="Calibri Light" w:eastAsia="宋体" w:hAnsi="Calibri Light" w:cs="Calibri Light"/>
      <w:b/>
      <w:bCs/>
      <w:sz w:val="32"/>
      <w:szCs w:val="32"/>
    </w:rPr>
  </w:style>
  <w:style w:type="character" w:customStyle="1" w:styleId="30">
    <w:name w:val="标题 3 字符"/>
    <w:link w:val="3"/>
    <w:uiPriority w:val="99"/>
    <w:qFormat/>
    <w:locked/>
    <w:rPr>
      <w:b/>
      <w:bCs/>
      <w:sz w:val="32"/>
      <w:szCs w:val="32"/>
    </w:rPr>
  </w:style>
  <w:style w:type="character" w:customStyle="1" w:styleId="af0">
    <w:name w:val="页眉 字符"/>
    <w:link w:val="af"/>
    <w:uiPriority w:val="99"/>
    <w:qFormat/>
    <w:locked/>
    <w:rPr>
      <w:rFonts w:ascii="Times New Roman" w:hAnsi="Times New Roman"/>
      <w:snapToGrid w:val="0"/>
      <w:sz w:val="21"/>
      <w:szCs w:val="18"/>
    </w:rPr>
  </w:style>
  <w:style w:type="character" w:customStyle="1" w:styleId="ae">
    <w:name w:val="页脚 字符"/>
    <w:link w:val="ad"/>
    <w:uiPriority w:val="99"/>
    <w:qFormat/>
    <w:locked/>
    <w:rPr>
      <w:rFonts w:ascii="Times New Roman" w:hAnsi="Times New Roman"/>
      <w:snapToGrid w:val="0"/>
      <w:sz w:val="21"/>
      <w:szCs w:val="18"/>
    </w:rPr>
  </w:style>
  <w:style w:type="character" w:customStyle="1" w:styleId="a8">
    <w:name w:val="纯文本 字符"/>
    <w:link w:val="a7"/>
    <w:uiPriority w:val="99"/>
    <w:qFormat/>
    <w:locked/>
    <w:rPr>
      <w:rFonts w:ascii="宋体" w:eastAsia="宋体" w:hAnsi="Courier New" w:cs="宋体"/>
      <w:sz w:val="20"/>
      <w:szCs w:val="20"/>
    </w:rPr>
  </w:style>
  <w:style w:type="character" w:customStyle="1" w:styleId="a4">
    <w:name w:val="批注文字 字符"/>
    <w:link w:val="a3"/>
    <w:uiPriority w:val="99"/>
    <w:qFormat/>
    <w:locked/>
    <w:rPr>
      <w:rFonts w:ascii="Times New Roman" w:eastAsia="宋体" w:hAnsi="Times New Roman" w:cs="Times New Roman"/>
      <w:sz w:val="20"/>
      <w:szCs w:val="20"/>
    </w:rPr>
  </w:style>
  <w:style w:type="character" w:customStyle="1" w:styleId="ac">
    <w:name w:val="批注框文本 字符"/>
    <w:link w:val="ab"/>
    <w:uiPriority w:val="99"/>
    <w:semiHidden/>
    <w:qFormat/>
    <w:locked/>
    <w:rPr>
      <w:rFonts w:ascii="Times New Roman" w:eastAsia="宋体" w:hAnsi="Times New Roman" w:cs="Times New Roman"/>
      <w:sz w:val="18"/>
      <w:szCs w:val="18"/>
    </w:rPr>
  </w:style>
  <w:style w:type="character" w:customStyle="1" w:styleId="af3">
    <w:name w:val="批注主题 字符"/>
    <w:link w:val="af2"/>
    <w:uiPriority w:val="99"/>
    <w:semiHidden/>
    <w:qFormat/>
    <w:locked/>
    <w:rPr>
      <w:rFonts w:ascii="Times New Roman" w:eastAsia="宋体" w:hAnsi="Times New Roman" w:cs="Times New Roman"/>
      <w:b/>
      <w:bCs/>
      <w:sz w:val="20"/>
      <w:szCs w:val="20"/>
    </w:rPr>
  </w:style>
  <w:style w:type="paragraph" w:customStyle="1" w:styleId="1">
    <w:name w:val="修订1"/>
    <w:hidden/>
    <w:uiPriority w:val="99"/>
    <w:semiHidden/>
    <w:qFormat/>
    <w:rPr>
      <w:rFonts w:ascii="Times New Roman" w:hAnsi="Times New Roman"/>
      <w:kern w:val="2"/>
      <w:sz w:val="21"/>
      <w:szCs w:val="21"/>
    </w:rPr>
  </w:style>
  <w:style w:type="character" w:customStyle="1" w:styleId="aa">
    <w:name w:val="尾注文本 字符"/>
    <w:link w:val="a9"/>
    <w:uiPriority w:val="99"/>
    <w:semiHidden/>
    <w:qFormat/>
    <w:locked/>
    <w:rPr>
      <w:rFonts w:ascii="Times New Roman" w:eastAsia="宋体" w:hAnsi="Times New Roman" w:cs="Times New Roman"/>
      <w:sz w:val="20"/>
      <w:szCs w:val="20"/>
    </w:rPr>
  </w:style>
  <w:style w:type="character" w:customStyle="1" w:styleId="a6">
    <w:name w:val="正文文本 字符"/>
    <w:link w:val="a5"/>
    <w:uiPriority w:val="99"/>
    <w:semiHidden/>
    <w:qFormat/>
    <w:locked/>
    <w:rPr>
      <w:rFonts w:ascii="Times New Roman" w:eastAsia="宋体" w:hAnsi="Times New Roman" w:cs="Times New Roman"/>
      <w:color w:val="000000"/>
      <w:kern w:val="0"/>
      <w:sz w:val="20"/>
      <w:szCs w:val="20"/>
    </w:rPr>
  </w:style>
  <w:style w:type="paragraph" w:styleId="af8">
    <w:name w:val="List Paragraph"/>
    <w:basedOn w:val="a"/>
    <w:uiPriority w:val="99"/>
    <w:qFormat/>
    <w:pPr>
      <w:spacing w:line="360" w:lineRule="auto"/>
      <w:ind w:left="425" w:firstLineChars="200" w:firstLine="420"/>
    </w:pPr>
    <w:rPr>
      <w:rFonts w:ascii="Calibri" w:hAnsi="Calibri" w:cs="Calibri"/>
    </w:rPr>
  </w:style>
  <w:style w:type="paragraph" w:customStyle="1" w:styleId="10">
    <w:name w:val="列出段落1"/>
    <w:basedOn w:val="a"/>
    <w:uiPriority w:val="99"/>
    <w:pPr>
      <w:spacing w:line="360" w:lineRule="auto"/>
      <w:ind w:left="425" w:firstLineChars="200" w:firstLine="420"/>
    </w:pPr>
    <w:rPr>
      <w:rFonts w:ascii="Calibri" w:hAnsi="Calibri" w:cs="Calibri"/>
    </w:rPr>
  </w:style>
  <w:style w:type="character" w:customStyle="1" w:styleId="apple-converted-space">
    <w:name w:val="apple-converted-space"/>
    <w:basedOn w:val="a0"/>
    <w:uiPriority w:val="99"/>
    <w:qFormat/>
  </w:style>
  <w:style w:type="paragraph" w:customStyle="1" w:styleId="Normal0">
    <w:name w:val="Normal_0"/>
    <w:qFormat/>
    <w:pPr>
      <w:spacing w:before="120" w:after="240"/>
      <w:jc w:val="both"/>
    </w:pPr>
    <w:rPr>
      <w:rFonts w:ascii="Times New Roman" w:eastAsia="Times New Roman" w:hAnsi="Times New Roman"/>
      <w:sz w:val="22"/>
      <w:szCs w:val="22"/>
      <w:lang w:eastAsia="en-US"/>
    </w:rPr>
  </w:style>
  <w:style w:type="paragraph" w:customStyle="1" w:styleId="A-">
    <w:name w:val="A-正文"/>
    <w:basedOn w:val="a"/>
    <w:qFormat/>
    <w:pPr>
      <w:snapToGrid w:val="0"/>
      <w:spacing w:afterLines="50" w:after="50"/>
    </w:pPr>
    <w:rPr>
      <w:snapToGrid w:val="0"/>
      <w:kern w:val="0"/>
      <w:sz w:val="24"/>
      <w:szCs w:val="22"/>
    </w:rPr>
  </w:style>
  <w:style w:type="paragraph" w:customStyle="1" w:styleId="af9">
    <w:name w:val="表目录"/>
    <w:basedOn w:val="af1"/>
    <w:qFormat/>
    <w:pPr>
      <w:snapToGrid w:val="0"/>
      <w:spacing w:afterLines="50" w:after="50"/>
      <w:ind w:leftChars="0" w:left="0" w:hangingChars="400" w:hanging="403"/>
    </w:pPr>
    <w:rPr>
      <w:b/>
      <w:snapToGrid w:val="0"/>
      <w:kern w:val="0"/>
      <w:sz w:val="24"/>
      <w:szCs w:val="22"/>
    </w:rPr>
  </w:style>
  <w:style w:type="paragraph" w:customStyle="1" w:styleId="afa">
    <w:name w:val="图目录"/>
    <w:basedOn w:val="af1"/>
    <w:qFormat/>
    <w:pPr>
      <w:adjustRightInd w:val="0"/>
      <w:snapToGrid w:val="0"/>
      <w:spacing w:afterLines="50" w:after="50"/>
      <w:ind w:leftChars="0" w:left="0" w:hangingChars="400" w:hanging="301"/>
    </w:pPr>
    <w:rPr>
      <w:b/>
      <w:snapToGrid w:val="0"/>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2053"/>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BD6AD3-22A1-49D8-B263-4BBBB4CC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1102</Words>
  <Characters>6282</Characters>
  <Application>Microsoft Office Word</Application>
  <DocSecurity>0</DocSecurity>
  <Lines>52</Lines>
  <Paragraphs>14</Paragraphs>
  <ScaleCrop>false</ScaleCrop>
  <Company>sidc</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 Yiling</dc:creator>
  <cp:lastModifiedBy>陈蕾</cp:lastModifiedBy>
  <cp:revision>82</cp:revision>
  <cp:lastPrinted>2018-05-11T09:20:00Z</cp:lastPrinted>
  <dcterms:created xsi:type="dcterms:W3CDTF">2023-05-11T08:23:00Z</dcterms:created>
  <dcterms:modified xsi:type="dcterms:W3CDTF">2024-01-30T09:48:00Z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5712DB4577C44C75B4976EEACADB6153_12</vt:lpwstr>
  </property>
  <property fmtid="{D5CDD505-2E9C-101B-9397-08002B2CF9AE}" pid="4" name="GrammarlyDocumentId">
    <vt:lpwstr>362d076217493418be33632da14a66916e2ae8c8e347e79b24625231cdedd771</vt:lpwstr>
  </property>
</Properties>
</file>