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jc w:val="center"/>
        <w:rPr>
          <w:rFonts w:ascii="Times New Roman" w:hAnsi="Times New Roman" w:eastAsia="方正小标宋简体" w:cs="Times New Roman"/>
          <w:sz w:val="44"/>
          <w:szCs w:val="44"/>
        </w:rPr>
      </w:pPr>
    </w:p>
    <w:p>
      <w:pPr>
        <w:spacing w:line="600" w:lineRule="exact"/>
        <w:contextualSpacing/>
        <w:jc w:val="center"/>
        <w:rPr>
          <w:rFonts w:ascii="Times New Roman" w:hAnsi="Times New Roman" w:eastAsia="方正小标宋简体" w:cs="Times New Roman"/>
          <w:sz w:val="44"/>
          <w:szCs w:val="44"/>
        </w:rPr>
      </w:pPr>
      <w:bookmarkStart w:id="0" w:name="_GoBack"/>
      <w:bookmarkEnd w:id="0"/>
      <w:r>
        <w:rPr>
          <w:rFonts w:ascii="Times New Roman" w:hAnsi="Times New Roman" w:eastAsia="方正小标宋简体" w:cs="Times New Roman"/>
          <w:sz w:val="44"/>
          <w:szCs w:val="44"/>
        </w:rPr>
        <w:t>天津市</w:t>
      </w:r>
      <w:r>
        <w:rPr>
          <w:rFonts w:hint="eastAsia" w:ascii="Times New Roman" w:hAnsi="Times New Roman" w:eastAsia="方正小标宋简体" w:cs="Times New Roman"/>
          <w:sz w:val="44"/>
          <w:szCs w:val="44"/>
        </w:rPr>
        <w:t>医药</w:t>
      </w:r>
      <w:r>
        <w:rPr>
          <w:rFonts w:ascii="Times New Roman" w:hAnsi="Times New Roman" w:eastAsia="方正小标宋简体" w:cs="Times New Roman"/>
          <w:sz w:val="44"/>
          <w:szCs w:val="44"/>
        </w:rPr>
        <w:t>机构</w:t>
      </w:r>
      <w:r>
        <w:rPr>
          <w:rFonts w:hint="eastAsia" w:ascii="Times New Roman" w:hAnsi="Times New Roman" w:eastAsia="方正小标宋简体" w:cs="Times New Roman"/>
          <w:sz w:val="44"/>
          <w:szCs w:val="44"/>
        </w:rPr>
        <w:t>医疗</w:t>
      </w:r>
      <w:r>
        <w:rPr>
          <w:rFonts w:ascii="Times New Roman" w:hAnsi="Times New Roman" w:eastAsia="方正小标宋简体" w:cs="Times New Roman"/>
          <w:sz w:val="44"/>
          <w:szCs w:val="44"/>
        </w:rPr>
        <w:t>保障新增</w:t>
      </w:r>
      <w:r>
        <w:rPr>
          <w:rFonts w:hint="eastAsia" w:ascii="Times New Roman" w:hAnsi="Times New Roman" w:eastAsia="方正小标宋简体" w:cs="Times New Roman"/>
          <w:sz w:val="44"/>
          <w:szCs w:val="44"/>
        </w:rPr>
        <w:t>定点</w:t>
      </w:r>
      <w:r>
        <w:rPr>
          <w:rFonts w:ascii="Times New Roman" w:hAnsi="Times New Roman" w:eastAsia="方正小标宋简体" w:cs="Times New Roman"/>
          <w:sz w:val="44"/>
          <w:szCs w:val="44"/>
        </w:rPr>
        <w:t>经办</w:t>
      </w:r>
      <w:r>
        <w:rPr>
          <w:rFonts w:hint="eastAsia" w:ascii="Times New Roman" w:hAnsi="Times New Roman" w:eastAsia="方正小标宋简体" w:cs="Times New Roman"/>
          <w:sz w:val="44"/>
          <w:szCs w:val="44"/>
        </w:rPr>
        <w:t>意见</w:t>
      </w:r>
    </w:p>
    <w:p>
      <w:pPr>
        <w:spacing w:line="600" w:lineRule="exact"/>
        <w:contextualSpacing/>
        <w:jc w:val="center"/>
        <w:rPr>
          <w:rFonts w:ascii="Times New Roman" w:hAnsi="Times New Roman" w:eastAsia="黑体" w:cs="Times New Roman"/>
          <w:sz w:val="32"/>
          <w:szCs w:val="32"/>
        </w:rPr>
      </w:pPr>
    </w:p>
    <w:p>
      <w:pPr>
        <w:spacing w:line="600" w:lineRule="exact"/>
        <w:contextualSpacing/>
        <w:jc w:val="center"/>
        <w:rPr>
          <w:rFonts w:ascii="Times New Roman" w:hAnsi="Times New Roman" w:eastAsia="黑体" w:cs="Times New Roman"/>
          <w:sz w:val="32"/>
          <w:szCs w:val="32"/>
        </w:rPr>
      </w:pPr>
      <w:r>
        <w:rPr>
          <w:rFonts w:ascii="Times New Roman" w:hAnsi="Times New Roman" w:eastAsia="黑体" w:cs="Times New Roman"/>
          <w:sz w:val="32"/>
          <w:szCs w:val="32"/>
        </w:rPr>
        <w:t>第一章</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总则</w:t>
      </w:r>
    </w:p>
    <w:p>
      <w:pPr>
        <w:spacing w:line="600" w:lineRule="exact"/>
        <w:ind w:firstLine="640" w:firstLineChars="200"/>
        <w:contextualSpacing/>
        <w:rPr>
          <w:rFonts w:ascii="Times New Roman" w:hAnsi="Times New Roman" w:eastAsia="仿宋_GB2312"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为持续做好新增定点</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机构工作，进一步细化评估标准和尺度，确保新增定点</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机构达到医保管理规范的要求，按照《</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w:t>
      </w:r>
      <w:r>
        <w:rPr>
          <w:rFonts w:hint="eastAsia" w:ascii="Times New Roman" w:hAnsi="Times New Roman" w:eastAsia="仿宋_GB2312" w:cs="Times New Roman"/>
          <w:sz w:val="32"/>
          <w:szCs w:val="32"/>
        </w:rPr>
        <w:t>医疗保障</w:t>
      </w:r>
      <w:r>
        <w:rPr>
          <w:rFonts w:ascii="Times New Roman" w:hAnsi="Times New Roman" w:eastAsia="仿宋_GB2312" w:cs="Times New Roman"/>
          <w:sz w:val="32"/>
          <w:szCs w:val="32"/>
        </w:rPr>
        <w:t>定点管理暂行办法》《零售药店医疗保障定点管理暂行办法》《天津市</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w:t>
      </w:r>
      <w:r>
        <w:rPr>
          <w:rFonts w:hint="eastAsia" w:ascii="Times New Roman" w:hAnsi="Times New Roman" w:eastAsia="仿宋_GB2312" w:cs="Times New Roman"/>
          <w:sz w:val="32"/>
          <w:szCs w:val="32"/>
        </w:rPr>
        <w:t>医疗保障</w:t>
      </w:r>
      <w:r>
        <w:rPr>
          <w:rFonts w:ascii="Times New Roman" w:hAnsi="Times New Roman" w:eastAsia="仿宋_GB2312" w:cs="Times New Roman"/>
          <w:sz w:val="32"/>
          <w:szCs w:val="32"/>
        </w:rPr>
        <w:t>定点管理办法》《天津市零售药店医疗保障定点管理办法》等文件规定，结合工作实际，制定本</w:t>
      </w:r>
      <w:r>
        <w:rPr>
          <w:rFonts w:hint="eastAsia" w:ascii="Times New Roman" w:hAnsi="Times New Roman" w:eastAsia="仿宋_GB2312" w:cs="Times New Roman"/>
          <w:sz w:val="32"/>
          <w:szCs w:val="32"/>
        </w:rPr>
        <w:t>经办意见</w:t>
      </w:r>
      <w:r>
        <w:rPr>
          <w:rFonts w:ascii="Times New Roman" w:hAnsi="Times New Roman" w:eastAsia="仿宋_GB2312" w:cs="Times New Roman"/>
          <w:sz w:val="32"/>
          <w:szCs w:val="32"/>
        </w:rPr>
        <w:t>。</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新增</w:t>
      </w:r>
      <w:r>
        <w:rPr>
          <w:rFonts w:hint="eastAsia" w:ascii="Times New Roman" w:hAnsi="Times New Roman" w:eastAsia="仿宋_GB2312" w:cs="Times New Roman"/>
          <w:sz w:val="32"/>
          <w:szCs w:val="32"/>
        </w:rPr>
        <w:t>定点</w:t>
      </w:r>
      <w:r>
        <w:rPr>
          <w:rFonts w:ascii="Times New Roman" w:hAnsi="Times New Roman" w:eastAsia="仿宋_GB2312" w:cs="Times New Roman"/>
          <w:sz w:val="32"/>
          <w:szCs w:val="32"/>
        </w:rPr>
        <w:t>工作遵循公平公正、权责明晰、动态平衡的原则，严格按照规定程序，确保各项工作公开、公正、透明。</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市医保中心按照两定管理办法要求，对新增定点</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机构申请条件、评估规则和流程等进一步细化明确，指导各分中心开展新增定点具体工作，对拟签订协议机构名单进行公示，对签订协议机构名单进行公告等。</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各分中心接收</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机构申报材料，指导</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机构安装设施设备，组织开展对新增定点</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机构评估、协商谈判、签订协议等工作，按要求向市中心报送材料，做好案卷归档保存。</w:t>
      </w:r>
    </w:p>
    <w:p>
      <w:pPr>
        <w:spacing w:line="600" w:lineRule="exact"/>
        <w:ind w:firstLine="640" w:firstLineChars="200"/>
        <w:contextualSpacing/>
        <w:rPr>
          <w:rFonts w:ascii="Times New Roman" w:hAnsi="Times New Roman" w:eastAsia="仿宋_GB2312" w:cs="Times New Roman"/>
          <w:sz w:val="32"/>
          <w:szCs w:val="32"/>
        </w:rPr>
      </w:pPr>
    </w:p>
    <w:p>
      <w:pPr>
        <w:spacing w:line="600" w:lineRule="exact"/>
        <w:contextualSpacing/>
        <w:jc w:val="center"/>
        <w:rPr>
          <w:rFonts w:ascii="Times New Roman" w:hAnsi="Times New Roman" w:eastAsia="黑体" w:cs="Times New Roman"/>
          <w:sz w:val="32"/>
          <w:szCs w:val="32"/>
        </w:rPr>
      </w:pPr>
    </w:p>
    <w:p>
      <w:pPr>
        <w:spacing w:line="600" w:lineRule="exact"/>
        <w:contextualSpacing/>
        <w:jc w:val="center"/>
        <w:rPr>
          <w:rFonts w:ascii="Times New Roman" w:hAnsi="Times New Roman" w:eastAsia="黑体" w:cs="Times New Roman"/>
          <w:sz w:val="32"/>
          <w:szCs w:val="32"/>
        </w:rPr>
      </w:pPr>
      <w:r>
        <w:rPr>
          <w:rFonts w:ascii="Times New Roman" w:hAnsi="Times New Roman" w:eastAsia="黑体" w:cs="Times New Roman"/>
          <w:sz w:val="32"/>
          <w:szCs w:val="32"/>
        </w:rPr>
        <w:t>第二章</w:t>
      </w:r>
      <w:r>
        <w:rPr>
          <w:rFonts w:hint="eastAsia" w:ascii="Times New Roman" w:hAnsi="Times New Roman" w:eastAsia="黑体" w:cs="Times New Roman"/>
          <w:sz w:val="32"/>
          <w:szCs w:val="32"/>
        </w:rPr>
        <w:t xml:space="preserve"> 医疗机构</w:t>
      </w:r>
      <w:r>
        <w:rPr>
          <w:rFonts w:ascii="Times New Roman" w:hAnsi="Times New Roman" w:eastAsia="黑体" w:cs="Times New Roman"/>
          <w:sz w:val="32"/>
          <w:szCs w:val="32"/>
        </w:rPr>
        <w:t>申请范围及条件</w:t>
      </w:r>
    </w:p>
    <w:p>
      <w:pPr>
        <w:spacing w:line="600" w:lineRule="exact"/>
        <w:ind w:firstLine="640" w:firstLineChars="200"/>
        <w:contextualSpacing/>
        <w:rPr>
          <w:rFonts w:ascii="Times New Roman" w:hAnsi="Times New Roman" w:eastAsia="仿宋_GB2312"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本市依法登记注册，取得</w:t>
      </w:r>
      <w:r>
        <w:rPr>
          <w:rFonts w:hint="eastAsia" w:ascii="Times New Roman" w:hAnsi="Times New Roman" w:eastAsia="仿宋_GB2312" w:cs="Times New Roman"/>
          <w:sz w:val="32"/>
          <w:szCs w:val="32"/>
        </w:rPr>
        <w:t>医疗</w:t>
      </w:r>
      <w:r>
        <w:rPr>
          <w:rFonts w:ascii="Times New Roman" w:hAnsi="Times New Roman" w:eastAsia="仿宋_GB2312" w:cs="Times New Roman"/>
          <w:sz w:val="32"/>
          <w:szCs w:val="32"/>
        </w:rPr>
        <w:t>机构执业许可证或诊所备案证的</w:t>
      </w:r>
      <w:r>
        <w:rPr>
          <w:rFonts w:hint="eastAsia" w:ascii="Times New Roman" w:hAnsi="Times New Roman" w:eastAsia="仿宋_GB2312" w:cs="Times New Roman"/>
          <w:sz w:val="32"/>
          <w:szCs w:val="32"/>
        </w:rPr>
        <w:t>医疗</w:t>
      </w:r>
      <w:r>
        <w:rPr>
          <w:rFonts w:ascii="Times New Roman" w:hAnsi="Times New Roman" w:eastAsia="仿宋_GB2312" w:cs="Times New Roman"/>
          <w:sz w:val="32"/>
          <w:szCs w:val="32"/>
        </w:rPr>
        <w:t>机构，以及经军队主管部门批准具有为民服务资质的军队</w:t>
      </w:r>
      <w:r>
        <w:rPr>
          <w:rFonts w:hint="eastAsia" w:ascii="Times New Roman" w:hAnsi="Times New Roman" w:eastAsia="仿宋_GB2312" w:cs="Times New Roman"/>
          <w:sz w:val="32"/>
          <w:szCs w:val="32"/>
        </w:rPr>
        <w:t>医疗</w:t>
      </w:r>
      <w:r>
        <w:rPr>
          <w:rFonts w:ascii="Times New Roman" w:hAnsi="Times New Roman" w:eastAsia="仿宋_GB2312" w:cs="Times New Roman"/>
          <w:sz w:val="32"/>
          <w:szCs w:val="32"/>
        </w:rPr>
        <w:t>机构可申请</w:t>
      </w:r>
      <w:r>
        <w:rPr>
          <w:rFonts w:hint="eastAsia" w:ascii="Times New Roman" w:hAnsi="Times New Roman" w:eastAsia="仿宋_GB2312" w:cs="Times New Roman"/>
          <w:sz w:val="32"/>
          <w:szCs w:val="32"/>
        </w:rPr>
        <w:t>医疗机构</w:t>
      </w:r>
      <w:r>
        <w:rPr>
          <w:rFonts w:ascii="Times New Roman" w:hAnsi="Times New Roman" w:eastAsia="仿宋_GB2312" w:cs="Times New Roman"/>
          <w:sz w:val="32"/>
          <w:szCs w:val="32"/>
        </w:rPr>
        <w:t>医保定点。具体包括：</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（一）综合医院、中医医院、中西医结合医院、民族医医院、专科医院、康复医院；</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（二）专科疾病防治院（所、站）、妇幼保健院；</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（三）社区卫生服务中心（站）、中心卫生院、乡镇卫生院、街道卫生院、门诊部、诊所、卫生所（站）、医务室、村卫生室（所）；</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（四）独立设置的急救中心；</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（五）安宁疗护中心、血液透析中心、护理院；</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（六）养老机构内设的</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申请医保定点的</w:t>
      </w:r>
      <w:r>
        <w:rPr>
          <w:rFonts w:hint="eastAsia" w:ascii="Times New Roman" w:hAnsi="Times New Roman" w:eastAsia="仿宋_GB2312" w:cs="Times New Roman"/>
          <w:sz w:val="32"/>
          <w:szCs w:val="32"/>
        </w:rPr>
        <w:t>医疗</w:t>
      </w:r>
      <w:r>
        <w:rPr>
          <w:rFonts w:ascii="Times New Roman" w:hAnsi="Times New Roman" w:eastAsia="仿宋_GB2312" w:cs="Times New Roman"/>
          <w:sz w:val="32"/>
          <w:szCs w:val="32"/>
        </w:rPr>
        <w:t>机构应当同时具备以下基本条件：</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（一）正式运营至少3个月；</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（二）至少有1名取得医师执业证书、乡村医生执业证书或中医（专长）医师资格证书且第一注册地在该</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机构的医师；</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（三）主要负责人负责医保工作，配备专（兼）职医保管理人员；100张床位以上的</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机构应设内部医保管理部门，安排专职工作人员；</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（四）具有符合医保协议管理要求的医保管理制度、财务制度、统计信息管理制度、</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质量安全核心制度等；</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五）具有符合医保协议管理要求的医院信息系统技术和接口标准，实现与医保信息系统有效对接，按要求向医保信息系统传送就诊人员相关信息，为参保人员（含异地就医参保人员）提供直接联网结算；设立医保药品、诊疗项目、</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服务设施、医用耗材、疾病病种等基础数据库，按规定使用国家统一的医保编码；</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（六）能够接入市医药采购中心医药采购应用平台的信息系统；</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（七）能够按规定安装视频监控、生物识别、药品追溯系统等监管设施设备；</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（八）村卫生室（所）应符合本市村卫生室标准化建设条件，且与卫生院（乡镇医院，社区卫生服务中心）实行“五统一”管理（统一人员管理、统一业务管理、统一财务收支管理、统一药品及</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器械购销管理，统一绩效考核和薪酬分配管理）；</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（九）按规定应当具备的其他条件。</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rPr>
        <w:t>医疗</w:t>
      </w:r>
      <w:r>
        <w:rPr>
          <w:rFonts w:ascii="Times New Roman" w:hAnsi="Times New Roman" w:eastAsia="仿宋_GB2312" w:cs="Times New Roman"/>
          <w:sz w:val="32"/>
          <w:szCs w:val="32"/>
        </w:rPr>
        <w:t>机构有下列情形之一的，不予受理定点申请</w:t>
      </w:r>
      <w:r>
        <w:rPr>
          <w:rFonts w:hint="eastAsia" w:ascii="Times New Roman" w:hAnsi="Times New Roman" w:eastAsia="仿宋_GB2312" w:cs="Times New Roman"/>
          <w:sz w:val="32"/>
          <w:szCs w:val="32"/>
        </w:rPr>
        <w:t>：</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美容、辅助生殖、生活照护、种植牙等非基本</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服务为主要执业范围的；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基本</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服务未执行</w:t>
      </w:r>
      <w:r>
        <w:rPr>
          <w:rFonts w:hint="eastAsia" w:ascii="Times New Roman" w:hAnsi="Times New Roman" w:eastAsia="仿宋_GB2312" w:cs="Times New Roman"/>
          <w:sz w:val="32"/>
          <w:szCs w:val="32"/>
        </w:rPr>
        <w:t>医疗保障</w:t>
      </w:r>
      <w:r>
        <w:rPr>
          <w:rFonts w:ascii="Times New Roman" w:hAnsi="Times New Roman" w:eastAsia="仿宋_GB2312" w:cs="Times New Roman"/>
          <w:sz w:val="32"/>
          <w:szCs w:val="32"/>
        </w:rPr>
        <w:t>行政部门制定的医药价格政策的；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未依法履行行政处罚责任的；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以弄虚作假等不正当手段申请定点，自发现之日起未满3年的；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因违法违规被解除医保协议未满3年或已满3年但未完全履行行政处罚法律责任的；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因严重违反医保协议约定而被解除协议未满1年或已满1年但未完全履行违约责任的；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法定代表人、主要负责人或实际控制人曾因严重违法违规导致原定点</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机构被解除医保协议，未满5年的；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法定代表人、主要负责人或实际控制人被列入失信人名单的；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法律法规规定的其他不予受理的情形。</w:t>
      </w:r>
    </w:p>
    <w:p>
      <w:pPr>
        <w:spacing w:line="600" w:lineRule="exact"/>
        <w:ind w:firstLine="640" w:firstLineChars="200"/>
        <w:contextualSpacing/>
        <w:rPr>
          <w:rFonts w:ascii="Times New Roman" w:hAnsi="Times New Roman" w:eastAsia="仿宋_GB2312"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p>
    <w:p>
      <w:pPr>
        <w:spacing w:line="600" w:lineRule="exact"/>
        <w:contextualSpacing/>
        <w:jc w:val="center"/>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章</w:t>
      </w:r>
      <w:r>
        <w:rPr>
          <w:rFonts w:hint="eastAsia" w:ascii="Times New Roman" w:hAnsi="Times New Roman" w:eastAsia="黑体" w:cs="Times New Roman"/>
          <w:sz w:val="32"/>
          <w:szCs w:val="32"/>
        </w:rPr>
        <w:t xml:space="preserve"> 零售药店</w:t>
      </w:r>
      <w:r>
        <w:rPr>
          <w:rFonts w:ascii="Times New Roman" w:hAnsi="Times New Roman" w:eastAsia="黑体" w:cs="Times New Roman"/>
          <w:sz w:val="32"/>
          <w:szCs w:val="32"/>
        </w:rPr>
        <w:t>申请范围及条件</w:t>
      </w:r>
    </w:p>
    <w:p>
      <w:pPr>
        <w:spacing w:line="600" w:lineRule="exact"/>
        <w:contextualSpacing/>
        <w:jc w:val="center"/>
        <w:rPr>
          <w:rFonts w:ascii="Times New Roman" w:hAnsi="Times New Roman" w:eastAsia="黑体"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本市依法登记注册，取得药品经营许可证的零售药店，可申请医疗保障定点。</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申请医保定点的零售药店应当同时具备以下基本条件：</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（一）在注册地址正式经营至少3个月；</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（二）至少有1名取得执业药师资格证书或具有药学、临床药学、中药学专业技术资格证书的药师，且注册地在该零售药店所在地，药师须签订1年以上劳动合同且在合同期内；</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（三）至少有2名熟悉医疗保障法律法规和相关制度规定的专（兼）职医保管理人员负责管理医保费用，并签订1年以上劳动合同且在合同期内；</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（四）按药品经营质量管理规范要求，开展药品分类分区管理，并对所售药品在指定区域设立明确的医保用药标识；</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（五）具有符合医保协议管理要求的医保药品管理制度、财务管理制度、医保人员管理制度、统计信息管理制度和医保费用结算制度；</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（六）具备符合医保协议管理要求的信息系统技术和接口标准，实现与医保信息系统有效对接，为参保人员提供直接联网结算，建立医保药品等基础数据库，按规定使用国家统一医保编码；</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（七）能够接入市医药采购中心医药采购应用平台的信息系统；</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（八）能够按规定安装视频监控、生物识别、药品追溯系统等监管设施设备；</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（九）按规定应当具备的其他条件。</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九</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零售药店有下列情形之一的，不予受理定点申请。</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1、未依法履行行政处罚责任的；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2、以弄虚作假等不正当手段申请定点，自发现之日起未满3年的；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3、因违法违规被解除医保协议未满3年或已满3年但未完全履行行政处罚法律责任的；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4、因严重违反医保协议约定而被解除协议未满1年或已满1年但未完全履行违约责任的；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5、法定代表人、企业负责人或实际控制人曾因严重违法违规导致原定点零售药店被解除医保协议，未满5年的；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6、法定代表人、企业负责人或实际控制人被列入失信人名单的；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7、法律法规规定的其他不予受理的情形。</w:t>
      </w:r>
    </w:p>
    <w:p>
      <w:pPr>
        <w:spacing w:line="600" w:lineRule="exact"/>
        <w:ind w:firstLine="640" w:firstLineChars="200"/>
        <w:contextualSpacing/>
        <w:rPr>
          <w:rFonts w:ascii="Times New Roman" w:hAnsi="Times New Roman" w:eastAsia="仿宋_GB2312"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p>
    <w:p>
      <w:pPr>
        <w:spacing w:line="600" w:lineRule="exact"/>
        <w:contextualSpacing/>
        <w:jc w:val="center"/>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章</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工作</w:t>
      </w:r>
      <w:r>
        <w:rPr>
          <w:rFonts w:ascii="Times New Roman" w:hAnsi="Times New Roman" w:eastAsia="黑体" w:cs="Times New Roman"/>
          <w:sz w:val="32"/>
          <w:szCs w:val="32"/>
        </w:rPr>
        <w:t>流程</w:t>
      </w:r>
    </w:p>
    <w:p>
      <w:pPr>
        <w:spacing w:line="600" w:lineRule="exact"/>
        <w:ind w:firstLine="640" w:firstLineChars="200"/>
        <w:contextualSpacing/>
        <w:rPr>
          <w:rFonts w:ascii="Times New Roman" w:hAnsi="Times New Roman" w:eastAsia="黑体"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rPr>
        <w:t>医药机构</w:t>
      </w:r>
      <w:r>
        <w:rPr>
          <w:rFonts w:ascii="Times New Roman" w:hAnsi="Times New Roman" w:eastAsia="仿宋_GB2312" w:cs="Times New Roman"/>
          <w:sz w:val="32"/>
          <w:szCs w:val="32"/>
        </w:rPr>
        <w:t>可在工作日向属地医保分中心申请</w:t>
      </w:r>
      <w:r>
        <w:rPr>
          <w:rFonts w:hint="eastAsia" w:ascii="Times New Roman" w:hAnsi="Times New Roman" w:eastAsia="仿宋_GB2312" w:cs="Times New Roman"/>
          <w:sz w:val="32"/>
          <w:szCs w:val="32"/>
        </w:rPr>
        <w:t>新增</w:t>
      </w:r>
      <w:r>
        <w:rPr>
          <w:rFonts w:ascii="Times New Roman" w:hAnsi="Times New Roman" w:eastAsia="仿宋_GB2312" w:cs="Times New Roman"/>
          <w:sz w:val="32"/>
          <w:szCs w:val="32"/>
        </w:rPr>
        <w:t>定点，申请时应当提交《定点</w:t>
      </w:r>
      <w:r>
        <w:rPr>
          <w:rFonts w:hint="eastAsia" w:ascii="Times New Roman" w:hAnsi="Times New Roman" w:eastAsia="仿宋_GB2312" w:cs="Times New Roman"/>
          <w:sz w:val="32"/>
          <w:szCs w:val="32"/>
        </w:rPr>
        <w:t>医疗机构/零售药店</w:t>
      </w:r>
      <w:r>
        <w:rPr>
          <w:rFonts w:ascii="Times New Roman" w:hAnsi="Times New Roman" w:eastAsia="仿宋_GB2312" w:cs="Times New Roman"/>
          <w:sz w:val="32"/>
          <w:szCs w:val="32"/>
        </w:rPr>
        <w:t>申请表》和</w:t>
      </w:r>
      <w:r>
        <w:rPr>
          <w:rFonts w:hint="eastAsia" w:ascii="Times New Roman" w:hAnsi="Times New Roman" w:eastAsia="仿宋_GB2312" w:cs="Times New Roman"/>
          <w:sz w:val="32"/>
          <w:szCs w:val="32"/>
        </w:rPr>
        <w:t>医疗机构/</w:t>
      </w:r>
      <w:r>
        <w:rPr>
          <w:rFonts w:ascii="Times New Roman" w:hAnsi="Times New Roman" w:eastAsia="仿宋_GB2312" w:cs="Times New Roman"/>
          <w:sz w:val="32"/>
          <w:szCs w:val="32"/>
        </w:rPr>
        <w:t>零售药店</w:t>
      </w:r>
      <w:r>
        <w:rPr>
          <w:rFonts w:hint="eastAsia" w:ascii="Times New Roman" w:hAnsi="Times New Roman" w:eastAsia="仿宋_GB2312" w:cs="Times New Roman"/>
          <w:sz w:val="32"/>
          <w:szCs w:val="32"/>
        </w:rPr>
        <w:t>医疗保障</w:t>
      </w:r>
      <w:r>
        <w:rPr>
          <w:rFonts w:ascii="Times New Roman" w:hAnsi="Times New Roman" w:eastAsia="仿宋_GB2312" w:cs="Times New Roman"/>
          <w:sz w:val="32"/>
          <w:szCs w:val="32"/>
        </w:rPr>
        <w:t>定点申报材料，申报材料内容须完备齐全，并按照要求采用国际标准A4纸型，书式装订成册，确保装订牢固，不掉页；需编制总目录及各章目录，页码应当连续编排，中间不得丢页、少页。申报材料需同时提交PDF格式电子版。</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非法定代表人或非经营者申请办理业务的，需提供法定代表人或经营者授权委托书、法定代表人或经营者身份证复印件和代办人身份证复印件。</w:t>
      </w:r>
      <w:r>
        <w:rPr>
          <w:rFonts w:ascii="Times New Roman" w:hAnsi="Times New Roman" w:eastAsia="仿宋_GB2312" w:cs="Times New Roman"/>
          <w:sz w:val="32"/>
          <w:szCs w:val="32"/>
        </w:rPr>
        <w:br w:type="page"/>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十一</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医保分中心接收</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机构提交的各项申报材料后，出具《新增定点</w:t>
      </w:r>
      <w:r>
        <w:rPr>
          <w:rFonts w:hint="eastAsia" w:ascii="Times New Roman" w:hAnsi="Times New Roman" w:eastAsia="仿宋_GB2312" w:cs="Times New Roman"/>
          <w:sz w:val="32"/>
          <w:szCs w:val="32"/>
        </w:rPr>
        <w:t>医疗机构/零售药店</w:t>
      </w:r>
      <w:r>
        <w:rPr>
          <w:rFonts w:ascii="Times New Roman" w:hAnsi="Times New Roman" w:eastAsia="仿宋_GB2312" w:cs="Times New Roman"/>
          <w:sz w:val="32"/>
          <w:szCs w:val="32"/>
        </w:rPr>
        <w:t>申请材料接收回执单》，在</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个工作日内告知</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机构是否受理本次申请，并出具《</w:t>
      </w:r>
      <w:r>
        <w:rPr>
          <w:rFonts w:hint="eastAsia" w:ascii="Times New Roman" w:hAnsi="Times New Roman" w:eastAsia="仿宋_GB2312" w:cs="Times New Roman"/>
          <w:sz w:val="32"/>
          <w:szCs w:val="32"/>
        </w:rPr>
        <w:t>医疗机构/零售药店医疗保障</w:t>
      </w:r>
      <w:r>
        <w:rPr>
          <w:rFonts w:ascii="Times New Roman" w:hAnsi="Times New Roman" w:eastAsia="仿宋_GB2312" w:cs="Times New Roman"/>
          <w:sz w:val="32"/>
          <w:szCs w:val="32"/>
        </w:rPr>
        <w:t>定点申请受理结果告知书》。对申请材料内容不全的，一次性告知</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机构补充材料，</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机构应于5个工作日内提交需补充的材料，逾期不提交的，视为放弃本次申请。</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十二</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机构提交申报新增定点材料齐全后，各分中心及时将申请新增定点</w:t>
      </w:r>
      <w:r>
        <w:rPr>
          <w:rFonts w:hint="eastAsia" w:ascii="Times New Roman" w:hAnsi="Times New Roman" w:eastAsia="仿宋_GB2312" w:cs="Times New Roman"/>
          <w:sz w:val="32"/>
          <w:szCs w:val="32"/>
        </w:rPr>
        <w:t>的医药</w:t>
      </w:r>
      <w:r>
        <w:rPr>
          <w:rFonts w:ascii="Times New Roman" w:hAnsi="Times New Roman" w:eastAsia="仿宋_GB2312" w:cs="Times New Roman"/>
          <w:sz w:val="32"/>
          <w:szCs w:val="32"/>
        </w:rPr>
        <w:t>机构名单向市中心报送，由市中心按照机构提交材料齐全时间先后顺序，结合回避原则等制定评估计划，下发到相关分中心。</w:t>
      </w:r>
      <w:r>
        <w:rPr>
          <w:rFonts w:hint="eastAsia" w:ascii="Times New Roman" w:hAnsi="Times New Roman" w:eastAsia="仿宋_GB2312" w:cs="Times New Roman"/>
          <w:sz w:val="32"/>
          <w:szCs w:val="32"/>
        </w:rPr>
        <w:t>承担公共卫生职能的医疗机构，由属地分中心进行评估；其他医药</w:t>
      </w:r>
      <w:r>
        <w:rPr>
          <w:rFonts w:ascii="Times New Roman" w:hAnsi="Times New Roman" w:eastAsia="仿宋_GB2312" w:cs="Times New Roman"/>
          <w:sz w:val="32"/>
          <w:szCs w:val="32"/>
        </w:rPr>
        <w:t>机构的新增</w:t>
      </w:r>
      <w:r>
        <w:rPr>
          <w:rFonts w:hint="eastAsia" w:ascii="Times New Roman" w:hAnsi="Times New Roman" w:eastAsia="仿宋_GB2312" w:cs="Times New Roman"/>
          <w:sz w:val="32"/>
          <w:szCs w:val="32"/>
        </w:rPr>
        <w:t>定点</w:t>
      </w:r>
      <w:r>
        <w:rPr>
          <w:rFonts w:ascii="Times New Roman" w:hAnsi="Times New Roman" w:eastAsia="仿宋_GB2312" w:cs="Times New Roman"/>
          <w:sz w:val="32"/>
          <w:szCs w:val="32"/>
        </w:rPr>
        <w:t>评估工作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原则上</w:t>
      </w:r>
      <w:r>
        <w:rPr>
          <w:rFonts w:hint="eastAsia" w:ascii="Times New Roman" w:hAnsi="Times New Roman" w:eastAsia="仿宋_GB2312" w:cs="Times New Roman"/>
          <w:sz w:val="32"/>
          <w:szCs w:val="32"/>
        </w:rPr>
        <w:t>属地</w:t>
      </w:r>
      <w:r>
        <w:rPr>
          <w:rFonts w:ascii="Times New Roman" w:hAnsi="Times New Roman" w:eastAsia="仿宋_GB2312" w:cs="Times New Roman"/>
          <w:sz w:val="32"/>
          <w:szCs w:val="32"/>
        </w:rPr>
        <w:t>分中心不参与。</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确定评估日期后，属地分中心应提前3个工作日通知被评估机构，指导其按照评估要求准备材料；并告知机构评估开始</w:t>
      </w:r>
      <w:r>
        <w:rPr>
          <w:rFonts w:hint="eastAsia" w:ascii="Times New Roman" w:hAnsi="Times New Roman" w:eastAsia="仿宋_GB2312" w:cs="Times New Roman"/>
          <w:sz w:val="32"/>
          <w:szCs w:val="32"/>
        </w:rPr>
        <w:t>前备齐</w:t>
      </w:r>
      <w:r>
        <w:rPr>
          <w:rFonts w:ascii="Times New Roman" w:hAnsi="Times New Roman" w:eastAsia="仿宋_GB2312" w:cs="Times New Roman"/>
          <w:sz w:val="32"/>
          <w:szCs w:val="32"/>
        </w:rPr>
        <w:t>全部材料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被评估机构未按要求或时限提供材料的，视为不配合评估工作，评估结果为不通过。此3个工作日不计入政务服务事项规定的工作时限内。</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各分中心收到待评估机构名单后，联系</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机构属地分中心取得申报材料电子版，</w:t>
      </w:r>
      <w:r>
        <w:rPr>
          <w:rFonts w:hint="eastAsia" w:ascii="Times New Roman" w:hAnsi="Times New Roman" w:eastAsia="仿宋_GB2312" w:cs="Times New Roman"/>
          <w:sz w:val="32"/>
          <w:szCs w:val="32"/>
        </w:rPr>
        <w:t>自市医保局新增定点专家库中抽取3至7名专家，</w:t>
      </w:r>
      <w:r>
        <w:rPr>
          <w:rFonts w:ascii="Times New Roman" w:hAnsi="Times New Roman" w:eastAsia="仿宋_GB2312" w:cs="Times New Roman"/>
          <w:sz w:val="32"/>
          <w:szCs w:val="32"/>
        </w:rPr>
        <w:t>成立评估工作组，开展书面及现场评估</w:t>
      </w:r>
      <w:r>
        <w:rPr>
          <w:rFonts w:hint="eastAsia" w:ascii="Times New Roman" w:hAnsi="Times New Roman" w:eastAsia="仿宋_GB2312" w:cs="Times New Roman"/>
          <w:sz w:val="32"/>
          <w:szCs w:val="32"/>
        </w:rPr>
        <w:t>。专家人数应当为单数，应涵盖医疗保障、医药卫生、财务管理、信息技术等领域</w:t>
      </w:r>
      <w:r>
        <w:rPr>
          <w:rFonts w:ascii="Times New Roman" w:hAnsi="Times New Roman" w:eastAsia="仿宋_GB2312" w:cs="Times New Roman"/>
          <w:sz w:val="32"/>
          <w:szCs w:val="32"/>
        </w:rPr>
        <w:t>。</w:t>
      </w:r>
    </w:p>
    <w:p>
      <w:pPr>
        <w:spacing w:line="600" w:lineRule="exact"/>
        <w:ind w:firstLine="640" w:firstLineChars="200"/>
        <w:contextualSpacing/>
        <w:rPr>
          <w:rFonts w:eastAsia="仿宋_GB2312"/>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rPr>
        <w:t>评估工作组以书面、现场等方式开展评估，</w:t>
      </w:r>
      <w:r>
        <w:rPr>
          <w:rFonts w:hint="eastAsia" w:eastAsia="仿宋_GB2312"/>
          <w:sz w:val="32"/>
          <w:szCs w:val="32"/>
        </w:rPr>
        <w:t>两部分均</w:t>
      </w:r>
      <w:r>
        <w:rPr>
          <w:rFonts w:eastAsia="仿宋_GB2312"/>
          <w:sz w:val="32"/>
          <w:szCs w:val="32"/>
        </w:rPr>
        <w:t>合格</w:t>
      </w:r>
      <w:r>
        <w:rPr>
          <w:rFonts w:hint="eastAsia" w:eastAsia="仿宋_GB2312"/>
          <w:sz w:val="32"/>
          <w:szCs w:val="32"/>
        </w:rPr>
        <w:t>视为</w:t>
      </w:r>
      <w:r>
        <w:rPr>
          <w:rFonts w:eastAsia="仿宋_GB2312"/>
          <w:sz w:val="32"/>
          <w:szCs w:val="32"/>
        </w:rPr>
        <w:t>评估通过。</w:t>
      </w:r>
      <w:r>
        <w:rPr>
          <w:rFonts w:hint="eastAsia" w:eastAsia="仿宋_GB2312"/>
          <w:sz w:val="32"/>
          <w:szCs w:val="32"/>
        </w:rPr>
        <w:t xml:space="preserve"> </w:t>
      </w:r>
    </w:p>
    <w:p>
      <w:pPr>
        <w:spacing w:line="600" w:lineRule="exact"/>
        <w:ind w:firstLine="640" w:firstLineChars="200"/>
        <w:contextualSpacing/>
        <w:rPr>
          <w:rFonts w:ascii="Times New Roman" w:hAnsi="Times New Roman" w:eastAsia="仿宋_GB2312" w:cs="Times New Roman"/>
          <w:sz w:val="32"/>
          <w:szCs w:val="32"/>
        </w:rPr>
      </w:pPr>
      <w:r>
        <w:rPr>
          <w:rFonts w:hint="eastAsia" w:eastAsia="仿宋_GB2312"/>
          <w:sz w:val="32"/>
          <w:szCs w:val="32"/>
        </w:rPr>
        <w:t>一级、二级、三级医院和社区卫生服务中心（乡镇卫生院）可采取视频或实地方式开展现场评估，具体由评估工作组根据实际情况确定；其余医药机构原则上采取视频方式开展现场评估。</w:t>
      </w:r>
      <w:r>
        <w:rPr>
          <w:rFonts w:ascii="Times New Roman" w:hAnsi="Times New Roman" w:eastAsia="仿宋_GB2312" w:cs="Times New Roman"/>
          <w:sz w:val="32"/>
          <w:szCs w:val="32"/>
        </w:rPr>
        <w:t>现场评估</w:t>
      </w:r>
      <w:r>
        <w:rPr>
          <w:rFonts w:hint="eastAsia" w:ascii="Times New Roman" w:hAnsi="Times New Roman" w:eastAsia="仿宋_GB2312" w:cs="Times New Roman"/>
          <w:sz w:val="32"/>
          <w:szCs w:val="32"/>
        </w:rPr>
        <w:t>由属地分中心指导被</w:t>
      </w:r>
      <w:r>
        <w:rPr>
          <w:rFonts w:ascii="Times New Roman" w:hAnsi="Times New Roman" w:eastAsia="仿宋_GB2312" w:cs="Times New Roman"/>
          <w:sz w:val="32"/>
          <w:szCs w:val="32"/>
        </w:rPr>
        <w:t>评估</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机构配合评估工作组展示相关材料</w:t>
      </w:r>
      <w:r>
        <w:rPr>
          <w:rFonts w:hint="eastAsia" w:ascii="Times New Roman" w:hAnsi="Times New Roman" w:eastAsia="仿宋_GB2312" w:cs="Times New Roman"/>
          <w:sz w:val="32"/>
          <w:szCs w:val="32"/>
        </w:rPr>
        <w:t>。</w:t>
      </w:r>
    </w:p>
    <w:p>
      <w:pPr>
        <w:spacing w:line="600" w:lineRule="exact"/>
        <w:ind w:firstLine="640" w:firstLineChars="200"/>
        <w:contextualSpacing/>
        <w:rPr>
          <w:rFonts w:ascii="Times New Roman" w:hAnsi="Times New Roman" w:eastAsia="仿宋_GB2312" w:cs="Times New Roman"/>
          <w:sz w:val="32"/>
          <w:szCs w:val="32"/>
        </w:rPr>
      </w:pPr>
      <w:r>
        <w:rPr>
          <w:rFonts w:hint="eastAsia" w:eastAsia="仿宋_GB2312"/>
          <w:sz w:val="32"/>
          <w:szCs w:val="32"/>
        </w:rPr>
        <w:t>新增定点工作不设任何机构或个人作为中介机构。</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新增定点</w:t>
      </w:r>
      <w:r>
        <w:rPr>
          <w:rFonts w:hint="eastAsia" w:ascii="Times New Roman" w:hAnsi="Times New Roman" w:eastAsia="仿宋_GB2312" w:cs="Times New Roman"/>
          <w:sz w:val="32"/>
          <w:szCs w:val="32"/>
        </w:rPr>
        <w:t>医药机构</w:t>
      </w:r>
      <w:r>
        <w:rPr>
          <w:rFonts w:ascii="Times New Roman" w:hAnsi="Times New Roman" w:eastAsia="仿宋_GB2312" w:cs="Times New Roman"/>
          <w:sz w:val="32"/>
          <w:szCs w:val="32"/>
        </w:rPr>
        <w:t>评估为合格制，所有评估项目全部合格为评估通过。</w:t>
      </w:r>
      <w:r>
        <w:rPr>
          <w:rFonts w:hint="eastAsia" w:ascii="Times New Roman" w:hAnsi="Times New Roman" w:eastAsia="仿宋_GB2312" w:cs="Times New Roman"/>
          <w:sz w:val="32"/>
          <w:szCs w:val="32"/>
        </w:rPr>
        <w:t>无论评估结果是否合格，评估工作组均应对书面和现场评估的全部项目出具评估意见。</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具体评估项目合格标准以</w:t>
      </w:r>
      <w:r>
        <w:rPr>
          <w:rFonts w:hint="eastAsia" w:ascii="Times New Roman" w:hAnsi="Times New Roman" w:eastAsia="仿宋_GB2312" w:cs="Times New Roman"/>
          <w:sz w:val="32"/>
          <w:szCs w:val="32"/>
        </w:rPr>
        <w:t>本经办意见附件《天津市医药机构医疗保障新增定点机构合格标准》</w:t>
      </w:r>
      <w:r>
        <w:rPr>
          <w:rFonts w:ascii="Times New Roman" w:hAnsi="Times New Roman" w:eastAsia="仿宋_GB2312" w:cs="Times New Roman"/>
          <w:sz w:val="32"/>
          <w:szCs w:val="32"/>
        </w:rPr>
        <w:t>为准。如评估专家认为机构疑似未达到相关行政审批部门设置</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机构的标准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或</w:t>
      </w:r>
      <w:r>
        <w:rPr>
          <w:rFonts w:hint="eastAsia" w:ascii="Times New Roman" w:hAnsi="Times New Roman" w:eastAsia="仿宋_GB2312" w:cs="Times New Roman"/>
          <w:sz w:val="32"/>
          <w:szCs w:val="32"/>
        </w:rPr>
        <w:t>因</w:t>
      </w:r>
      <w:r>
        <w:rPr>
          <w:rFonts w:ascii="Times New Roman" w:hAnsi="Times New Roman" w:eastAsia="仿宋_GB2312" w:cs="Times New Roman"/>
          <w:sz w:val="32"/>
          <w:szCs w:val="32"/>
        </w:rPr>
        <w:t>出现特殊情况，需先由相关行政部门出具审批或鉴定意见的，可暂缓评估。暂缓评估</w:t>
      </w:r>
      <w:r>
        <w:rPr>
          <w:rFonts w:hint="eastAsia" w:ascii="Times New Roman" w:hAnsi="Times New Roman" w:eastAsia="仿宋_GB2312" w:cs="Times New Roman"/>
          <w:sz w:val="32"/>
          <w:szCs w:val="32"/>
        </w:rPr>
        <w:t>也应对书面和现场评估的全部项目出具评估意见。</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评估工作完成后，由评估专家对评估结论予以签字确认；评估工作组出具评估报告</w:t>
      </w:r>
      <w:r>
        <w:rPr>
          <w:rFonts w:hint="eastAsia" w:ascii="Times New Roman" w:hAnsi="Times New Roman" w:eastAsia="仿宋_GB2312" w:cs="Times New Roman"/>
          <w:sz w:val="32"/>
          <w:szCs w:val="32"/>
        </w:rPr>
        <w:t>，并加盖分中心公章</w:t>
      </w:r>
      <w:r>
        <w:rPr>
          <w:rFonts w:ascii="Times New Roman" w:hAnsi="Times New Roman" w:eastAsia="仿宋_GB2312" w:cs="Times New Roman"/>
          <w:sz w:val="32"/>
          <w:szCs w:val="32"/>
        </w:rPr>
        <w:t>。</w:t>
      </w:r>
    </w:p>
    <w:p>
      <w:pPr>
        <w:spacing w:line="600" w:lineRule="exact"/>
        <w:ind w:firstLine="640" w:firstLineChars="200"/>
        <w:contextualSpacing/>
        <w:rPr>
          <w:rFonts w:ascii="Times New Roman" w:hAnsi="Times New Roman" w:eastAsia="仿宋_GB2312" w:cs="Times New Roman"/>
          <w:sz w:val="32"/>
          <w:szCs w:val="32"/>
        </w:rPr>
      </w:pPr>
      <w:r>
        <w:rPr>
          <w:rFonts w:eastAsia="仿宋_GB2312"/>
          <w:sz w:val="32"/>
          <w:szCs w:val="32"/>
        </w:rPr>
        <w:t>评估工作组应当场作出评估</w:t>
      </w:r>
      <w:r>
        <w:rPr>
          <w:rFonts w:hint="eastAsia" w:eastAsia="仿宋_GB2312"/>
          <w:sz w:val="32"/>
          <w:szCs w:val="32"/>
        </w:rPr>
        <w:t>结论并</w:t>
      </w:r>
      <w:r>
        <w:rPr>
          <w:rFonts w:eastAsia="仿宋_GB2312"/>
          <w:sz w:val="32"/>
          <w:szCs w:val="32"/>
        </w:rPr>
        <w:t>告知机构</w:t>
      </w:r>
      <w:r>
        <w:rPr>
          <w:rFonts w:hint="eastAsia" w:eastAsia="仿宋_GB2312"/>
          <w:sz w:val="32"/>
          <w:szCs w:val="32"/>
        </w:rPr>
        <w:t>。</w:t>
      </w:r>
      <w:r>
        <w:rPr>
          <w:rFonts w:eastAsia="仿宋_GB2312"/>
          <w:sz w:val="32"/>
          <w:szCs w:val="32"/>
        </w:rPr>
        <w:t>如评估</w:t>
      </w:r>
      <w:r>
        <w:rPr>
          <w:rFonts w:hint="eastAsia" w:eastAsia="仿宋_GB2312"/>
          <w:sz w:val="32"/>
          <w:szCs w:val="32"/>
        </w:rPr>
        <w:t>结论</w:t>
      </w:r>
      <w:r>
        <w:rPr>
          <w:rFonts w:eastAsia="仿宋_GB2312"/>
          <w:sz w:val="32"/>
          <w:szCs w:val="32"/>
        </w:rPr>
        <w:t>为不通过或暂缓评估，须向被评估机构宣读不通过或暂缓评估的原因，留存影像资料，并由</w:t>
      </w:r>
      <w:r>
        <w:rPr>
          <w:rFonts w:hint="eastAsia" w:eastAsia="仿宋_GB2312"/>
          <w:sz w:val="32"/>
          <w:szCs w:val="32"/>
        </w:rPr>
        <w:t>属地分中心指导</w:t>
      </w:r>
      <w:r>
        <w:rPr>
          <w:rFonts w:eastAsia="仿宋_GB2312"/>
          <w:sz w:val="32"/>
          <w:szCs w:val="32"/>
        </w:rPr>
        <w:t>机构现场签字确认；机构拒绝签字的，以向机构宣读为准，并在评估结论中注明</w:t>
      </w:r>
      <w:r>
        <w:rPr>
          <w:rFonts w:hint="eastAsia" w:eastAsia="仿宋_GB2312"/>
          <w:sz w:val="32"/>
          <w:szCs w:val="32"/>
        </w:rPr>
        <w:t>“</w:t>
      </w:r>
      <w:r>
        <w:rPr>
          <w:rFonts w:eastAsia="仿宋_GB2312"/>
          <w:sz w:val="32"/>
          <w:szCs w:val="32"/>
        </w:rPr>
        <w:t>已向机构宣读不通过/暂缓评估原因，机构拒绝签字</w:t>
      </w:r>
      <w:r>
        <w:rPr>
          <w:rFonts w:hint="eastAsia" w:eastAsia="仿宋_GB2312"/>
          <w:sz w:val="32"/>
          <w:szCs w:val="32"/>
        </w:rPr>
        <w:t>”</w:t>
      </w:r>
      <w:r>
        <w:rPr>
          <w:rFonts w:eastAsia="仿宋_GB2312"/>
          <w:sz w:val="32"/>
          <w:szCs w:val="32"/>
        </w:rPr>
        <w:t>。</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开展评估工作的分中心应于2个工作日内将评估报告发回</w:t>
      </w:r>
      <w:r>
        <w:rPr>
          <w:rFonts w:hint="eastAsia" w:ascii="Times New Roman" w:hAnsi="Times New Roman" w:eastAsia="仿宋_GB2312" w:cs="Times New Roman"/>
          <w:sz w:val="32"/>
          <w:szCs w:val="32"/>
        </w:rPr>
        <w:t>医药机构</w:t>
      </w:r>
      <w:r>
        <w:rPr>
          <w:rFonts w:ascii="Times New Roman" w:hAnsi="Times New Roman" w:eastAsia="仿宋_GB2312" w:cs="Times New Roman"/>
          <w:sz w:val="32"/>
          <w:szCs w:val="32"/>
        </w:rPr>
        <w:t>属地分中心，并将评估结论汇总表报送市中心</w:t>
      </w:r>
      <w:r>
        <w:rPr>
          <w:rFonts w:hint="eastAsia" w:ascii="Times New Roman" w:hAnsi="Times New Roman" w:eastAsia="仿宋_GB2312" w:cs="Times New Roman"/>
          <w:sz w:val="32"/>
          <w:szCs w:val="32"/>
        </w:rPr>
        <w:t>。评估结论为合格的医药机构，进入</w:t>
      </w:r>
      <w:r>
        <w:rPr>
          <w:rFonts w:ascii="Times New Roman" w:hAnsi="Times New Roman" w:eastAsia="仿宋_GB2312" w:cs="Times New Roman"/>
          <w:sz w:val="32"/>
          <w:szCs w:val="32"/>
        </w:rPr>
        <w:t>拟签订</w:t>
      </w:r>
      <w:r>
        <w:rPr>
          <w:rFonts w:hint="eastAsia" w:ascii="Times New Roman" w:hAnsi="Times New Roman" w:eastAsia="仿宋_GB2312" w:cs="Times New Roman"/>
          <w:sz w:val="32"/>
          <w:szCs w:val="32"/>
        </w:rPr>
        <w:t>协议</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协议管理</w:t>
      </w:r>
      <w:r>
        <w:rPr>
          <w:rFonts w:ascii="Times New Roman" w:hAnsi="Times New Roman" w:eastAsia="仿宋_GB2312" w:cs="Times New Roman"/>
          <w:sz w:val="32"/>
          <w:szCs w:val="32"/>
        </w:rPr>
        <w:t>）机构名单</w:t>
      </w:r>
      <w:r>
        <w:rPr>
          <w:rFonts w:hint="eastAsia" w:ascii="Times New Roman" w:hAnsi="Times New Roman" w:eastAsia="仿宋_GB2312" w:cs="Times New Roman"/>
          <w:sz w:val="32"/>
          <w:szCs w:val="32"/>
        </w:rPr>
        <w:t>，在市医疗保障局官方网站进行</w:t>
      </w:r>
      <w:r>
        <w:rPr>
          <w:rFonts w:ascii="Times New Roman" w:hAnsi="Times New Roman" w:eastAsia="仿宋_GB2312" w:cs="Times New Roman"/>
          <w:sz w:val="32"/>
          <w:szCs w:val="32"/>
        </w:rPr>
        <w:t>公示，公示时间不少于5个工作日。公示期内，任何单位或个人对申请新增定点</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机构评估结果有异议的，</w:t>
      </w:r>
      <w:r>
        <w:rPr>
          <w:rFonts w:hint="eastAsia" w:ascii="Times New Roman" w:hAnsi="Times New Roman" w:eastAsia="仿宋_GB2312" w:cs="Times New Roman"/>
          <w:sz w:val="32"/>
          <w:szCs w:val="32"/>
        </w:rPr>
        <w:t>可向市医保中心提出意见建议</w:t>
      </w:r>
      <w:r>
        <w:rPr>
          <w:rFonts w:ascii="Times New Roman" w:hAnsi="Times New Roman" w:eastAsia="仿宋_GB2312" w:cs="Times New Roman"/>
          <w:sz w:val="32"/>
          <w:szCs w:val="32"/>
        </w:rPr>
        <w:t>。</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对于评估不合格的</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机构，应告知其理由，提出整改建议，自结果告知送达之日起，整改3个月后可依机构申请再次组织评估。</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原则上，再次评估只对第一次评估不合格的项目进行评估；</w:t>
      </w:r>
    </w:p>
    <w:p>
      <w:pPr>
        <w:spacing w:line="600" w:lineRule="exact"/>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如评估结果仍为不合格的，1年内不得再次受理机构申请。</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拟签订协议的</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机构，需按要求完成医药采购应用平台信息系统、监督检查设施设备的安装试调。</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九</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对于公示结果无异议的</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机构，医保分中心应在4个工作日内组织完成签订服务协议协商谈判工作，根据实际情况和工作安排成立谈判工作组（由2名及以上工作人员组成），做好协商谈判记录和相关资料的留存归档。</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谈判内容包括：</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1、对现行</w:t>
      </w:r>
      <w:r>
        <w:rPr>
          <w:rFonts w:hint="eastAsia" w:ascii="Times New Roman" w:hAnsi="Times New Roman" w:eastAsia="仿宋_GB2312" w:cs="Times New Roman"/>
          <w:sz w:val="32"/>
          <w:szCs w:val="32"/>
        </w:rPr>
        <w:t>医疗保障</w:t>
      </w:r>
      <w:r>
        <w:rPr>
          <w:rFonts w:ascii="Times New Roman" w:hAnsi="Times New Roman" w:eastAsia="仿宋_GB2312" w:cs="Times New Roman"/>
          <w:sz w:val="32"/>
          <w:szCs w:val="32"/>
        </w:rPr>
        <w:t>服务协议条款的沟通与认同；</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2、对现行信息系统和财务制度与服务协议的匹配要求；</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3、对新增定点</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机构预算、清算、考核的管理要求；</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4、对现行医保制度中经办服务、结算管理和日常监督等方面进行沟通交流；</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5、双方协商遵守</w:t>
      </w:r>
      <w:r>
        <w:rPr>
          <w:rFonts w:hint="eastAsia" w:ascii="Times New Roman" w:hAnsi="Times New Roman" w:eastAsia="仿宋_GB2312" w:cs="Times New Roman"/>
          <w:sz w:val="32"/>
          <w:szCs w:val="32"/>
        </w:rPr>
        <w:t>医疗保障</w:t>
      </w:r>
      <w:r>
        <w:rPr>
          <w:rFonts w:ascii="Times New Roman" w:hAnsi="Times New Roman" w:eastAsia="仿宋_GB2312" w:cs="Times New Roman"/>
          <w:sz w:val="32"/>
          <w:szCs w:val="32"/>
        </w:rPr>
        <w:t>诚信相关规定等内容</w:t>
      </w:r>
      <w:r>
        <w:rPr>
          <w:rFonts w:hint="eastAsia" w:ascii="Times New Roman" w:hAnsi="Times New Roman" w:eastAsia="仿宋_GB2312" w:cs="Times New Roman"/>
          <w:sz w:val="32"/>
          <w:szCs w:val="32"/>
        </w:rPr>
        <w:t>。</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二十</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医保分中心与评估合格的</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机构协商谈判达成一致后，双方签订医保服务协议，启动医保联网结算功能。</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二十一</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医保分中心每月将评估结果和签订协议情况向辖区</w:t>
      </w:r>
      <w:r>
        <w:rPr>
          <w:rFonts w:hint="eastAsia" w:ascii="Times New Roman" w:hAnsi="Times New Roman" w:eastAsia="仿宋_GB2312" w:cs="Times New Roman"/>
          <w:sz w:val="32"/>
          <w:szCs w:val="32"/>
        </w:rPr>
        <w:t>医疗保障</w:t>
      </w:r>
      <w:r>
        <w:rPr>
          <w:rFonts w:ascii="Times New Roman" w:hAnsi="Times New Roman" w:eastAsia="仿宋_GB2312" w:cs="Times New Roman"/>
          <w:sz w:val="32"/>
          <w:szCs w:val="32"/>
        </w:rPr>
        <w:t>局和市医保中心备案；市医保中心按月汇总各区新增定点</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机构签订协议名单向市</w:t>
      </w:r>
      <w:r>
        <w:rPr>
          <w:rFonts w:hint="eastAsia" w:ascii="Times New Roman" w:hAnsi="Times New Roman" w:eastAsia="仿宋_GB2312" w:cs="Times New Roman"/>
          <w:sz w:val="32"/>
          <w:szCs w:val="32"/>
        </w:rPr>
        <w:t>医疗保障</w:t>
      </w:r>
      <w:r>
        <w:rPr>
          <w:rFonts w:ascii="Times New Roman" w:hAnsi="Times New Roman" w:eastAsia="仿宋_GB2312" w:cs="Times New Roman"/>
          <w:sz w:val="32"/>
          <w:szCs w:val="32"/>
        </w:rPr>
        <w:t>局备案，并定期向社会公布签订医保协议的定点</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机构信息。</w:t>
      </w:r>
    </w:p>
    <w:p>
      <w:pPr>
        <w:spacing w:line="600" w:lineRule="exact"/>
        <w:contextualSpacing/>
        <w:jc w:val="center"/>
        <w:rPr>
          <w:rFonts w:ascii="Times New Roman" w:hAnsi="Times New Roman" w:eastAsia="黑体" w:cs="Times New Roman"/>
          <w:sz w:val="32"/>
          <w:szCs w:val="32"/>
        </w:rPr>
      </w:pPr>
    </w:p>
    <w:p>
      <w:pPr>
        <w:spacing w:line="600" w:lineRule="exact"/>
        <w:contextualSpacing/>
        <w:jc w:val="center"/>
        <w:rPr>
          <w:rFonts w:ascii="Times New Roman" w:hAnsi="Times New Roman" w:eastAsia="黑体" w:cs="Times New Roman"/>
          <w:sz w:val="32"/>
          <w:szCs w:val="32"/>
        </w:rPr>
      </w:pPr>
    </w:p>
    <w:p>
      <w:pPr>
        <w:spacing w:line="600" w:lineRule="exact"/>
        <w:contextualSpacing/>
        <w:jc w:val="center"/>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章</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暂缓评估</w:t>
      </w:r>
    </w:p>
    <w:p>
      <w:pPr>
        <w:spacing w:line="600" w:lineRule="exact"/>
        <w:contextualSpacing/>
        <w:jc w:val="center"/>
        <w:rPr>
          <w:rFonts w:ascii="Times New Roman" w:hAnsi="Times New Roman" w:eastAsia="黑体"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二十二</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如评估专家认为机构某项目未达到相关行政审批部门设置</w:t>
      </w:r>
      <w:r>
        <w:rPr>
          <w:rFonts w:hint="eastAsia" w:ascii="Times New Roman" w:hAnsi="Times New Roman" w:eastAsia="仿宋_GB2312" w:cs="Times New Roman"/>
          <w:sz w:val="32"/>
          <w:szCs w:val="32"/>
        </w:rPr>
        <w:t>医药</w:t>
      </w:r>
      <w:r>
        <w:rPr>
          <w:rFonts w:ascii="Times New Roman" w:hAnsi="Times New Roman" w:eastAsia="仿宋_GB2312" w:cs="Times New Roman"/>
          <w:sz w:val="32"/>
          <w:szCs w:val="32"/>
        </w:rPr>
        <w:t>机构的标准，或出现特殊情况，需先由相关行政部门出具前置审批或鉴定意见的，可暂缓评估。</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发生暂缓评估的，应当完成对被评估机构其他项目的评估工作。</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暂缓评估，评估工作组应当出具“按照**文件第**条之规定，该机构**项目疑似未达到**部门审批设置</w:t>
      </w:r>
      <w:r>
        <w:rPr>
          <w:rFonts w:hint="eastAsia" w:ascii="Times New Roman" w:hAnsi="Times New Roman" w:eastAsia="仿宋_GB2312" w:cs="Times New Roman"/>
          <w:sz w:val="32"/>
          <w:szCs w:val="32"/>
        </w:rPr>
        <w:t>医疗机构/零售药店</w:t>
      </w:r>
      <w:r>
        <w:rPr>
          <w:rFonts w:ascii="Times New Roman" w:hAnsi="Times New Roman" w:eastAsia="仿宋_GB2312" w:cs="Times New Roman"/>
          <w:sz w:val="32"/>
          <w:szCs w:val="32"/>
        </w:rPr>
        <w:t>的标准，需**部门进一步确定。暂缓出具本次评估结论”之意见，或出具“本次评估出现**情况，需先由**行政部门出具前置审批或鉴定意见，明确**事项。暂缓出具本次评估结论”之意见，或根据实际情况出具暂缓评估意见，并当场告知被评估对象，由属地分中心指导机构签字确认。</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相关行政审批部门的前置审批或鉴定意见，可由机构自主向所属相关部门申请获取，也可由评估工作组所属分中心向机构所属相关部门发函求证。向相关部门申请协查求证期间，不计入新增定点评估工作时限。</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机构所属相关部门回复相关意见后，评估工作组应当及时按照相关意见出具评估结论，按程序开展后续工作。</w:t>
      </w:r>
    </w:p>
    <w:p>
      <w:pPr>
        <w:spacing w:line="600" w:lineRule="exact"/>
        <w:contextualSpacing/>
        <w:jc w:val="center"/>
        <w:rPr>
          <w:rFonts w:ascii="Times New Roman" w:hAnsi="Times New Roman" w:eastAsia="黑体" w:cs="Times New Roman"/>
          <w:sz w:val="32"/>
          <w:szCs w:val="32"/>
        </w:rPr>
      </w:pPr>
    </w:p>
    <w:p>
      <w:pPr>
        <w:spacing w:line="600" w:lineRule="exact"/>
        <w:contextualSpacing/>
        <w:jc w:val="center"/>
        <w:rPr>
          <w:rFonts w:ascii="Times New Roman" w:hAnsi="Times New Roman" w:eastAsia="黑体" w:cs="Times New Roman"/>
          <w:sz w:val="32"/>
          <w:szCs w:val="32"/>
        </w:rPr>
      </w:pPr>
    </w:p>
    <w:p>
      <w:pPr>
        <w:spacing w:line="600" w:lineRule="exact"/>
        <w:contextualSpacing/>
        <w:jc w:val="center"/>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章</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评估争议处理</w:t>
      </w:r>
    </w:p>
    <w:p>
      <w:pPr>
        <w:spacing w:line="600" w:lineRule="exact"/>
        <w:contextualSpacing/>
        <w:jc w:val="center"/>
        <w:rPr>
          <w:rFonts w:ascii="Times New Roman" w:hAnsi="Times New Roman" w:eastAsia="黑体"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被评估对象认为评估专家或评估工作组未按照本评估</w:t>
      </w:r>
      <w:r>
        <w:rPr>
          <w:rFonts w:hint="eastAsia" w:ascii="Times New Roman" w:hAnsi="Times New Roman" w:eastAsia="仿宋_GB2312" w:cs="Times New Roman"/>
          <w:sz w:val="32"/>
          <w:szCs w:val="32"/>
        </w:rPr>
        <w:t>经办条例</w:t>
      </w:r>
      <w:r>
        <w:rPr>
          <w:rFonts w:ascii="Times New Roman" w:hAnsi="Times New Roman" w:eastAsia="仿宋_GB2312" w:cs="Times New Roman"/>
          <w:sz w:val="32"/>
          <w:szCs w:val="32"/>
        </w:rPr>
        <w:t>标准出具评估结论，或评估结论不正确的，须经所属医保分中心向市医保中心提出复核申请，同时说明事实和理由。如发生其他类型争议，应向相关部门申诉。</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市医保中心成立评估争议处理小组受理评估争议相关事宜，办公室设在相关业务处室，具体复核工作由协议处</w:t>
      </w:r>
    </w:p>
    <w:p>
      <w:pPr>
        <w:spacing w:line="600" w:lineRule="exact"/>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理联审小组负责。</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九</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市医保中心自协议联审专家中抽取3人、5人或7人组成评估争议复核小组，对机构提出的争议问题进行复核，以评估工作组现场取得的材料为限，对评估结论是否恰当出具复核意见。现场评估时机构未提交的材料不计入复核材料。</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争议复核小组认为评估结论恰当的，出具“维持原评估结论”的复核意见，告知机构属地分中心，由分中心通知被评估对象。</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争议复核小组认为评估结论不恰当的，可</w:t>
      </w:r>
      <w:r>
        <w:rPr>
          <w:rFonts w:hint="eastAsia" w:ascii="Times New Roman" w:hAnsi="Times New Roman" w:eastAsia="仿宋_GB2312" w:cs="Times New Roman"/>
          <w:sz w:val="32"/>
          <w:szCs w:val="32"/>
        </w:rPr>
        <w:t>指派</w:t>
      </w:r>
      <w:r>
        <w:rPr>
          <w:rFonts w:ascii="Times New Roman" w:hAnsi="Times New Roman" w:eastAsia="仿宋_GB2312" w:cs="Times New Roman"/>
          <w:sz w:val="32"/>
          <w:szCs w:val="32"/>
        </w:rPr>
        <w:t>分中心再次组织评估或依据相关材料直接更正评估结论，复核意见由属地分中心通知被评估对象。</w:t>
      </w:r>
    </w:p>
    <w:p>
      <w:pPr>
        <w:spacing w:line="600" w:lineRule="exact"/>
        <w:contextualSpacing/>
        <w:jc w:val="center"/>
        <w:rPr>
          <w:rFonts w:ascii="Times New Roman" w:hAnsi="Times New Roman" w:eastAsia="黑体" w:cs="Times New Roman"/>
          <w:sz w:val="32"/>
          <w:szCs w:val="32"/>
        </w:rPr>
      </w:pPr>
    </w:p>
    <w:p>
      <w:pPr>
        <w:spacing w:line="600" w:lineRule="exact"/>
        <w:contextualSpacing/>
        <w:jc w:val="center"/>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章附则</w:t>
      </w:r>
    </w:p>
    <w:p>
      <w:pPr>
        <w:spacing w:line="600" w:lineRule="exact"/>
        <w:contextualSpacing/>
        <w:jc w:val="center"/>
        <w:rPr>
          <w:rFonts w:ascii="Times New Roman" w:hAnsi="Times New Roman" w:eastAsia="黑体"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rPr>
        <w:t>市医保中心和各分中心工作人员、评估专家和相关人员要廉洁自律、严格遵守各项制度要求，不得未经批准泄露工作过程中获取的商业机密和个人秘密。</w:t>
      </w: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三十一</w:t>
      </w:r>
      <w:r>
        <w:rPr>
          <w:rFonts w:ascii="Times New Roman" w:hAnsi="Times New Roman" w:eastAsia="黑体" w:cs="Times New Roman"/>
          <w:sz w:val="32"/>
          <w:szCs w:val="32"/>
        </w:rPr>
        <w:t>条</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rPr>
        <w:t>经办条例，</w:t>
      </w:r>
      <w:r>
        <w:rPr>
          <w:rFonts w:ascii="Times New Roman" w:hAnsi="Times New Roman" w:eastAsia="仿宋_GB2312" w:cs="Times New Roman"/>
          <w:sz w:val="32"/>
          <w:szCs w:val="32"/>
        </w:rPr>
        <w:t>自发布之日起实施，有效期</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以前规定与本</w:t>
      </w:r>
      <w:r>
        <w:rPr>
          <w:rFonts w:hint="eastAsia" w:ascii="Times New Roman" w:hAnsi="Times New Roman" w:eastAsia="仿宋_GB2312" w:cs="Times New Roman"/>
          <w:sz w:val="32"/>
          <w:szCs w:val="32"/>
        </w:rPr>
        <w:t>经办意见</w:t>
      </w:r>
      <w:r>
        <w:rPr>
          <w:rFonts w:ascii="Times New Roman" w:hAnsi="Times New Roman" w:eastAsia="仿宋_GB2312" w:cs="Times New Roman"/>
          <w:sz w:val="32"/>
          <w:szCs w:val="32"/>
        </w:rPr>
        <w:t>不一致的，以本</w:t>
      </w:r>
      <w:r>
        <w:rPr>
          <w:rFonts w:hint="eastAsia" w:ascii="Times New Roman" w:hAnsi="Times New Roman" w:eastAsia="仿宋_GB2312" w:cs="Times New Roman"/>
          <w:sz w:val="32"/>
          <w:szCs w:val="32"/>
        </w:rPr>
        <w:t>经办意见</w:t>
      </w:r>
      <w:r>
        <w:rPr>
          <w:rFonts w:ascii="Times New Roman" w:hAnsi="Times New Roman" w:eastAsia="仿宋_GB2312" w:cs="Times New Roman"/>
          <w:sz w:val="32"/>
          <w:szCs w:val="32"/>
        </w:rPr>
        <w:t>规定为准。</w:t>
      </w:r>
    </w:p>
    <w:p>
      <w:pPr>
        <w:spacing w:line="600" w:lineRule="exact"/>
        <w:ind w:firstLine="640" w:firstLineChars="200"/>
        <w:contextualSpacing/>
        <w:rPr>
          <w:rFonts w:ascii="Times New Roman" w:hAnsi="Times New Roman" w:eastAsia="仿宋_GB2312"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p>
    <w:p>
      <w:pPr>
        <w:spacing w:line="600" w:lineRule="exact"/>
        <w:ind w:firstLine="640" w:firstLineChars="200"/>
        <w:contextualSpacing/>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附件：1.天津市医疗保障新增定点医药机构评估合格标准</w:t>
      </w:r>
    </w:p>
    <w:p>
      <w:pPr>
        <w:spacing w:line="600" w:lineRule="exact"/>
        <w:ind w:left="656" w:leftChars="298" w:firstLine="880" w:firstLineChars="275"/>
        <w:contextualSpacing/>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2.医药机构申请医疗保障定点各项业务材料</w:t>
      </w:r>
    </w:p>
    <w:sectPr>
      <w:pgSz w:w="11906" w:h="16838"/>
      <w:pgMar w:top="1440" w:right="1531" w:bottom="1553"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文星简小标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65638"/>
    <w:rsid w:val="00044FA6"/>
    <w:rsid w:val="000C1605"/>
    <w:rsid w:val="00211F16"/>
    <w:rsid w:val="00287802"/>
    <w:rsid w:val="00291B7D"/>
    <w:rsid w:val="002E7D40"/>
    <w:rsid w:val="003130BB"/>
    <w:rsid w:val="00347649"/>
    <w:rsid w:val="00482D13"/>
    <w:rsid w:val="00510806"/>
    <w:rsid w:val="006117A2"/>
    <w:rsid w:val="006200CF"/>
    <w:rsid w:val="00634A11"/>
    <w:rsid w:val="006C5D5C"/>
    <w:rsid w:val="006E1523"/>
    <w:rsid w:val="006E4E85"/>
    <w:rsid w:val="006E7DAF"/>
    <w:rsid w:val="006F3F80"/>
    <w:rsid w:val="0072724A"/>
    <w:rsid w:val="0074552E"/>
    <w:rsid w:val="00797586"/>
    <w:rsid w:val="007B3352"/>
    <w:rsid w:val="007C6520"/>
    <w:rsid w:val="00820375"/>
    <w:rsid w:val="00826100"/>
    <w:rsid w:val="00855B84"/>
    <w:rsid w:val="008C27A0"/>
    <w:rsid w:val="00A36531"/>
    <w:rsid w:val="00A76906"/>
    <w:rsid w:val="00B54D50"/>
    <w:rsid w:val="00C54AC5"/>
    <w:rsid w:val="00C84C8E"/>
    <w:rsid w:val="00C9244F"/>
    <w:rsid w:val="00CA39C0"/>
    <w:rsid w:val="00CE0437"/>
    <w:rsid w:val="00D339F9"/>
    <w:rsid w:val="00DA62DE"/>
    <w:rsid w:val="00E27366"/>
    <w:rsid w:val="00EE70BF"/>
    <w:rsid w:val="00F204A7"/>
    <w:rsid w:val="00FA2942"/>
    <w:rsid w:val="00FF1D15"/>
    <w:rsid w:val="05F03D73"/>
    <w:rsid w:val="08657273"/>
    <w:rsid w:val="09370EFF"/>
    <w:rsid w:val="0C182214"/>
    <w:rsid w:val="0FFA321A"/>
    <w:rsid w:val="19440EFC"/>
    <w:rsid w:val="1EC10B8E"/>
    <w:rsid w:val="210037C6"/>
    <w:rsid w:val="313D6AE2"/>
    <w:rsid w:val="340A06EE"/>
    <w:rsid w:val="3B4C55A0"/>
    <w:rsid w:val="3E1A538C"/>
    <w:rsid w:val="42C86D47"/>
    <w:rsid w:val="432A204B"/>
    <w:rsid w:val="44C23FB0"/>
    <w:rsid w:val="559567EE"/>
    <w:rsid w:val="57930860"/>
    <w:rsid w:val="57CD32DC"/>
    <w:rsid w:val="5A0D542C"/>
    <w:rsid w:val="5AFC7F68"/>
    <w:rsid w:val="5E017E34"/>
    <w:rsid w:val="5F8D3441"/>
    <w:rsid w:val="60165638"/>
    <w:rsid w:val="60385F69"/>
    <w:rsid w:val="6862256E"/>
    <w:rsid w:val="69582AC5"/>
    <w:rsid w:val="6B23256C"/>
    <w:rsid w:val="6BE0511F"/>
    <w:rsid w:val="72555C2B"/>
    <w:rsid w:val="73487C34"/>
    <w:rsid w:val="75372B22"/>
    <w:rsid w:val="75EF57DE"/>
    <w:rsid w:val="7E7E35EA"/>
    <w:rsid w:val="7F571EFA"/>
    <w:rsid w:val="7FE93D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uiPriority w:val="0"/>
    <w:rPr>
      <w:b/>
      <w:bCs/>
    </w:rPr>
  </w:style>
  <w:style w:type="paragraph" w:styleId="3">
    <w:name w:val="annotation text"/>
    <w:basedOn w:val="1"/>
    <w:link w:val="16"/>
    <w:uiPriority w:val="0"/>
  </w:style>
  <w:style w:type="paragraph" w:styleId="4">
    <w:name w:val="Body Text"/>
    <w:basedOn w:val="1"/>
    <w:qFormat/>
    <w:uiPriority w:val="0"/>
    <w:pPr>
      <w:jc w:val="center"/>
    </w:pPr>
    <w:rPr>
      <w:sz w:val="44"/>
    </w:rPr>
  </w:style>
  <w:style w:type="paragraph" w:styleId="5">
    <w:name w:val="Balloon Text"/>
    <w:basedOn w:val="1"/>
    <w:link w:val="15"/>
    <w:qFormat/>
    <w:uiPriority w:val="0"/>
    <w:pPr>
      <w:spacing w:after="0"/>
    </w:pPr>
    <w:rPr>
      <w:sz w:val="18"/>
      <w:szCs w:val="18"/>
    </w:rPr>
  </w:style>
  <w:style w:type="paragraph" w:styleId="6">
    <w:name w:val="footer"/>
    <w:basedOn w:val="1"/>
    <w:link w:val="14"/>
    <w:qFormat/>
    <w:uiPriority w:val="0"/>
    <w:pPr>
      <w:tabs>
        <w:tab w:val="center" w:pos="4153"/>
        <w:tab w:val="right" w:pos="8306"/>
      </w:tabs>
    </w:pPr>
    <w:rPr>
      <w:sz w:val="18"/>
      <w:szCs w:val="18"/>
    </w:rPr>
  </w:style>
  <w:style w:type="paragraph" w:styleId="7">
    <w:name w:val="header"/>
    <w:basedOn w:val="1"/>
    <w:link w:val="13"/>
    <w:qFormat/>
    <w:uiPriority w:val="0"/>
    <w:pPr>
      <w:pBdr>
        <w:bottom w:val="single" w:color="auto" w:sz="6" w:space="1"/>
      </w:pBdr>
      <w:tabs>
        <w:tab w:val="center" w:pos="4153"/>
        <w:tab w:val="right" w:pos="8306"/>
      </w:tabs>
      <w:jc w:val="center"/>
    </w:pPr>
    <w:rPr>
      <w:sz w:val="18"/>
      <w:szCs w:val="18"/>
    </w:rPr>
  </w:style>
  <w:style w:type="paragraph" w:styleId="8">
    <w:name w:val="Normal (Web)"/>
    <w:basedOn w:val="1"/>
    <w:qFormat/>
    <w:uiPriority w:val="99"/>
    <w:pPr>
      <w:spacing w:before="100" w:beforeAutospacing="1" w:after="100" w:afterAutospacing="1"/>
    </w:pPr>
    <w:rPr>
      <w:sz w:val="24"/>
      <w:szCs w:val="24"/>
    </w:rPr>
  </w:style>
  <w:style w:type="character" w:styleId="10">
    <w:name w:val="annotation reference"/>
    <w:basedOn w:val="9"/>
    <w:uiPriority w:val="0"/>
    <w:rPr>
      <w:sz w:val="21"/>
      <w:szCs w:val="21"/>
    </w:rPr>
  </w:style>
  <w:style w:type="paragraph" w:styleId="12">
    <w:name w:val="List Paragraph"/>
    <w:basedOn w:val="1"/>
    <w:qFormat/>
    <w:uiPriority w:val="34"/>
    <w:pPr>
      <w:ind w:firstLine="420" w:firstLineChars="200"/>
    </w:pPr>
  </w:style>
  <w:style w:type="character" w:customStyle="1" w:styleId="13">
    <w:name w:val="页眉 Char"/>
    <w:basedOn w:val="9"/>
    <w:link w:val="7"/>
    <w:qFormat/>
    <w:uiPriority w:val="0"/>
    <w:rPr>
      <w:rFonts w:ascii="Tahoma" w:hAnsi="Tahoma" w:eastAsia="微软雅黑" w:cstheme="minorBidi"/>
      <w:sz w:val="18"/>
      <w:szCs w:val="18"/>
    </w:rPr>
  </w:style>
  <w:style w:type="character" w:customStyle="1" w:styleId="14">
    <w:name w:val="页脚 Char"/>
    <w:basedOn w:val="9"/>
    <w:link w:val="6"/>
    <w:qFormat/>
    <w:uiPriority w:val="0"/>
    <w:rPr>
      <w:rFonts w:ascii="Tahoma" w:hAnsi="Tahoma" w:eastAsia="微软雅黑" w:cstheme="minorBidi"/>
      <w:sz w:val="18"/>
      <w:szCs w:val="18"/>
    </w:rPr>
  </w:style>
  <w:style w:type="character" w:customStyle="1" w:styleId="15">
    <w:name w:val="批注框文本 Char"/>
    <w:basedOn w:val="9"/>
    <w:link w:val="5"/>
    <w:qFormat/>
    <w:uiPriority w:val="0"/>
    <w:rPr>
      <w:rFonts w:ascii="Tahoma" w:hAnsi="Tahoma" w:eastAsia="微软雅黑" w:cstheme="minorBidi"/>
      <w:sz w:val="18"/>
      <w:szCs w:val="18"/>
    </w:rPr>
  </w:style>
  <w:style w:type="character" w:customStyle="1" w:styleId="16">
    <w:name w:val="批注文字 Char"/>
    <w:basedOn w:val="9"/>
    <w:link w:val="3"/>
    <w:uiPriority w:val="0"/>
    <w:rPr>
      <w:rFonts w:ascii="Tahoma" w:hAnsi="Tahoma" w:eastAsia="微软雅黑" w:cstheme="minorBidi"/>
      <w:sz w:val="22"/>
      <w:szCs w:val="22"/>
    </w:rPr>
  </w:style>
  <w:style w:type="character" w:customStyle="1" w:styleId="17">
    <w:name w:val="批注主题 Char"/>
    <w:basedOn w:val="16"/>
    <w:link w:val="2"/>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910</Words>
  <Characters>5188</Characters>
  <Lines>43</Lines>
  <Paragraphs>12</Paragraphs>
  <TotalTime>5</TotalTime>
  <ScaleCrop>false</ScaleCrop>
  <LinksUpToDate>false</LinksUpToDate>
  <CharactersWithSpaces>6086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2023-09-27T07:00:00Z</dcterms:created>
  <dc:creator>Administrator</dc:creator>
  <cp:lastModifiedBy>协议处</cp:lastModifiedBy>
  <dcterms:modified xsi:type="dcterms:W3CDTF">2024-01-11T06:32:16Z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